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D639D" w14:textId="4CA29E8B" w:rsidR="00673C87" w:rsidRPr="008A6671" w:rsidRDefault="00351EC6" w:rsidP="00B80E97">
      <w:r>
        <w:rPr>
          <w:noProof/>
        </w:rPr>
        <w:drawing>
          <wp:inline distT="0" distB="0" distL="0" distR="0" wp14:anchorId="2BA55B37" wp14:editId="7610DD9D">
            <wp:extent cx="6170874" cy="1174877"/>
            <wp:effectExtent l="0" t="0" r="1905" b="6350"/>
            <wp:docPr id="2004246029" name="Picture 3" descr="A black background with a black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246029" name="Picture 3" descr="A black background with a black squar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70874" cy="1174877"/>
                    </a:xfrm>
                    <a:prstGeom prst="rect">
                      <a:avLst/>
                    </a:prstGeom>
                  </pic:spPr>
                </pic:pic>
              </a:graphicData>
            </a:graphic>
          </wp:inline>
        </w:drawing>
      </w:r>
    </w:p>
    <w:p w14:paraId="3673ACE5" w14:textId="0EECB06D" w:rsidR="008D261B" w:rsidRPr="008A6671" w:rsidRDefault="00F9458B" w:rsidP="00B80E97">
      <w:pPr>
        <w:pStyle w:val="Title"/>
      </w:pPr>
      <w:r w:rsidRPr="008A6671">
        <w:t>PHN Program Performance and Quality Framework</w:t>
      </w:r>
    </w:p>
    <w:p w14:paraId="09BF42FF" w14:textId="0012D051" w:rsidR="00A70021" w:rsidRDefault="00F9458B" w:rsidP="00893043">
      <w:pPr>
        <w:pStyle w:val="Subtitle"/>
      </w:pPr>
      <w:r w:rsidRPr="008A6671">
        <w:t>Appendix B – Indicator Specifications</w:t>
      </w:r>
    </w:p>
    <w:p w14:paraId="71229F4B" w14:textId="0A9D541B" w:rsidR="00893043" w:rsidRPr="00665D8A" w:rsidRDefault="00B0002F" w:rsidP="00893043">
      <w:pPr>
        <w:pStyle w:val="Subtitle"/>
        <w:rPr>
          <w:rStyle w:val="Strong"/>
        </w:rPr>
      </w:pPr>
      <w:r>
        <w:t xml:space="preserve">for the </w:t>
      </w:r>
      <w:r w:rsidR="00893043" w:rsidRPr="00665D8A">
        <w:rPr>
          <w:rStyle w:val="Strong"/>
        </w:rPr>
        <w:t>Primary Health Network Program</w:t>
      </w:r>
      <w:r w:rsidR="00C62E5E" w:rsidRPr="00665D8A">
        <w:rPr>
          <w:rStyle w:val="Strong"/>
        </w:rPr>
        <w:t xml:space="preserve"> </w:t>
      </w:r>
      <w:r w:rsidR="00893043" w:rsidRPr="00665D8A">
        <w:rPr>
          <w:rStyle w:val="Strong"/>
        </w:rPr>
        <w:t>Annual Performance Report 2021-22</w:t>
      </w:r>
    </w:p>
    <w:p w14:paraId="764C907B" w14:textId="790DADD3" w:rsidR="00F9458B" w:rsidRPr="006E3F60" w:rsidRDefault="009E223E" w:rsidP="006E3F60">
      <w:pPr>
        <w:pStyle w:val="Date"/>
      </w:pPr>
      <w:r w:rsidRPr="006E3F60">
        <w:t>February 2025</w:t>
      </w:r>
    </w:p>
    <w:p w14:paraId="36D62614" w14:textId="77777777" w:rsidR="009E223E" w:rsidRPr="00B64335" w:rsidRDefault="009E223E" w:rsidP="00B64335">
      <w:bookmarkStart w:id="0" w:name="_Toc517769789"/>
      <w:bookmarkStart w:id="1" w:name="_Toc522013914"/>
      <w:r>
        <w:br w:type="page"/>
      </w:r>
    </w:p>
    <w:bookmarkEnd w:id="1" w:displacedByCustomXml="next"/>
    <w:bookmarkEnd w:id="0" w:displacedByCustomXml="next"/>
    <w:bookmarkStart w:id="2" w:name="_Toc522013915" w:displacedByCustomXml="next"/>
    <w:bookmarkStart w:id="3" w:name="_Toc176250621" w:displacedByCustomXml="next"/>
    <w:sdt>
      <w:sdtPr>
        <w:id w:val="-1436123651"/>
        <w:docPartObj>
          <w:docPartGallery w:val="Table of Contents"/>
          <w:docPartUnique/>
        </w:docPartObj>
      </w:sdtPr>
      <w:sdtEndPr>
        <w:rPr>
          <w:rFonts w:eastAsia="Times New Roman" w:cs="Times New Roman"/>
          <w:b w:val="0"/>
          <w:bCs w:val="0"/>
          <w:color w:val="000000" w:themeColor="text1"/>
          <w:sz w:val="22"/>
          <w:szCs w:val="24"/>
          <w:lang w:val="en-AU" w:eastAsia="en-US"/>
        </w:rPr>
      </w:sdtEndPr>
      <w:sdtContent>
        <w:p w14:paraId="616FB2D2" w14:textId="5A1E3DC0" w:rsidR="00B64335" w:rsidRDefault="00B64335">
          <w:pPr>
            <w:pStyle w:val="TOCHeading"/>
          </w:pPr>
          <w:r>
            <w:t>Table of Contents</w:t>
          </w:r>
        </w:p>
        <w:p w14:paraId="086A3F02" w14:textId="5BC7FA52" w:rsidR="00B64335" w:rsidRDefault="00B64335">
          <w:pPr>
            <w:pStyle w:val="TOC1"/>
            <w:rPr>
              <w:rFonts w:asciiTheme="minorHAnsi" w:eastAsiaTheme="minorEastAsia" w:hAnsiTheme="minorHAnsi" w:cstheme="minorBidi"/>
              <w:noProof/>
              <w:color w:val="auto"/>
              <w:kern w:val="2"/>
              <w:sz w:val="24"/>
              <w:lang w:eastAsia="ja-JP"/>
              <w14:ligatures w14:val="standardContextual"/>
            </w:rPr>
          </w:pPr>
          <w:r>
            <w:fldChar w:fldCharType="begin"/>
          </w:r>
          <w:r>
            <w:instrText xml:space="preserve"> TOC \o "1-3" \h \z \u </w:instrText>
          </w:r>
          <w:r>
            <w:fldChar w:fldCharType="separate"/>
          </w:r>
          <w:hyperlink w:anchor="_Toc197069395" w:history="1">
            <w:r w:rsidRPr="003F0198">
              <w:rPr>
                <w:rStyle w:val="Hyperlink"/>
                <w:noProof/>
              </w:rPr>
              <w:t>Program indicators</w:t>
            </w:r>
            <w:r>
              <w:rPr>
                <w:noProof/>
                <w:webHidden/>
              </w:rPr>
              <w:tab/>
            </w:r>
            <w:r>
              <w:rPr>
                <w:noProof/>
                <w:webHidden/>
              </w:rPr>
              <w:fldChar w:fldCharType="begin"/>
            </w:r>
            <w:r>
              <w:rPr>
                <w:noProof/>
                <w:webHidden/>
              </w:rPr>
              <w:instrText xml:space="preserve"> PAGEREF _Toc197069395 \h </w:instrText>
            </w:r>
            <w:r>
              <w:rPr>
                <w:noProof/>
                <w:webHidden/>
              </w:rPr>
            </w:r>
            <w:r>
              <w:rPr>
                <w:noProof/>
                <w:webHidden/>
              </w:rPr>
              <w:fldChar w:fldCharType="separate"/>
            </w:r>
            <w:r>
              <w:rPr>
                <w:noProof/>
                <w:webHidden/>
              </w:rPr>
              <w:t>2</w:t>
            </w:r>
            <w:r>
              <w:rPr>
                <w:noProof/>
                <w:webHidden/>
              </w:rPr>
              <w:fldChar w:fldCharType="end"/>
            </w:r>
          </w:hyperlink>
        </w:p>
        <w:p w14:paraId="6EFFF6C2" w14:textId="56086A6C" w:rsidR="00B64335" w:rsidRDefault="00B64335">
          <w:pPr>
            <w:pStyle w:val="TOC1"/>
            <w:rPr>
              <w:rFonts w:asciiTheme="minorHAnsi" w:eastAsiaTheme="minorEastAsia" w:hAnsiTheme="minorHAnsi" w:cstheme="minorBidi"/>
              <w:noProof/>
              <w:color w:val="auto"/>
              <w:kern w:val="2"/>
              <w:sz w:val="24"/>
              <w:lang w:eastAsia="ja-JP"/>
              <w14:ligatures w14:val="standardContextual"/>
            </w:rPr>
          </w:pPr>
          <w:hyperlink w:anchor="_Toc197069396" w:history="1">
            <w:r w:rsidRPr="003F0198">
              <w:rPr>
                <w:rStyle w:val="Hyperlink"/>
                <w:noProof/>
              </w:rPr>
              <w:t>Mental Health indicators</w:t>
            </w:r>
            <w:r>
              <w:rPr>
                <w:noProof/>
                <w:webHidden/>
              </w:rPr>
              <w:tab/>
            </w:r>
            <w:r>
              <w:rPr>
                <w:noProof/>
                <w:webHidden/>
              </w:rPr>
              <w:fldChar w:fldCharType="begin"/>
            </w:r>
            <w:r>
              <w:rPr>
                <w:noProof/>
                <w:webHidden/>
              </w:rPr>
              <w:instrText xml:space="preserve"> PAGEREF _Toc197069396 \h </w:instrText>
            </w:r>
            <w:r>
              <w:rPr>
                <w:noProof/>
                <w:webHidden/>
              </w:rPr>
            </w:r>
            <w:r>
              <w:rPr>
                <w:noProof/>
                <w:webHidden/>
              </w:rPr>
              <w:fldChar w:fldCharType="separate"/>
            </w:r>
            <w:r>
              <w:rPr>
                <w:noProof/>
                <w:webHidden/>
              </w:rPr>
              <w:t>17</w:t>
            </w:r>
            <w:r>
              <w:rPr>
                <w:noProof/>
                <w:webHidden/>
              </w:rPr>
              <w:fldChar w:fldCharType="end"/>
            </w:r>
          </w:hyperlink>
        </w:p>
        <w:p w14:paraId="6CAA51CE" w14:textId="20BE7446" w:rsidR="00B64335" w:rsidRDefault="00B64335">
          <w:pPr>
            <w:pStyle w:val="TOC1"/>
            <w:rPr>
              <w:rFonts w:asciiTheme="minorHAnsi" w:eastAsiaTheme="minorEastAsia" w:hAnsiTheme="minorHAnsi" w:cstheme="minorBidi"/>
              <w:noProof/>
              <w:color w:val="auto"/>
              <w:kern w:val="2"/>
              <w:sz w:val="24"/>
              <w:lang w:eastAsia="ja-JP"/>
              <w14:ligatures w14:val="standardContextual"/>
            </w:rPr>
          </w:pPr>
          <w:hyperlink w:anchor="_Toc197069397" w:history="1">
            <w:r w:rsidRPr="003F0198">
              <w:rPr>
                <w:rStyle w:val="Hyperlink"/>
                <w:noProof/>
              </w:rPr>
              <w:t>First Nations Health indicators</w:t>
            </w:r>
            <w:r>
              <w:rPr>
                <w:noProof/>
                <w:webHidden/>
              </w:rPr>
              <w:tab/>
            </w:r>
            <w:r>
              <w:rPr>
                <w:noProof/>
                <w:webHidden/>
              </w:rPr>
              <w:fldChar w:fldCharType="begin"/>
            </w:r>
            <w:r>
              <w:rPr>
                <w:noProof/>
                <w:webHidden/>
              </w:rPr>
              <w:instrText xml:space="preserve"> PAGEREF _Toc197069397 \h </w:instrText>
            </w:r>
            <w:r>
              <w:rPr>
                <w:noProof/>
                <w:webHidden/>
              </w:rPr>
            </w:r>
            <w:r>
              <w:rPr>
                <w:noProof/>
                <w:webHidden/>
              </w:rPr>
              <w:fldChar w:fldCharType="separate"/>
            </w:r>
            <w:r>
              <w:rPr>
                <w:noProof/>
                <w:webHidden/>
              </w:rPr>
              <w:t>25</w:t>
            </w:r>
            <w:r>
              <w:rPr>
                <w:noProof/>
                <w:webHidden/>
              </w:rPr>
              <w:fldChar w:fldCharType="end"/>
            </w:r>
          </w:hyperlink>
        </w:p>
        <w:p w14:paraId="5D114A3D" w14:textId="729E3A55" w:rsidR="00B64335" w:rsidRDefault="00B64335">
          <w:pPr>
            <w:pStyle w:val="TOC1"/>
            <w:rPr>
              <w:rFonts w:asciiTheme="minorHAnsi" w:eastAsiaTheme="minorEastAsia" w:hAnsiTheme="minorHAnsi" w:cstheme="minorBidi"/>
              <w:noProof/>
              <w:color w:val="auto"/>
              <w:kern w:val="2"/>
              <w:sz w:val="24"/>
              <w:lang w:eastAsia="ja-JP"/>
              <w14:ligatures w14:val="standardContextual"/>
            </w:rPr>
          </w:pPr>
          <w:hyperlink w:anchor="_Toc197069398" w:history="1">
            <w:r w:rsidRPr="003F0198">
              <w:rPr>
                <w:rStyle w:val="Hyperlink"/>
                <w:noProof/>
              </w:rPr>
              <w:t>Population Health indicators</w:t>
            </w:r>
            <w:r>
              <w:rPr>
                <w:noProof/>
                <w:webHidden/>
              </w:rPr>
              <w:tab/>
            </w:r>
            <w:r>
              <w:rPr>
                <w:noProof/>
                <w:webHidden/>
              </w:rPr>
              <w:fldChar w:fldCharType="begin"/>
            </w:r>
            <w:r>
              <w:rPr>
                <w:noProof/>
                <w:webHidden/>
              </w:rPr>
              <w:instrText xml:space="preserve"> PAGEREF _Toc197069398 \h </w:instrText>
            </w:r>
            <w:r>
              <w:rPr>
                <w:noProof/>
                <w:webHidden/>
              </w:rPr>
            </w:r>
            <w:r>
              <w:rPr>
                <w:noProof/>
                <w:webHidden/>
              </w:rPr>
              <w:fldChar w:fldCharType="separate"/>
            </w:r>
            <w:r>
              <w:rPr>
                <w:noProof/>
                <w:webHidden/>
              </w:rPr>
              <w:t>34</w:t>
            </w:r>
            <w:r>
              <w:rPr>
                <w:noProof/>
                <w:webHidden/>
              </w:rPr>
              <w:fldChar w:fldCharType="end"/>
            </w:r>
          </w:hyperlink>
        </w:p>
        <w:p w14:paraId="7B59F07B" w14:textId="309980A9" w:rsidR="00B64335" w:rsidRDefault="00B64335">
          <w:pPr>
            <w:pStyle w:val="TOC1"/>
            <w:rPr>
              <w:rFonts w:asciiTheme="minorHAnsi" w:eastAsiaTheme="minorEastAsia" w:hAnsiTheme="minorHAnsi" w:cstheme="minorBidi"/>
              <w:noProof/>
              <w:color w:val="auto"/>
              <w:kern w:val="2"/>
              <w:sz w:val="24"/>
              <w:lang w:eastAsia="ja-JP"/>
              <w14:ligatures w14:val="standardContextual"/>
            </w:rPr>
          </w:pPr>
          <w:hyperlink w:anchor="_Toc197069399" w:history="1">
            <w:r w:rsidRPr="003F0198">
              <w:rPr>
                <w:rStyle w:val="Hyperlink"/>
                <w:noProof/>
              </w:rPr>
              <w:t>Workforce indicators</w:t>
            </w:r>
            <w:r>
              <w:rPr>
                <w:noProof/>
                <w:webHidden/>
              </w:rPr>
              <w:tab/>
            </w:r>
            <w:r>
              <w:rPr>
                <w:noProof/>
                <w:webHidden/>
              </w:rPr>
              <w:fldChar w:fldCharType="begin"/>
            </w:r>
            <w:r>
              <w:rPr>
                <w:noProof/>
                <w:webHidden/>
              </w:rPr>
              <w:instrText xml:space="preserve"> PAGEREF _Toc197069399 \h </w:instrText>
            </w:r>
            <w:r>
              <w:rPr>
                <w:noProof/>
                <w:webHidden/>
              </w:rPr>
            </w:r>
            <w:r>
              <w:rPr>
                <w:noProof/>
                <w:webHidden/>
              </w:rPr>
              <w:fldChar w:fldCharType="separate"/>
            </w:r>
            <w:r>
              <w:rPr>
                <w:noProof/>
                <w:webHidden/>
              </w:rPr>
              <w:t>38</w:t>
            </w:r>
            <w:r>
              <w:rPr>
                <w:noProof/>
                <w:webHidden/>
              </w:rPr>
              <w:fldChar w:fldCharType="end"/>
            </w:r>
          </w:hyperlink>
        </w:p>
        <w:p w14:paraId="446B9538" w14:textId="7C194120" w:rsidR="00B64335" w:rsidRDefault="00B64335">
          <w:pPr>
            <w:pStyle w:val="TOC1"/>
            <w:rPr>
              <w:rFonts w:asciiTheme="minorHAnsi" w:eastAsiaTheme="minorEastAsia" w:hAnsiTheme="minorHAnsi" w:cstheme="minorBidi"/>
              <w:noProof/>
              <w:color w:val="auto"/>
              <w:kern w:val="2"/>
              <w:sz w:val="24"/>
              <w:lang w:eastAsia="ja-JP"/>
              <w14:ligatures w14:val="standardContextual"/>
            </w:rPr>
          </w:pPr>
          <w:hyperlink w:anchor="_Toc197069400" w:history="1">
            <w:r w:rsidRPr="003F0198">
              <w:rPr>
                <w:rStyle w:val="Hyperlink"/>
                <w:noProof/>
              </w:rPr>
              <w:t>Digital Health indicators</w:t>
            </w:r>
            <w:r>
              <w:rPr>
                <w:noProof/>
                <w:webHidden/>
              </w:rPr>
              <w:tab/>
            </w:r>
            <w:r>
              <w:rPr>
                <w:noProof/>
                <w:webHidden/>
              </w:rPr>
              <w:fldChar w:fldCharType="begin"/>
            </w:r>
            <w:r>
              <w:rPr>
                <w:noProof/>
                <w:webHidden/>
              </w:rPr>
              <w:instrText xml:space="preserve"> PAGEREF _Toc197069400 \h </w:instrText>
            </w:r>
            <w:r>
              <w:rPr>
                <w:noProof/>
                <w:webHidden/>
              </w:rPr>
            </w:r>
            <w:r>
              <w:rPr>
                <w:noProof/>
                <w:webHidden/>
              </w:rPr>
              <w:fldChar w:fldCharType="separate"/>
            </w:r>
            <w:r>
              <w:rPr>
                <w:noProof/>
                <w:webHidden/>
              </w:rPr>
              <w:t>41</w:t>
            </w:r>
            <w:r>
              <w:rPr>
                <w:noProof/>
                <w:webHidden/>
              </w:rPr>
              <w:fldChar w:fldCharType="end"/>
            </w:r>
          </w:hyperlink>
        </w:p>
        <w:p w14:paraId="6E486CF8" w14:textId="55464EE0" w:rsidR="00B64335" w:rsidRDefault="00B64335">
          <w:pPr>
            <w:pStyle w:val="TOC1"/>
            <w:rPr>
              <w:rFonts w:asciiTheme="minorHAnsi" w:eastAsiaTheme="minorEastAsia" w:hAnsiTheme="minorHAnsi" w:cstheme="minorBidi"/>
              <w:noProof/>
              <w:color w:val="auto"/>
              <w:kern w:val="2"/>
              <w:sz w:val="24"/>
              <w:lang w:eastAsia="ja-JP"/>
              <w14:ligatures w14:val="standardContextual"/>
            </w:rPr>
          </w:pPr>
          <w:hyperlink w:anchor="_Toc197069401" w:history="1">
            <w:r w:rsidRPr="003F0198">
              <w:rPr>
                <w:rStyle w:val="Hyperlink"/>
                <w:noProof/>
              </w:rPr>
              <w:t>Aged Care indicators</w:t>
            </w:r>
            <w:r>
              <w:rPr>
                <w:noProof/>
                <w:webHidden/>
              </w:rPr>
              <w:tab/>
            </w:r>
            <w:r>
              <w:rPr>
                <w:noProof/>
                <w:webHidden/>
              </w:rPr>
              <w:fldChar w:fldCharType="begin"/>
            </w:r>
            <w:r>
              <w:rPr>
                <w:noProof/>
                <w:webHidden/>
              </w:rPr>
              <w:instrText xml:space="preserve"> PAGEREF _Toc197069401 \h </w:instrText>
            </w:r>
            <w:r>
              <w:rPr>
                <w:noProof/>
                <w:webHidden/>
              </w:rPr>
            </w:r>
            <w:r>
              <w:rPr>
                <w:noProof/>
                <w:webHidden/>
              </w:rPr>
              <w:fldChar w:fldCharType="separate"/>
            </w:r>
            <w:r>
              <w:rPr>
                <w:noProof/>
                <w:webHidden/>
              </w:rPr>
              <w:t>44</w:t>
            </w:r>
            <w:r>
              <w:rPr>
                <w:noProof/>
                <w:webHidden/>
              </w:rPr>
              <w:fldChar w:fldCharType="end"/>
            </w:r>
          </w:hyperlink>
        </w:p>
        <w:p w14:paraId="6B8947F3" w14:textId="29E56D8A" w:rsidR="00B64335" w:rsidRDefault="00B64335">
          <w:pPr>
            <w:pStyle w:val="TOC1"/>
            <w:rPr>
              <w:rFonts w:asciiTheme="minorHAnsi" w:eastAsiaTheme="minorEastAsia" w:hAnsiTheme="minorHAnsi" w:cstheme="minorBidi"/>
              <w:noProof/>
              <w:color w:val="auto"/>
              <w:kern w:val="2"/>
              <w:sz w:val="24"/>
              <w:lang w:eastAsia="ja-JP"/>
              <w14:ligatures w14:val="standardContextual"/>
            </w:rPr>
          </w:pPr>
          <w:hyperlink w:anchor="_Toc197069402" w:history="1">
            <w:r w:rsidRPr="003F0198">
              <w:rPr>
                <w:rStyle w:val="Hyperlink"/>
                <w:noProof/>
              </w:rPr>
              <w:t>Alcohol and Other Drugs indicators</w:t>
            </w:r>
            <w:r>
              <w:rPr>
                <w:noProof/>
                <w:webHidden/>
              </w:rPr>
              <w:tab/>
            </w:r>
            <w:r>
              <w:rPr>
                <w:noProof/>
                <w:webHidden/>
              </w:rPr>
              <w:fldChar w:fldCharType="begin"/>
            </w:r>
            <w:r>
              <w:rPr>
                <w:noProof/>
                <w:webHidden/>
              </w:rPr>
              <w:instrText xml:space="preserve"> PAGEREF _Toc197069402 \h </w:instrText>
            </w:r>
            <w:r>
              <w:rPr>
                <w:noProof/>
                <w:webHidden/>
              </w:rPr>
            </w:r>
            <w:r>
              <w:rPr>
                <w:noProof/>
                <w:webHidden/>
              </w:rPr>
              <w:fldChar w:fldCharType="separate"/>
            </w:r>
            <w:r>
              <w:rPr>
                <w:noProof/>
                <w:webHidden/>
              </w:rPr>
              <w:t>46</w:t>
            </w:r>
            <w:r>
              <w:rPr>
                <w:noProof/>
                <w:webHidden/>
              </w:rPr>
              <w:fldChar w:fldCharType="end"/>
            </w:r>
          </w:hyperlink>
        </w:p>
        <w:p w14:paraId="0C9A17D0" w14:textId="3BBFC7BF" w:rsidR="00B64335" w:rsidRDefault="00B64335">
          <w:pPr>
            <w:pStyle w:val="TOC1"/>
            <w:rPr>
              <w:rFonts w:asciiTheme="minorHAnsi" w:eastAsiaTheme="minorEastAsia" w:hAnsiTheme="minorHAnsi" w:cstheme="minorBidi"/>
              <w:noProof/>
              <w:color w:val="auto"/>
              <w:kern w:val="2"/>
              <w:sz w:val="24"/>
              <w:lang w:eastAsia="ja-JP"/>
              <w14:ligatures w14:val="standardContextual"/>
            </w:rPr>
          </w:pPr>
          <w:hyperlink w:anchor="_Toc197069403" w:history="1">
            <w:r w:rsidRPr="003F0198">
              <w:rPr>
                <w:rStyle w:val="Hyperlink"/>
                <w:noProof/>
              </w:rPr>
              <w:t>Organisational indicators</w:t>
            </w:r>
            <w:r>
              <w:rPr>
                <w:noProof/>
                <w:webHidden/>
              </w:rPr>
              <w:tab/>
            </w:r>
            <w:r>
              <w:rPr>
                <w:noProof/>
                <w:webHidden/>
              </w:rPr>
              <w:fldChar w:fldCharType="begin"/>
            </w:r>
            <w:r>
              <w:rPr>
                <w:noProof/>
                <w:webHidden/>
              </w:rPr>
              <w:instrText xml:space="preserve"> PAGEREF _Toc197069403 \h </w:instrText>
            </w:r>
            <w:r>
              <w:rPr>
                <w:noProof/>
                <w:webHidden/>
              </w:rPr>
            </w:r>
            <w:r>
              <w:rPr>
                <w:noProof/>
                <w:webHidden/>
              </w:rPr>
              <w:fldChar w:fldCharType="separate"/>
            </w:r>
            <w:r>
              <w:rPr>
                <w:noProof/>
                <w:webHidden/>
              </w:rPr>
              <w:t>49</w:t>
            </w:r>
            <w:r>
              <w:rPr>
                <w:noProof/>
                <w:webHidden/>
              </w:rPr>
              <w:fldChar w:fldCharType="end"/>
            </w:r>
          </w:hyperlink>
        </w:p>
        <w:p w14:paraId="0E9034A6" w14:textId="5D5B6F3E" w:rsidR="00B64335" w:rsidRDefault="00B64335">
          <w:pPr>
            <w:pStyle w:val="TOC1"/>
            <w:rPr>
              <w:rFonts w:asciiTheme="minorHAnsi" w:eastAsiaTheme="minorEastAsia" w:hAnsiTheme="minorHAnsi" w:cstheme="minorBidi"/>
              <w:noProof/>
              <w:color w:val="auto"/>
              <w:kern w:val="2"/>
              <w:sz w:val="24"/>
              <w:lang w:eastAsia="ja-JP"/>
              <w14:ligatures w14:val="standardContextual"/>
            </w:rPr>
          </w:pPr>
          <w:hyperlink w:anchor="_Toc197069404" w:history="1">
            <w:r w:rsidRPr="003F0198">
              <w:rPr>
                <w:rStyle w:val="Hyperlink"/>
                <w:noProof/>
              </w:rPr>
              <w:t>Version History</w:t>
            </w:r>
            <w:r>
              <w:rPr>
                <w:noProof/>
                <w:webHidden/>
              </w:rPr>
              <w:tab/>
            </w:r>
            <w:r>
              <w:rPr>
                <w:noProof/>
                <w:webHidden/>
              </w:rPr>
              <w:fldChar w:fldCharType="begin"/>
            </w:r>
            <w:r>
              <w:rPr>
                <w:noProof/>
                <w:webHidden/>
              </w:rPr>
              <w:instrText xml:space="preserve"> PAGEREF _Toc197069404 \h </w:instrText>
            </w:r>
            <w:r>
              <w:rPr>
                <w:noProof/>
                <w:webHidden/>
              </w:rPr>
            </w:r>
            <w:r>
              <w:rPr>
                <w:noProof/>
                <w:webHidden/>
              </w:rPr>
              <w:fldChar w:fldCharType="separate"/>
            </w:r>
            <w:r>
              <w:rPr>
                <w:noProof/>
                <w:webHidden/>
              </w:rPr>
              <w:t>53</w:t>
            </w:r>
            <w:r>
              <w:rPr>
                <w:noProof/>
                <w:webHidden/>
              </w:rPr>
              <w:fldChar w:fldCharType="end"/>
            </w:r>
          </w:hyperlink>
        </w:p>
        <w:p w14:paraId="2AC8461B" w14:textId="77777777" w:rsidR="00665D8A" w:rsidRDefault="00B64335" w:rsidP="00665D8A">
          <w:r>
            <w:rPr>
              <w:b/>
              <w:bCs/>
              <w:noProof/>
            </w:rPr>
            <w:fldChar w:fldCharType="end"/>
          </w:r>
        </w:p>
      </w:sdtContent>
    </w:sdt>
    <w:p w14:paraId="05FFFE23" w14:textId="1CCACA86" w:rsidR="00B64335" w:rsidRPr="00665D8A" w:rsidRDefault="00B64335" w:rsidP="00665D8A">
      <w:r w:rsidRPr="00665D8A">
        <w:br w:type="page"/>
      </w:r>
    </w:p>
    <w:p w14:paraId="6B8EF4B2" w14:textId="5CE9877F" w:rsidR="00F9458B" w:rsidRPr="00E5778D" w:rsidRDefault="00F9458B" w:rsidP="00B64335">
      <w:pPr>
        <w:pStyle w:val="Heading1"/>
      </w:pPr>
      <w:bookmarkStart w:id="4" w:name="_Toc197069395"/>
      <w:r w:rsidRPr="00E5778D">
        <w:lastRenderedPageBreak/>
        <w:t>Program indicators</w:t>
      </w:r>
      <w:bookmarkEnd w:id="3"/>
      <w:bookmarkEnd w:id="2"/>
      <w:bookmarkEnd w:id="4"/>
    </w:p>
    <w:p w14:paraId="664E2EFF" w14:textId="1B5A5609" w:rsidR="00F9458B" w:rsidRPr="00716651" w:rsidRDefault="00F9458B" w:rsidP="00665D8A">
      <w:pPr>
        <w:pStyle w:val="Heading2"/>
      </w:pPr>
      <w:bookmarkStart w:id="5" w:name="_Toc517767141"/>
      <w:bookmarkStart w:id="6" w:name="_Toc517769792"/>
      <w:r w:rsidRPr="00716651">
        <w:t>P</w:t>
      </w:r>
      <w:r w:rsidR="00761DFA" w:rsidRPr="00716651">
        <w:t>1</w:t>
      </w:r>
      <w:r w:rsidRPr="00716651">
        <w:t>:</w:t>
      </w:r>
      <w:bookmarkStart w:id="7" w:name="_Toc517194513"/>
      <w:bookmarkStart w:id="8" w:name="_Toc517267747"/>
      <w:r w:rsidRPr="00716651">
        <w:t xml:space="preserve"> PHN activities address prioritised needs</w:t>
      </w:r>
      <w:bookmarkEnd w:id="5"/>
      <w:bookmarkEnd w:id="6"/>
      <w:bookmarkEnd w:id="7"/>
      <w:bookmarkEnd w:id="8"/>
      <w:r w:rsidR="00E5778D" w:rsidRPr="00716651">
        <w:rPr>
          <w:vertAlign w:val="superscript"/>
        </w:rPr>
        <w:footnoteReference w:id="2"/>
      </w:r>
    </w:p>
    <w:tbl>
      <w:tblPr>
        <w:tblStyle w:val="PHNTealtable"/>
        <w:tblpPr w:leftFromText="180" w:rightFromText="180" w:vertAnchor="text" w:tblpY="1"/>
        <w:tblOverlap w:val="never"/>
        <w:tblW w:w="972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4A0" w:firstRow="1" w:lastRow="0" w:firstColumn="1" w:lastColumn="0" w:noHBand="0" w:noVBand="1"/>
        <w:tblDescription w:val="This table details indicator P1: PHN activities address prioritised needs. It is comprised of two columns, and 12 rows. Column one provides the Item of the indicator, and Column two outlines the corresponding description."/>
      </w:tblPr>
      <w:tblGrid>
        <w:gridCol w:w="1570"/>
        <w:gridCol w:w="8158"/>
      </w:tblGrid>
      <w:tr w:rsidR="00F9458B" w:rsidRPr="00F9458B" w14:paraId="2F650E2D" w14:textId="77777777" w:rsidTr="00B80E97">
        <w:trPr>
          <w:cnfStyle w:val="100000000000" w:firstRow="1" w:lastRow="0" w:firstColumn="0" w:lastColumn="0" w:oddVBand="0" w:evenVBand="0" w:oddHBand="0" w:evenHBand="0" w:firstRowFirstColumn="0" w:firstRowLastColumn="0" w:lastRowFirstColumn="0" w:lastRowLastColumn="0"/>
          <w:tblHeader/>
        </w:trPr>
        <w:tc>
          <w:tcPr>
            <w:tcW w:w="1570" w:type="dxa"/>
            <w:shd w:val="clear" w:color="auto" w:fill="153A6E"/>
          </w:tcPr>
          <w:p w14:paraId="606DE0D9" w14:textId="77777777" w:rsidR="00F9458B" w:rsidRPr="00716651" w:rsidRDefault="00F9458B" w:rsidP="00716651">
            <w:pPr>
              <w:pStyle w:val="TableHeaderWhite"/>
            </w:pPr>
            <w:r w:rsidRPr="00716651">
              <w:t>Item</w:t>
            </w:r>
          </w:p>
        </w:tc>
        <w:tc>
          <w:tcPr>
            <w:tcW w:w="8158" w:type="dxa"/>
            <w:shd w:val="clear" w:color="auto" w:fill="153A6E"/>
          </w:tcPr>
          <w:p w14:paraId="7257DA77" w14:textId="77777777" w:rsidR="00F9458B" w:rsidRPr="00716651" w:rsidRDefault="00F9458B" w:rsidP="00716651">
            <w:pPr>
              <w:pStyle w:val="TableHeaderWhite"/>
            </w:pPr>
            <w:r w:rsidRPr="00716651">
              <w:t>Description</w:t>
            </w:r>
          </w:p>
        </w:tc>
      </w:tr>
      <w:tr w:rsidR="00F9458B" w:rsidRPr="00F9458B" w14:paraId="1C8CB4E9" w14:textId="77777777" w:rsidTr="00B80E97">
        <w:trPr>
          <w:cantSplit/>
        </w:trPr>
        <w:tc>
          <w:tcPr>
            <w:tcW w:w="1570" w:type="dxa"/>
          </w:tcPr>
          <w:p w14:paraId="52DDB36E" w14:textId="77777777" w:rsidR="00F9458B" w:rsidRPr="008A6671" w:rsidRDefault="00F9458B">
            <w:r w:rsidRPr="008A6671">
              <w:t>Assessment</w:t>
            </w:r>
          </w:p>
        </w:tc>
        <w:tc>
          <w:tcPr>
            <w:tcW w:w="8158" w:type="dxa"/>
          </w:tcPr>
          <w:p w14:paraId="1E39700F" w14:textId="502387CB" w:rsidR="00F9458B" w:rsidRPr="008A6671" w:rsidRDefault="00F9458B">
            <w:r w:rsidRPr="008A6671">
              <w:t>Individual PHN</w:t>
            </w:r>
            <w:r w:rsidR="00322E71">
              <w:t>.</w:t>
            </w:r>
          </w:p>
        </w:tc>
      </w:tr>
      <w:tr w:rsidR="00F9458B" w:rsidRPr="00F9458B" w14:paraId="4117C2E5" w14:textId="77777777" w:rsidTr="00B80E97">
        <w:trPr>
          <w:cantSplit/>
        </w:trPr>
        <w:tc>
          <w:tcPr>
            <w:tcW w:w="1570" w:type="dxa"/>
            <w:shd w:val="clear" w:color="auto" w:fill="D72F0D"/>
          </w:tcPr>
          <w:p w14:paraId="5D0510BB" w14:textId="77777777" w:rsidR="00F9458B" w:rsidRPr="0082185D" w:rsidRDefault="00F9458B" w:rsidP="0082185D">
            <w:r w:rsidRPr="0082185D">
              <w:t>Reporting</w:t>
            </w:r>
          </w:p>
        </w:tc>
        <w:tc>
          <w:tcPr>
            <w:tcW w:w="8158" w:type="dxa"/>
            <w:shd w:val="clear" w:color="auto" w:fill="D72F0D"/>
          </w:tcPr>
          <w:p w14:paraId="265FB7B8" w14:textId="07D3D187" w:rsidR="00F9458B" w:rsidRPr="0082185D" w:rsidRDefault="00091D4D" w:rsidP="0082185D">
            <w:r w:rsidRPr="0082185D">
              <w:t>Twelve</w:t>
            </w:r>
            <w:r w:rsidR="00F9458B" w:rsidRPr="0082185D">
              <w:t xml:space="preserve"> monthly by PHN</w:t>
            </w:r>
            <w:r w:rsidR="00322E71" w:rsidRPr="0082185D">
              <w:t>.</w:t>
            </w:r>
          </w:p>
        </w:tc>
      </w:tr>
      <w:tr w:rsidR="00F9458B" w:rsidRPr="00F9458B" w14:paraId="3A71A2F4" w14:textId="77777777" w:rsidTr="00B80E97">
        <w:trPr>
          <w:cantSplit/>
        </w:trPr>
        <w:tc>
          <w:tcPr>
            <w:tcW w:w="1570" w:type="dxa"/>
          </w:tcPr>
          <w:p w14:paraId="479C95BF" w14:textId="77777777" w:rsidR="00F9458B" w:rsidRPr="008A6671" w:rsidRDefault="00F9458B">
            <w:r w:rsidRPr="008A6671">
              <w:t>Definition</w:t>
            </w:r>
          </w:p>
        </w:tc>
        <w:tc>
          <w:tcPr>
            <w:tcW w:w="8158" w:type="dxa"/>
          </w:tcPr>
          <w:p w14:paraId="5D298FF6" w14:textId="3FDBB84D" w:rsidR="00F9458B" w:rsidRPr="008A6671" w:rsidRDefault="00F9458B">
            <w:r w:rsidRPr="008A6671">
              <w:t xml:space="preserve">Activities being delivered by the PHN address the prioritised needs in the PHN </w:t>
            </w:r>
            <w:r w:rsidR="007D4E5F">
              <w:t xml:space="preserve">Health </w:t>
            </w:r>
            <w:r w:rsidRPr="008A6671">
              <w:t>Needs Assessment and/or national priorities</w:t>
            </w:r>
            <w:r w:rsidR="00F25AD7">
              <w:t>.</w:t>
            </w:r>
          </w:p>
          <w:p w14:paraId="1E84A676" w14:textId="1FAEF7EB" w:rsidR="00F9458B" w:rsidRPr="008A6671" w:rsidRDefault="00F9458B">
            <w:r w:rsidRPr="008A6671">
              <w:t>Activities are defined as services delivered by a contracted provider, or individual projects that are delivered by the PHN directly. Activities may address one or more identified need</w:t>
            </w:r>
            <w:r w:rsidR="002D0FD2">
              <w:t>s</w:t>
            </w:r>
            <w:r w:rsidR="00F25AD7">
              <w:t>.</w:t>
            </w:r>
          </w:p>
          <w:p w14:paraId="61F2CB64" w14:textId="2E845FBD" w:rsidR="00F9458B" w:rsidRPr="008A6671" w:rsidRDefault="00F9458B">
            <w:r w:rsidRPr="008A6671">
              <w:t xml:space="preserve">Prioritised needs are defined as those identified in the PHN </w:t>
            </w:r>
            <w:r w:rsidR="00CB3F26">
              <w:t xml:space="preserve">Health </w:t>
            </w:r>
            <w:r w:rsidRPr="008A6671">
              <w:t>Needs Assessment and the PHN Activity Work Plan (AWP</w:t>
            </w:r>
            <w:r w:rsidRPr="008E5D2E">
              <w:t>)</w:t>
            </w:r>
            <w:r w:rsidR="00322E71">
              <w:t>.</w:t>
            </w:r>
          </w:p>
        </w:tc>
      </w:tr>
      <w:tr w:rsidR="00F9458B" w:rsidRPr="00F9458B" w14:paraId="108E2FB4" w14:textId="77777777" w:rsidTr="00B80E97">
        <w:trPr>
          <w:cantSplit/>
        </w:trPr>
        <w:tc>
          <w:tcPr>
            <w:tcW w:w="1570" w:type="dxa"/>
          </w:tcPr>
          <w:p w14:paraId="34854C7F" w14:textId="77777777" w:rsidR="00F9458B" w:rsidRPr="008A6671" w:rsidRDefault="00F9458B">
            <w:r w:rsidRPr="008A6671">
              <w:t>Purpose</w:t>
            </w:r>
          </w:p>
        </w:tc>
        <w:tc>
          <w:tcPr>
            <w:tcW w:w="8158" w:type="dxa"/>
          </w:tcPr>
          <w:p w14:paraId="78D48684" w14:textId="20B2BEBC" w:rsidR="00F9458B" w:rsidRPr="008A6671" w:rsidRDefault="00F9458B">
            <w:r w:rsidRPr="008A6671">
              <w:t>This information will provide the Department with a summary of the needs in each PHN region and how they are being addressed. The PHN</w:t>
            </w:r>
            <w:r w:rsidRPr="008E5D2E">
              <w:t xml:space="preserve"> </w:t>
            </w:r>
            <w:r w:rsidR="00CB3F26">
              <w:t>Health</w:t>
            </w:r>
            <w:r w:rsidRPr="008A6671">
              <w:t xml:space="preserve"> Needs Assessment is a key deliverable under the PHN Program which supports PHNs in understanding and prioritising the health needs of their region</w:t>
            </w:r>
            <w:r w:rsidR="00F25AD7">
              <w:t>.</w:t>
            </w:r>
          </w:p>
          <w:p w14:paraId="0C3962C1" w14:textId="044BFB6E" w:rsidR="00F9458B" w:rsidRPr="008A6671" w:rsidRDefault="00F9458B">
            <w:r w:rsidRPr="008A6671">
              <w:t>This information could also identify synergies or best practices that can be shared more widely across PHNs and assist in identifying emerging issues</w:t>
            </w:r>
            <w:r w:rsidR="00322E71">
              <w:t>.</w:t>
            </w:r>
          </w:p>
        </w:tc>
      </w:tr>
      <w:tr w:rsidR="00F9458B" w:rsidRPr="00F9458B" w14:paraId="190E0745" w14:textId="77777777" w:rsidTr="00B80E97">
        <w:trPr>
          <w:cantSplit/>
        </w:trPr>
        <w:tc>
          <w:tcPr>
            <w:tcW w:w="1570" w:type="dxa"/>
          </w:tcPr>
          <w:p w14:paraId="39C8B899" w14:textId="77777777" w:rsidR="00F9458B" w:rsidRPr="008A6671" w:rsidRDefault="00F9458B">
            <w:r w:rsidRPr="008A6671">
              <w:t>Outcome Theme: Addressing Needs</w:t>
            </w:r>
          </w:p>
        </w:tc>
        <w:tc>
          <w:tcPr>
            <w:tcW w:w="8158" w:type="dxa"/>
          </w:tcPr>
          <w:p w14:paraId="645EA5DD" w14:textId="77777777" w:rsidR="00F9458B" w:rsidRPr="008A6671" w:rsidRDefault="00F9458B">
            <w:r w:rsidRPr="008A6671">
              <w:t>Outcome:</w:t>
            </w:r>
          </w:p>
          <w:p w14:paraId="1E0DF8C9" w14:textId="71F96939" w:rsidR="00F9458B" w:rsidRPr="008A6671" w:rsidRDefault="00F9458B">
            <w:r w:rsidRPr="008A6671">
              <w:t>PHN activities and initiatives address local needs</w:t>
            </w:r>
            <w:r w:rsidR="00322E71">
              <w:t>.</w:t>
            </w:r>
          </w:p>
        </w:tc>
      </w:tr>
      <w:tr w:rsidR="00F9458B" w:rsidRPr="00F9458B" w14:paraId="6174FD4C" w14:textId="77777777" w:rsidTr="00B80E97">
        <w:trPr>
          <w:cantSplit/>
        </w:trPr>
        <w:tc>
          <w:tcPr>
            <w:tcW w:w="1570" w:type="dxa"/>
          </w:tcPr>
          <w:p w14:paraId="0229ACA8" w14:textId="77777777" w:rsidR="00F9458B" w:rsidRPr="008A6671" w:rsidRDefault="00F9458B">
            <w:r w:rsidRPr="008A6671">
              <w:t>Performance Criteria</w:t>
            </w:r>
          </w:p>
        </w:tc>
        <w:tc>
          <w:tcPr>
            <w:tcW w:w="8158" w:type="dxa"/>
          </w:tcPr>
          <w:p w14:paraId="13D159F6" w14:textId="1A83F338" w:rsidR="00F9458B" w:rsidRPr="008A6671" w:rsidRDefault="00F9458B">
            <w:r w:rsidRPr="008A6671">
              <w:t xml:space="preserve">100% of delivered activities address prioritised needs in PHN </w:t>
            </w:r>
            <w:r w:rsidR="006E21DC">
              <w:t xml:space="preserve">Health </w:t>
            </w:r>
            <w:r w:rsidRPr="008A6671">
              <w:t>Needs Assessment and/or national priorities</w:t>
            </w:r>
            <w:r w:rsidR="00322E71">
              <w:t>.</w:t>
            </w:r>
          </w:p>
        </w:tc>
      </w:tr>
      <w:tr w:rsidR="00F9458B" w:rsidRPr="00F9458B" w14:paraId="68CD84B7" w14:textId="77777777" w:rsidTr="00B80E97">
        <w:trPr>
          <w:cantSplit/>
        </w:trPr>
        <w:tc>
          <w:tcPr>
            <w:tcW w:w="1570" w:type="dxa"/>
          </w:tcPr>
          <w:p w14:paraId="60262FAA" w14:textId="77777777" w:rsidR="00F9458B" w:rsidRPr="008A6671" w:rsidRDefault="00F9458B">
            <w:r w:rsidRPr="008A6671">
              <w:t>Data Source</w:t>
            </w:r>
          </w:p>
        </w:tc>
        <w:tc>
          <w:tcPr>
            <w:tcW w:w="8158" w:type="dxa"/>
          </w:tcPr>
          <w:p w14:paraId="33FF6B8B" w14:textId="4D778E0F" w:rsidR="00F9458B" w:rsidRPr="008A6671" w:rsidRDefault="00F9458B">
            <w:r w:rsidRPr="008A6671">
              <w:t xml:space="preserve">PHN </w:t>
            </w:r>
            <w:r w:rsidR="006E21DC" w:rsidRPr="00B64335">
              <w:t>Health</w:t>
            </w:r>
            <w:r w:rsidRPr="00B64335">
              <w:t xml:space="preserve"> </w:t>
            </w:r>
            <w:r w:rsidRPr="008A6671">
              <w:t xml:space="preserve">Needs Assessment, AWP and </w:t>
            </w:r>
            <w:proofErr w:type="gramStart"/>
            <w:r w:rsidR="00715F1E" w:rsidRPr="00B64335">
              <w:t>t</w:t>
            </w:r>
            <w:r w:rsidR="007A57B5" w:rsidRPr="00B64335">
              <w:t>welve monthly</w:t>
            </w:r>
            <w:proofErr w:type="gramEnd"/>
            <w:r w:rsidRPr="008A6671">
              <w:t xml:space="preserve"> reporting</w:t>
            </w:r>
            <w:r w:rsidR="00322E71" w:rsidRPr="00B64335">
              <w:t>.</w:t>
            </w:r>
          </w:p>
        </w:tc>
      </w:tr>
      <w:tr w:rsidR="00F9458B" w:rsidRPr="00F9458B" w14:paraId="033626F7" w14:textId="77777777" w:rsidTr="00B80E97">
        <w:trPr>
          <w:cantSplit/>
        </w:trPr>
        <w:tc>
          <w:tcPr>
            <w:tcW w:w="1570" w:type="dxa"/>
          </w:tcPr>
          <w:p w14:paraId="2F695CCA" w14:textId="77777777" w:rsidR="00F9458B" w:rsidRPr="008A6671" w:rsidRDefault="00F9458B">
            <w:r w:rsidRPr="008A6671">
              <w:t>Calculation</w:t>
            </w:r>
          </w:p>
        </w:tc>
        <w:tc>
          <w:tcPr>
            <w:tcW w:w="8158" w:type="dxa"/>
          </w:tcPr>
          <w:p w14:paraId="781971F8" w14:textId="00B1B65F" w:rsidR="00F9458B" w:rsidRPr="008A6671" w:rsidRDefault="00370D32">
            <w:r w:rsidRPr="008A6671">
              <w:t>Department of Health and Aged Care</w:t>
            </w:r>
            <w:r w:rsidR="00F9458B" w:rsidRPr="008A6671">
              <w:t xml:space="preserve"> will assess information provided in the Variance Report. The Variance Report comprises a list of individual PHN activities pre-populated from their AWP where PHNs detail expected spend by reporting period against actual spend, identify the related need or priority area and assign a risk rating</w:t>
            </w:r>
            <w:r w:rsidR="00322E71">
              <w:t>.</w:t>
            </w:r>
          </w:p>
        </w:tc>
      </w:tr>
      <w:tr w:rsidR="00F9458B" w:rsidRPr="00F9458B" w14:paraId="045DE4C7" w14:textId="77777777" w:rsidTr="00B80E97">
        <w:trPr>
          <w:cantSplit/>
        </w:trPr>
        <w:tc>
          <w:tcPr>
            <w:tcW w:w="1570" w:type="dxa"/>
          </w:tcPr>
          <w:p w14:paraId="4F818C8C" w14:textId="77777777" w:rsidR="00F9458B" w:rsidRPr="008A6671" w:rsidRDefault="00F9458B">
            <w:r w:rsidRPr="008A6671">
              <w:t>Limitations</w:t>
            </w:r>
          </w:p>
        </w:tc>
        <w:tc>
          <w:tcPr>
            <w:tcW w:w="8158" w:type="dxa"/>
          </w:tcPr>
          <w:p w14:paraId="37F9C741" w14:textId="19274756" w:rsidR="00F9458B" w:rsidRPr="008A6671" w:rsidRDefault="00F9458B">
            <w:r w:rsidRPr="008A6671">
              <w:t>This indicator will not provide information in relation to whether the activity being delivered provides value for money</w:t>
            </w:r>
            <w:r w:rsidR="00322E71">
              <w:t>.</w:t>
            </w:r>
          </w:p>
        </w:tc>
      </w:tr>
      <w:tr w:rsidR="00F9458B" w:rsidRPr="00F9458B" w14:paraId="40C6FE27" w14:textId="77777777" w:rsidTr="00B80E97">
        <w:trPr>
          <w:cantSplit/>
        </w:trPr>
        <w:tc>
          <w:tcPr>
            <w:tcW w:w="1570" w:type="dxa"/>
          </w:tcPr>
          <w:p w14:paraId="211E69CE" w14:textId="77777777" w:rsidR="00F9458B" w:rsidRPr="008A6671" w:rsidRDefault="00F9458B">
            <w:r w:rsidRPr="008A6671">
              <w:t>Additional information</w:t>
            </w:r>
          </w:p>
        </w:tc>
        <w:tc>
          <w:tcPr>
            <w:tcW w:w="8158" w:type="dxa"/>
          </w:tcPr>
          <w:p w14:paraId="26CDD090" w14:textId="3630CCDB" w:rsidR="00F9458B" w:rsidRPr="008A6671" w:rsidRDefault="00F9458B">
            <w:r w:rsidRPr="008A6671">
              <w:t>This indicator will also be used to measure organisational capability of PHN</w:t>
            </w:r>
            <w:r w:rsidR="009277BC">
              <w:t>s</w:t>
            </w:r>
            <w:r w:rsidR="00322E71">
              <w:t>.</w:t>
            </w:r>
          </w:p>
        </w:tc>
      </w:tr>
    </w:tbl>
    <w:p w14:paraId="7DCDE47E" w14:textId="4A6D5C30" w:rsidR="00F9458B" w:rsidRPr="00F9458B" w:rsidRDefault="00F9458B" w:rsidP="00665D8A">
      <w:pPr>
        <w:pStyle w:val="Heading2"/>
      </w:pPr>
      <w:bookmarkStart w:id="9" w:name="_Toc517194514"/>
      <w:bookmarkStart w:id="10" w:name="_Toc517267748"/>
      <w:bookmarkStart w:id="11" w:name="_Toc517767142"/>
      <w:bookmarkStart w:id="12" w:name="_Toc517769793"/>
      <w:r w:rsidRPr="00F9458B">
        <w:lastRenderedPageBreak/>
        <w:t>P</w:t>
      </w:r>
      <w:r w:rsidR="00761DFA">
        <w:t>2</w:t>
      </w:r>
      <w:r w:rsidRPr="00F9458B">
        <w:t>: Health system improvement and innovation</w:t>
      </w:r>
      <w:bookmarkEnd w:id="9"/>
      <w:bookmarkEnd w:id="10"/>
      <w:bookmarkEnd w:id="11"/>
      <w:bookmarkEnd w:id="12"/>
    </w:p>
    <w:tbl>
      <w:tblPr>
        <w:tblStyle w:val="PHNTealtable"/>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4A0" w:firstRow="1" w:lastRow="0" w:firstColumn="1" w:lastColumn="0" w:noHBand="0" w:noVBand="1"/>
        <w:tblDescription w:val="This table details indicator P2: Health system improvement and innovation. It is comprised of two columns, and 11 rows. Column one provides the Item of the indicator, and Column two outlines the corresponding description."/>
      </w:tblPr>
      <w:tblGrid>
        <w:gridCol w:w="1571"/>
        <w:gridCol w:w="8156"/>
      </w:tblGrid>
      <w:tr w:rsidR="00F9458B" w:rsidRPr="00F9458B" w14:paraId="1DBBE31D" w14:textId="77777777" w:rsidTr="00BF4DC8">
        <w:trPr>
          <w:cnfStyle w:val="100000000000" w:firstRow="1" w:lastRow="0" w:firstColumn="0" w:lastColumn="0" w:oddVBand="0" w:evenVBand="0" w:oddHBand="0" w:evenHBand="0" w:firstRowFirstColumn="0" w:firstRowLastColumn="0" w:lastRowFirstColumn="0" w:lastRowLastColumn="0"/>
          <w:tblHeader/>
        </w:trPr>
        <w:tc>
          <w:tcPr>
            <w:tcW w:w="1574" w:type="dxa"/>
            <w:shd w:val="clear" w:color="auto" w:fill="153A6E"/>
          </w:tcPr>
          <w:p w14:paraId="5EC3AA5C" w14:textId="77777777" w:rsidR="00F9458B" w:rsidRPr="00716651" w:rsidRDefault="00F9458B" w:rsidP="00716651">
            <w:pPr>
              <w:pStyle w:val="TableHeaderWhite"/>
            </w:pPr>
            <w:r w:rsidRPr="00716651">
              <w:t>Item</w:t>
            </w:r>
          </w:p>
        </w:tc>
        <w:tc>
          <w:tcPr>
            <w:tcW w:w="8388" w:type="dxa"/>
            <w:shd w:val="clear" w:color="auto" w:fill="153A6E"/>
          </w:tcPr>
          <w:p w14:paraId="136B7D8A" w14:textId="77777777" w:rsidR="00F9458B" w:rsidRPr="00716651" w:rsidRDefault="00F9458B" w:rsidP="00716651">
            <w:pPr>
              <w:pStyle w:val="TableHeaderWhite"/>
            </w:pPr>
            <w:r w:rsidRPr="00716651">
              <w:t>Description</w:t>
            </w:r>
          </w:p>
        </w:tc>
      </w:tr>
      <w:tr w:rsidR="00F9458B" w:rsidRPr="00F9458B" w14:paraId="263082F4" w14:textId="77777777" w:rsidTr="00405F47">
        <w:trPr>
          <w:cantSplit/>
        </w:trPr>
        <w:tc>
          <w:tcPr>
            <w:tcW w:w="1574" w:type="dxa"/>
          </w:tcPr>
          <w:p w14:paraId="4C048A0E" w14:textId="77777777" w:rsidR="00F9458B" w:rsidRPr="008A6671" w:rsidRDefault="00F9458B" w:rsidP="00F9458B">
            <w:r w:rsidRPr="008A6671">
              <w:t>Assessment</w:t>
            </w:r>
          </w:p>
        </w:tc>
        <w:tc>
          <w:tcPr>
            <w:tcW w:w="8388" w:type="dxa"/>
          </w:tcPr>
          <w:p w14:paraId="65310F9A" w14:textId="798666AB" w:rsidR="00F9458B" w:rsidRPr="008A6671" w:rsidRDefault="00F9458B" w:rsidP="00F9458B">
            <w:r w:rsidRPr="008A6671">
              <w:t>Individual PHN</w:t>
            </w:r>
            <w:r w:rsidR="00322E71">
              <w:t>.</w:t>
            </w:r>
          </w:p>
        </w:tc>
      </w:tr>
      <w:tr w:rsidR="00F9458B" w:rsidRPr="00F9458B" w14:paraId="725603FC" w14:textId="77777777" w:rsidTr="00BF4DC8">
        <w:trPr>
          <w:cantSplit/>
          <w:trHeight w:val="343"/>
        </w:trPr>
        <w:tc>
          <w:tcPr>
            <w:tcW w:w="1574" w:type="dxa"/>
            <w:shd w:val="clear" w:color="auto" w:fill="D72F0D"/>
          </w:tcPr>
          <w:p w14:paraId="2E1C95B8" w14:textId="77777777" w:rsidR="00F9458B" w:rsidRPr="0082185D" w:rsidRDefault="00F9458B" w:rsidP="0082185D">
            <w:r w:rsidRPr="0082185D">
              <w:t>Reporting</w:t>
            </w:r>
          </w:p>
        </w:tc>
        <w:tc>
          <w:tcPr>
            <w:tcW w:w="8388" w:type="dxa"/>
            <w:shd w:val="clear" w:color="auto" w:fill="D72F0D"/>
          </w:tcPr>
          <w:p w14:paraId="19A88DD6" w14:textId="465CB72D" w:rsidR="00F9458B" w:rsidRPr="0082185D" w:rsidRDefault="00F9458B" w:rsidP="0082185D">
            <w:r w:rsidRPr="0082185D">
              <w:t>Twelve monthly by PHN</w:t>
            </w:r>
            <w:r w:rsidR="00322E71" w:rsidRPr="0082185D">
              <w:t>.</w:t>
            </w:r>
          </w:p>
        </w:tc>
      </w:tr>
      <w:tr w:rsidR="00F9458B" w:rsidRPr="00F9458B" w14:paraId="73BCFEF9" w14:textId="77777777" w:rsidTr="00405F47">
        <w:trPr>
          <w:cantSplit/>
        </w:trPr>
        <w:tc>
          <w:tcPr>
            <w:tcW w:w="1574" w:type="dxa"/>
          </w:tcPr>
          <w:p w14:paraId="68E3D20E" w14:textId="77777777" w:rsidR="00F9458B" w:rsidRPr="008A6671" w:rsidRDefault="00F9458B" w:rsidP="00F9458B">
            <w:r w:rsidRPr="008A6671">
              <w:t>Definition</w:t>
            </w:r>
          </w:p>
        </w:tc>
        <w:tc>
          <w:tcPr>
            <w:tcW w:w="8388" w:type="dxa"/>
          </w:tcPr>
          <w:p w14:paraId="06FE5881" w14:textId="714B1CC2" w:rsidR="00F9458B" w:rsidRPr="008A6671" w:rsidRDefault="00F9458B" w:rsidP="00F9458B">
            <w:r w:rsidRPr="008A6671">
              <w:t>Description of health system improvements, innovations or commissioning best practice in the PHN region. The examples provided could be based on PHN or commissioned service provider work</w:t>
            </w:r>
            <w:r w:rsidR="00F25AD7">
              <w:t>.</w:t>
            </w:r>
          </w:p>
          <w:p w14:paraId="6695F22D" w14:textId="699B24D4" w:rsidR="00F9458B" w:rsidRPr="008A6671" w:rsidRDefault="00F9458B" w:rsidP="00F9458B">
            <w:r w:rsidRPr="008A6671">
              <w:t>Health system improvements are where the PHN has worked within its region to improve health systems or relationships</w:t>
            </w:r>
            <w:r w:rsidR="00F25AD7">
              <w:t>.</w:t>
            </w:r>
          </w:p>
          <w:p w14:paraId="217893B9" w14:textId="7FE0B7A5" w:rsidR="00F9458B" w:rsidRPr="008A6671" w:rsidRDefault="00F9458B" w:rsidP="00F9458B">
            <w:r w:rsidRPr="008A6671">
              <w:t>Innovations are changes which are a significantly new or redesigned product, service, or general improvement to the health system or structures in the PHN region</w:t>
            </w:r>
            <w:r w:rsidR="00F25AD7">
              <w:t>.</w:t>
            </w:r>
          </w:p>
          <w:p w14:paraId="29C7DED9" w14:textId="5107F1D8" w:rsidR="00F9458B" w:rsidRPr="008A6671" w:rsidRDefault="00F9458B" w:rsidP="00F9458B">
            <w:r w:rsidRPr="008A6671">
              <w:t>Commissioning best practices can include where the PHN has used co-design processes, outcomes</w:t>
            </w:r>
            <w:r w:rsidR="003716DD">
              <w:t>-</w:t>
            </w:r>
            <w:r w:rsidRPr="008A6671">
              <w:t>based commissioning, engaged with new stakeholders or other approaches for a good outcome</w:t>
            </w:r>
            <w:r w:rsidR="00322E71">
              <w:t>.</w:t>
            </w:r>
          </w:p>
        </w:tc>
      </w:tr>
      <w:tr w:rsidR="00F9458B" w:rsidRPr="00F9458B" w14:paraId="33A6A34B" w14:textId="77777777" w:rsidTr="00405F47">
        <w:trPr>
          <w:cantSplit/>
        </w:trPr>
        <w:tc>
          <w:tcPr>
            <w:tcW w:w="1574" w:type="dxa"/>
          </w:tcPr>
          <w:p w14:paraId="348E95FC" w14:textId="77777777" w:rsidR="00F9458B" w:rsidRPr="008A6671" w:rsidRDefault="00F9458B" w:rsidP="00F9458B">
            <w:r w:rsidRPr="008A6671">
              <w:t>Purpose</w:t>
            </w:r>
          </w:p>
        </w:tc>
        <w:tc>
          <w:tcPr>
            <w:tcW w:w="8388" w:type="dxa"/>
          </w:tcPr>
          <w:p w14:paraId="5D1CC461" w14:textId="62E69EAB" w:rsidR="00F9458B" w:rsidRPr="008A6671" w:rsidRDefault="00F9458B" w:rsidP="00F9458B">
            <w:r w:rsidRPr="008A6671">
              <w:t>This indicator provides an opportunity for PHNs to provide information on improvements they have made to their local region through commissioning, system integration or introduction of innovation</w:t>
            </w:r>
            <w:r w:rsidR="00322E71">
              <w:t>.</w:t>
            </w:r>
          </w:p>
        </w:tc>
      </w:tr>
      <w:tr w:rsidR="00F9458B" w:rsidRPr="00F9458B" w14:paraId="5707D32C" w14:textId="77777777" w:rsidTr="00405F47">
        <w:trPr>
          <w:cantSplit/>
        </w:trPr>
        <w:tc>
          <w:tcPr>
            <w:tcW w:w="1574" w:type="dxa"/>
          </w:tcPr>
          <w:p w14:paraId="1AD336DC" w14:textId="77777777" w:rsidR="00F9458B" w:rsidRPr="008A6671" w:rsidRDefault="00F9458B" w:rsidP="00F9458B">
            <w:r w:rsidRPr="008A6671">
              <w:t>Outcome Theme: Addressing Needs</w:t>
            </w:r>
          </w:p>
        </w:tc>
        <w:tc>
          <w:tcPr>
            <w:tcW w:w="8388" w:type="dxa"/>
          </w:tcPr>
          <w:p w14:paraId="33EC5BC2" w14:textId="77777777" w:rsidR="00F9458B" w:rsidRPr="008A6671" w:rsidRDefault="00F9458B" w:rsidP="00F9458B">
            <w:r w:rsidRPr="008A6671">
              <w:t>Outcome:</w:t>
            </w:r>
          </w:p>
          <w:p w14:paraId="0D88E00C" w14:textId="4461FBD5" w:rsidR="00F9458B" w:rsidRPr="008A6671" w:rsidRDefault="00F9458B" w:rsidP="00F9458B">
            <w:r w:rsidRPr="008A6671">
              <w:t>PHN activities and initiatives address local needs</w:t>
            </w:r>
            <w:r w:rsidR="00322E71">
              <w:t>.</w:t>
            </w:r>
          </w:p>
        </w:tc>
      </w:tr>
      <w:tr w:rsidR="00F9458B" w:rsidRPr="00F9458B" w14:paraId="0834D884" w14:textId="77777777" w:rsidTr="00405F47">
        <w:trPr>
          <w:cantSplit/>
        </w:trPr>
        <w:tc>
          <w:tcPr>
            <w:tcW w:w="1574" w:type="dxa"/>
          </w:tcPr>
          <w:p w14:paraId="623D1C45" w14:textId="77777777" w:rsidR="00F9458B" w:rsidRPr="008A6671" w:rsidRDefault="00F9458B" w:rsidP="00F9458B">
            <w:r w:rsidRPr="008A6671">
              <w:t>Performance Criteria</w:t>
            </w:r>
          </w:p>
        </w:tc>
        <w:tc>
          <w:tcPr>
            <w:tcW w:w="8388" w:type="dxa"/>
          </w:tcPr>
          <w:p w14:paraId="5D726260" w14:textId="7E0701ED" w:rsidR="00F9458B" w:rsidRPr="008A6671" w:rsidRDefault="00F9458B" w:rsidP="00F9458B">
            <w:r w:rsidRPr="008A6671">
              <w:t>At least one example of a health system improvement, innovation or commissioning best practice</w:t>
            </w:r>
            <w:r w:rsidR="00322E71">
              <w:t>.</w:t>
            </w:r>
          </w:p>
        </w:tc>
      </w:tr>
      <w:tr w:rsidR="00F9458B" w:rsidRPr="00F9458B" w14:paraId="22F0EA1E" w14:textId="77777777" w:rsidTr="00405F47">
        <w:trPr>
          <w:cantSplit/>
        </w:trPr>
        <w:tc>
          <w:tcPr>
            <w:tcW w:w="1574" w:type="dxa"/>
          </w:tcPr>
          <w:p w14:paraId="6E62F90C" w14:textId="77777777" w:rsidR="00F9458B" w:rsidRPr="008A6671" w:rsidRDefault="00F9458B" w:rsidP="00F9458B">
            <w:r w:rsidRPr="008A6671">
              <w:t>Data Source</w:t>
            </w:r>
          </w:p>
        </w:tc>
        <w:tc>
          <w:tcPr>
            <w:tcW w:w="8388" w:type="dxa"/>
          </w:tcPr>
          <w:p w14:paraId="65F92AEE" w14:textId="6DE1E259" w:rsidR="00F9458B" w:rsidRPr="008A6671" w:rsidRDefault="00F9458B" w:rsidP="00F9458B">
            <w:r w:rsidRPr="008A6671">
              <w:t>PHN supplies a short description of health system improvement, innovation or commissioning best practice</w:t>
            </w:r>
            <w:r w:rsidR="00322E71">
              <w:t>.</w:t>
            </w:r>
          </w:p>
        </w:tc>
      </w:tr>
      <w:tr w:rsidR="00F9458B" w:rsidRPr="00F9458B" w14:paraId="55C20406" w14:textId="77777777" w:rsidTr="00405F47">
        <w:trPr>
          <w:cantSplit/>
        </w:trPr>
        <w:tc>
          <w:tcPr>
            <w:tcW w:w="1574" w:type="dxa"/>
          </w:tcPr>
          <w:p w14:paraId="0F524BD4" w14:textId="77777777" w:rsidR="00F9458B" w:rsidRPr="008A6671" w:rsidRDefault="00F9458B" w:rsidP="00F9458B">
            <w:r w:rsidRPr="008A6671">
              <w:t>Calculation</w:t>
            </w:r>
          </w:p>
        </w:tc>
        <w:tc>
          <w:tcPr>
            <w:tcW w:w="8388" w:type="dxa"/>
          </w:tcPr>
          <w:p w14:paraId="6333D011" w14:textId="0DB556EA" w:rsidR="00F9458B" w:rsidRPr="008A6671" w:rsidRDefault="00370D32" w:rsidP="00F9458B">
            <w:r w:rsidRPr="008A6671">
              <w:t>Department of Health and Aged Care</w:t>
            </w:r>
            <w:r w:rsidR="00F9458B" w:rsidRPr="008A6671">
              <w:t xml:space="preserve"> will assess the qualitative information provided by the PHN</w:t>
            </w:r>
            <w:r w:rsidR="00322E71">
              <w:t>.</w:t>
            </w:r>
          </w:p>
        </w:tc>
      </w:tr>
      <w:tr w:rsidR="00F9458B" w:rsidRPr="00F9458B" w14:paraId="6934BF98" w14:textId="77777777" w:rsidTr="00405F47">
        <w:trPr>
          <w:cantSplit/>
        </w:trPr>
        <w:tc>
          <w:tcPr>
            <w:tcW w:w="1574" w:type="dxa"/>
          </w:tcPr>
          <w:p w14:paraId="0F2150F2" w14:textId="77777777" w:rsidR="00F9458B" w:rsidRPr="008A6671" w:rsidRDefault="00F9458B" w:rsidP="00F9458B">
            <w:r w:rsidRPr="008A6671">
              <w:t>Limitations</w:t>
            </w:r>
          </w:p>
        </w:tc>
        <w:tc>
          <w:tcPr>
            <w:tcW w:w="8388" w:type="dxa"/>
          </w:tcPr>
          <w:p w14:paraId="0C2B0392" w14:textId="77777777" w:rsidR="00F9458B" w:rsidRPr="008A6671" w:rsidRDefault="00F9458B" w:rsidP="00F9458B">
            <w:r w:rsidRPr="008A6671">
              <w:t>-</w:t>
            </w:r>
          </w:p>
        </w:tc>
      </w:tr>
      <w:tr w:rsidR="00F9458B" w:rsidRPr="00F9458B" w14:paraId="0BE3AB86" w14:textId="77777777" w:rsidTr="00405F47">
        <w:trPr>
          <w:cantSplit/>
        </w:trPr>
        <w:tc>
          <w:tcPr>
            <w:tcW w:w="1574" w:type="dxa"/>
          </w:tcPr>
          <w:p w14:paraId="27A715F8" w14:textId="77777777" w:rsidR="00F9458B" w:rsidRPr="008A6671" w:rsidRDefault="00F9458B" w:rsidP="00F9458B">
            <w:r w:rsidRPr="008A6671">
              <w:t>Additional information</w:t>
            </w:r>
          </w:p>
        </w:tc>
        <w:tc>
          <w:tcPr>
            <w:tcW w:w="8388" w:type="dxa"/>
          </w:tcPr>
          <w:p w14:paraId="50028636" w14:textId="3075E339" w:rsidR="00F9458B" w:rsidRPr="00665D8A" w:rsidRDefault="00063E81" w:rsidP="00665D8A">
            <w:r w:rsidRPr="00665D8A">
              <w:t>It is</w:t>
            </w:r>
            <w:r w:rsidR="00F9458B" w:rsidRPr="00665D8A">
              <w:t xml:space="preserve"> an expectation that PHNs are innovative organisations</w:t>
            </w:r>
            <w:r w:rsidR="00322E71" w:rsidRPr="00665D8A">
              <w:t>.</w:t>
            </w:r>
          </w:p>
        </w:tc>
      </w:tr>
    </w:tbl>
    <w:p w14:paraId="53D9B922" w14:textId="77D96C90" w:rsidR="00F9458B" w:rsidRPr="00F9458B" w:rsidRDefault="00F9458B" w:rsidP="00665D8A">
      <w:pPr>
        <w:pStyle w:val="Heading2"/>
      </w:pPr>
      <w:bookmarkStart w:id="13" w:name="_Toc517194515"/>
      <w:bookmarkStart w:id="14" w:name="_Toc517267749"/>
      <w:bookmarkStart w:id="15" w:name="_Toc517767143"/>
      <w:bookmarkStart w:id="16" w:name="_Toc517769794"/>
      <w:r w:rsidRPr="00F9458B">
        <w:t>P</w:t>
      </w:r>
      <w:r w:rsidR="00761DFA">
        <w:t>3</w:t>
      </w:r>
      <w:r w:rsidRPr="00F9458B">
        <w:t>: Rate of general practice accreditation</w:t>
      </w:r>
      <w:bookmarkEnd w:id="13"/>
      <w:bookmarkEnd w:id="14"/>
      <w:bookmarkEnd w:id="15"/>
      <w:bookmarkEnd w:id="16"/>
    </w:p>
    <w:tbl>
      <w:tblPr>
        <w:tblStyle w:val="PHNTealtable"/>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4A0" w:firstRow="1" w:lastRow="0" w:firstColumn="1" w:lastColumn="0" w:noHBand="0" w:noVBand="1"/>
        <w:tblDescription w:val="This table details indicator P3: Rate of general practice accreditation. It is comprised of two columns, and 11 rows. Column one provides the Item of the indicator, and Column two outlines the corresponding description."/>
      </w:tblPr>
      <w:tblGrid>
        <w:gridCol w:w="1571"/>
        <w:gridCol w:w="8156"/>
      </w:tblGrid>
      <w:tr w:rsidR="00F9458B" w:rsidRPr="00F9458B" w14:paraId="27069443" w14:textId="77777777" w:rsidTr="77D0C6EF">
        <w:trPr>
          <w:cnfStyle w:val="100000000000" w:firstRow="1" w:lastRow="0" w:firstColumn="0" w:lastColumn="0" w:oddVBand="0" w:evenVBand="0" w:oddHBand="0" w:evenHBand="0" w:firstRowFirstColumn="0" w:firstRowLastColumn="0" w:lastRowFirstColumn="0" w:lastRowLastColumn="0"/>
          <w:tblHeader/>
        </w:trPr>
        <w:tc>
          <w:tcPr>
            <w:tcW w:w="1574" w:type="dxa"/>
            <w:shd w:val="clear" w:color="auto" w:fill="153A6E"/>
          </w:tcPr>
          <w:p w14:paraId="62A03187" w14:textId="77777777" w:rsidR="00F9458B" w:rsidRPr="00716651" w:rsidRDefault="00F9458B" w:rsidP="00716651">
            <w:pPr>
              <w:pStyle w:val="TableHeaderWhite"/>
            </w:pPr>
            <w:r w:rsidRPr="00716651">
              <w:t>Item</w:t>
            </w:r>
          </w:p>
        </w:tc>
        <w:tc>
          <w:tcPr>
            <w:tcW w:w="8388" w:type="dxa"/>
            <w:shd w:val="clear" w:color="auto" w:fill="153A6E"/>
          </w:tcPr>
          <w:p w14:paraId="369902A0" w14:textId="77777777" w:rsidR="00F9458B" w:rsidRPr="00716651" w:rsidRDefault="00F9458B" w:rsidP="00716651">
            <w:pPr>
              <w:pStyle w:val="TableHeaderWhite"/>
            </w:pPr>
            <w:r w:rsidRPr="00716651">
              <w:t>Description</w:t>
            </w:r>
          </w:p>
        </w:tc>
      </w:tr>
      <w:tr w:rsidR="00F9458B" w:rsidRPr="00F9458B" w14:paraId="63D64A74" w14:textId="77777777" w:rsidTr="77D0C6EF">
        <w:trPr>
          <w:cantSplit/>
          <w:trHeight w:val="308"/>
        </w:trPr>
        <w:tc>
          <w:tcPr>
            <w:tcW w:w="1574" w:type="dxa"/>
          </w:tcPr>
          <w:p w14:paraId="4272838A" w14:textId="77777777" w:rsidR="00F9458B" w:rsidRPr="008A6671" w:rsidRDefault="00F9458B" w:rsidP="00F9458B">
            <w:r w:rsidRPr="008A6671">
              <w:t>Assessment</w:t>
            </w:r>
          </w:p>
        </w:tc>
        <w:tc>
          <w:tcPr>
            <w:tcW w:w="8388" w:type="dxa"/>
          </w:tcPr>
          <w:p w14:paraId="3E2D1DA0" w14:textId="70C95A5C" w:rsidR="00F9458B" w:rsidRPr="008A6671" w:rsidRDefault="00F9458B" w:rsidP="00F9458B">
            <w:r w:rsidRPr="008A6671">
              <w:t>PHN Program</w:t>
            </w:r>
            <w:r w:rsidR="00322E71">
              <w:t>.</w:t>
            </w:r>
          </w:p>
        </w:tc>
      </w:tr>
      <w:tr w:rsidR="00F9458B" w:rsidRPr="00F9458B" w14:paraId="46F1A257" w14:textId="77777777" w:rsidTr="77D0C6EF">
        <w:trPr>
          <w:cantSplit/>
          <w:trHeight w:val="343"/>
        </w:trPr>
        <w:tc>
          <w:tcPr>
            <w:tcW w:w="1574" w:type="dxa"/>
            <w:shd w:val="clear" w:color="auto" w:fill="D72F0D"/>
          </w:tcPr>
          <w:p w14:paraId="2EF34159" w14:textId="77777777" w:rsidR="00F9458B" w:rsidRPr="0082185D" w:rsidRDefault="00F9458B" w:rsidP="0082185D">
            <w:r w:rsidRPr="0082185D">
              <w:t>Reporting</w:t>
            </w:r>
          </w:p>
        </w:tc>
        <w:tc>
          <w:tcPr>
            <w:tcW w:w="8388" w:type="dxa"/>
            <w:shd w:val="clear" w:color="auto" w:fill="D72F0D"/>
          </w:tcPr>
          <w:p w14:paraId="451EBAD0" w14:textId="69F51B98" w:rsidR="00F9458B" w:rsidRPr="0082185D" w:rsidRDefault="00F9458B" w:rsidP="0082185D">
            <w:r w:rsidRPr="0082185D">
              <w:t>Twelve monthly by PHN</w:t>
            </w:r>
            <w:r w:rsidR="00C861B4" w:rsidRPr="0082185D">
              <w:t>.</w:t>
            </w:r>
          </w:p>
        </w:tc>
      </w:tr>
      <w:tr w:rsidR="00F9458B" w:rsidRPr="00F9458B" w14:paraId="4F88EBC6" w14:textId="77777777" w:rsidTr="77D0C6EF">
        <w:trPr>
          <w:cantSplit/>
          <w:trHeight w:val="2520"/>
        </w:trPr>
        <w:tc>
          <w:tcPr>
            <w:tcW w:w="1574" w:type="dxa"/>
          </w:tcPr>
          <w:p w14:paraId="3EEDC935" w14:textId="77777777" w:rsidR="00F9458B" w:rsidRPr="008A6671" w:rsidRDefault="00F9458B" w:rsidP="00F9458B">
            <w:r w:rsidRPr="008A6671">
              <w:lastRenderedPageBreak/>
              <w:t>Definition</w:t>
            </w:r>
          </w:p>
        </w:tc>
        <w:tc>
          <w:tcPr>
            <w:tcW w:w="8388" w:type="dxa"/>
          </w:tcPr>
          <w:p w14:paraId="434CDBC8" w14:textId="367F91AC" w:rsidR="00F9458B" w:rsidRPr="008A6671" w:rsidRDefault="00F9458B" w:rsidP="00F9458B">
            <w:r w:rsidRPr="008A6671">
              <w:t>Rate of accredited general practices as a percentage of all general practices in the PHN region</w:t>
            </w:r>
            <w:r w:rsidR="00F25AD7">
              <w:t>.</w:t>
            </w:r>
          </w:p>
          <w:p w14:paraId="76986636" w14:textId="6A572579" w:rsidR="00F9458B" w:rsidRPr="008A6671" w:rsidRDefault="00F9458B" w:rsidP="00F9458B">
            <w:r w:rsidRPr="008A6671">
              <w:t xml:space="preserve">A general practice is a practice or health service which provides general practice </w:t>
            </w:r>
            <w:proofErr w:type="gramStart"/>
            <w:r w:rsidRPr="008A6671">
              <w:t>services, and</w:t>
            </w:r>
            <w:proofErr w:type="gramEnd"/>
            <w:r w:rsidRPr="008A6671">
              <w:t xml:space="preserve"> is eligible to be accredited under the </w:t>
            </w:r>
            <w:r w:rsidR="00790EDE">
              <w:t xml:space="preserve">Australian Commission on </w:t>
            </w:r>
            <w:r w:rsidRPr="008A6671">
              <w:t xml:space="preserve">Safety and Quality </w:t>
            </w:r>
            <w:r w:rsidR="00790EDE">
              <w:t>in Health Care’s</w:t>
            </w:r>
            <w:r w:rsidR="002329E0">
              <w:t xml:space="preserve"> (ACSQHC)</w:t>
            </w:r>
            <w:r w:rsidRPr="008A6671">
              <w:t xml:space="preserve"> National General Practice Accreditation Scheme, including meeting the Royal Australian College of General Practitioners (RACGP) definition of a general practice</w:t>
            </w:r>
            <w:r w:rsidR="00F25AD7">
              <w:t>.</w:t>
            </w:r>
          </w:p>
          <w:p w14:paraId="4F962EA9" w14:textId="0C65A63C" w:rsidR="00F9458B" w:rsidRPr="008A6671" w:rsidRDefault="00F9458B" w:rsidP="00F9458B">
            <w:r w:rsidRPr="008A6671">
              <w:t xml:space="preserve">Accreditation means that the practice has current full accreditation under the </w:t>
            </w:r>
            <w:r w:rsidR="002329E0">
              <w:t>ACSQHC’s</w:t>
            </w:r>
            <w:r w:rsidRPr="008A6671">
              <w:t xml:space="preserve"> National General Practice Accreditation Scheme</w:t>
            </w:r>
            <w:r w:rsidR="00322E71">
              <w:t>.</w:t>
            </w:r>
          </w:p>
        </w:tc>
      </w:tr>
      <w:tr w:rsidR="00F9458B" w:rsidRPr="00F9458B" w14:paraId="3BA2DEC0" w14:textId="77777777" w:rsidTr="77D0C6EF">
        <w:trPr>
          <w:cantSplit/>
        </w:trPr>
        <w:tc>
          <w:tcPr>
            <w:tcW w:w="1574" w:type="dxa"/>
          </w:tcPr>
          <w:p w14:paraId="52C9F7BA" w14:textId="77777777" w:rsidR="00F9458B" w:rsidRPr="008A6671" w:rsidRDefault="00F9458B" w:rsidP="00F9458B">
            <w:r w:rsidRPr="008A6671">
              <w:t>Purpose</w:t>
            </w:r>
          </w:p>
        </w:tc>
        <w:tc>
          <w:tcPr>
            <w:tcW w:w="8388" w:type="dxa"/>
          </w:tcPr>
          <w:p w14:paraId="29316A85" w14:textId="33266379" w:rsidR="00F9458B" w:rsidRPr="008A6671" w:rsidRDefault="00F9458B" w:rsidP="00F9458B">
            <w:r w:rsidRPr="008A6671">
              <w:t xml:space="preserve">The </w:t>
            </w:r>
            <w:r w:rsidR="002329E0">
              <w:t>ACSQHC’s</w:t>
            </w:r>
            <w:r w:rsidRPr="008A6671">
              <w:t xml:space="preserve"> National General Practice Accreditation Scheme provides a measure that the quality and safety of a general practice is satisfactory. Increasing the number of general practices which meet the requirements of this Scheme could improve quality of care, patient experience and health outcomes</w:t>
            </w:r>
            <w:r w:rsidR="00F25AD7">
              <w:t>.</w:t>
            </w:r>
          </w:p>
          <w:p w14:paraId="67D042E3" w14:textId="3577972B" w:rsidR="00F9458B" w:rsidRPr="008A6671" w:rsidRDefault="00F9458B" w:rsidP="00F9458B">
            <w:r w:rsidRPr="008A6671">
              <w:t xml:space="preserve">Under the </w:t>
            </w:r>
            <w:r w:rsidR="007935DB">
              <w:t>ACSQHC’s</w:t>
            </w:r>
            <w:r w:rsidRPr="008A6671">
              <w:t xml:space="preserve"> National General Practice Accreditation Scheme, general practices are currently required to meet the requirements of the RACGP Standards for General Practice (Standards). The Standards promote improvements in patient safety and care built on a practice</w:t>
            </w:r>
            <w:r w:rsidR="001264CF">
              <w:t>’</w:t>
            </w:r>
            <w:r w:rsidRPr="008A6671">
              <w:t>s own information system. (This in turn assists general practices to target quality improvement to their local region and/or population groups</w:t>
            </w:r>
            <w:r w:rsidRPr="008E5D2E">
              <w:t>)</w:t>
            </w:r>
            <w:r w:rsidR="00322E71">
              <w:t>.</w:t>
            </w:r>
          </w:p>
        </w:tc>
      </w:tr>
      <w:tr w:rsidR="00F9458B" w:rsidRPr="00F9458B" w14:paraId="454556A3" w14:textId="77777777" w:rsidTr="77D0C6EF">
        <w:trPr>
          <w:cantSplit/>
          <w:trHeight w:val="900"/>
        </w:trPr>
        <w:tc>
          <w:tcPr>
            <w:tcW w:w="1574" w:type="dxa"/>
          </w:tcPr>
          <w:p w14:paraId="72482EE2" w14:textId="77777777" w:rsidR="00F9458B" w:rsidRPr="008A6671" w:rsidRDefault="00F9458B" w:rsidP="00F9458B">
            <w:r w:rsidRPr="008A6671">
              <w:t>Outcome Theme: Quality Care</w:t>
            </w:r>
          </w:p>
        </w:tc>
        <w:tc>
          <w:tcPr>
            <w:tcW w:w="8388" w:type="dxa"/>
          </w:tcPr>
          <w:p w14:paraId="563B8AB6" w14:textId="618EE996" w:rsidR="00F9458B" w:rsidRPr="008A6671" w:rsidRDefault="00F9458B" w:rsidP="00F9458B">
            <w:r w:rsidRPr="008A6671">
              <w:t>Outcome:</w:t>
            </w:r>
            <w:r w:rsidRPr="008A6671">
              <w:br/>
              <w:t>PHNs support general practices and other health care providers to provide quality care to patients</w:t>
            </w:r>
            <w:r w:rsidR="00322E71">
              <w:t>.</w:t>
            </w:r>
          </w:p>
        </w:tc>
      </w:tr>
      <w:tr w:rsidR="00F9458B" w:rsidRPr="00F9458B" w14:paraId="3344655A" w14:textId="77777777" w:rsidTr="77D0C6EF">
        <w:trPr>
          <w:cantSplit/>
        </w:trPr>
        <w:tc>
          <w:tcPr>
            <w:tcW w:w="1574" w:type="dxa"/>
          </w:tcPr>
          <w:p w14:paraId="101981FC" w14:textId="77777777" w:rsidR="00F9458B" w:rsidRPr="008A6671" w:rsidRDefault="00F9458B" w:rsidP="00F9458B">
            <w:r w:rsidRPr="008A6671">
              <w:t>Performance Criteria</w:t>
            </w:r>
          </w:p>
        </w:tc>
        <w:tc>
          <w:tcPr>
            <w:tcW w:w="8388" w:type="dxa"/>
          </w:tcPr>
          <w:p w14:paraId="3D9C6110" w14:textId="0C7DDBDF" w:rsidR="00F9458B" w:rsidRPr="008A6671" w:rsidRDefault="00AC0E0C" w:rsidP="00127E45">
            <w:r w:rsidRPr="008A6671">
              <w:t>This item does not have performance criteria or a target. It provides context for other indicators and a reference to the healthcare landscape in which PHNs are operating.</w:t>
            </w:r>
          </w:p>
        </w:tc>
      </w:tr>
      <w:tr w:rsidR="00F9458B" w:rsidRPr="00F9458B" w14:paraId="67D5B3CD" w14:textId="77777777" w:rsidTr="77D0C6EF">
        <w:trPr>
          <w:cantSplit/>
        </w:trPr>
        <w:tc>
          <w:tcPr>
            <w:tcW w:w="1574" w:type="dxa"/>
          </w:tcPr>
          <w:p w14:paraId="61F0EC8F" w14:textId="77777777" w:rsidR="00F9458B" w:rsidRPr="008A6671" w:rsidRDefault="00F9458B" w:rsidP="00F9458B">
            <w:r w:rsidRPr="008A6671">
              <w:t>Data Source</w:t>
            </w:r>
          </w:p>
        </w:tc>
        <w:tc>
          <w:tcPr>
            <w:tcW w:w="8388" w:type="dxa"/>
          </w:tcPr>
          <w:p w14:paraId="72B012FF" w14:textId="42A3FE20" w:rsidR="00F9458B" w:rsidRPr="008A6671" w:rsidRDefault="00F9458B" w:rsidP="00F9458B">
            <w:r w:rsidRPr="008A6671">
              <w:t>PHN – number of general practices which are accredited and number of general practices in the PHN region</w:t>
            </w:r>
            <w:r w:rsidR="00322E71">
              <w:t>.</w:t>
            </w:r>
          </w:p>
        </w:tc>
      </w:tr>
      <w:tr w:rsidR="00F9458B" w:rsidRPr="00F9458B" w14:paraId="721EBDB1" w14:textId="77777777" w:rsidTr="77D0C6EF">
        <w:trPr>
          <w:cantSplit/>
        </w:trPr>
        <w:tc>
          <w:tcPr>
            <w:tcW w:w="1574" w:type="dxa"/>
          </w:tcPr>
          <w:p w14:paraId="0C5FA05C" w14:textId="77777777" w:rsidR="00F9458B" w:rsidRPr="008A6671" w:rsidRDefault="00F9458B" w:rsidP="00F9458B">
            <w:r w:rsidRPr="008A6671">
              <w:t>Calculation</w:t>
            </w:r>
          </w:p>
        </w:tc>
        <w:tc>
          <w:tcPr>
            <w:tcW w:w="8388" w:type="dxa"/>
          </w:tcPr>
          <w:p w14:paraId="0125C07D" w14:textId="77777777" w:rsidR="00716651" w:rsidRDefault="00F9458B" w:rsidP="00F9458B">
            <w:r w:rsidRPr="008A6671">
              <w:t xml:space="preserve">Numerator: </w:t>
            </w:r>
          </w:p>
          <w:p w14:paraId="4B979794" w14:textId="1A81D06E" w:rsidR="00F9458B" w:rsidRPr="008A6671" w:rsidRDefault="00F9458B" w:rsidP="00F9458B">
            <w:r w:rsidRPr="008A6671">
              <w:t>Number of general practices in the PHN region which are accredited</w:t>
            </w:r>
            <w:r w:rsidR="00F25AD7">
              <w:t>.</w:t>
            </w:r>
          </w:p>
          <w:p w14:paraId="41354CB3" w14:textId="77777777" w:rsidR="00716651" w:rsidRDefault="00F9458B" w:rsidP="00F9458B">
            <w:r w:rsidRPr="008A6671">
              <w:t xml:space="preserve">Denominator: </w:t>
            </w:r>
          </w:p>
          <w:p w14:paraId="119EDE69" w14:textId="7525AB9B" w:rsidR="00F9458B" w:rsidRPr="008A6671" w:rsidRDefault="00F9458B" w:rsidP="00F9458B">
            <w:r w:rsidRPr="008A6671">
              <w:t>Number of general practices in the PHN region</w:t>
            </w:r>
            <w:r w:rsidR="00F25AD7">
              <w:t>.</w:t>
            </w:r>
          </w:p>
          <w:p w14:paraId="528BFF78" w14:textId="77777777" w:rsidR="00716651" w:rsidRDefault="00F9458B" w:rsidP="00F9458B">
            <w:r w:rsidRPr="008A6671">
              <w:t>Computation:</w:t>
            </w:r>
          </w:p>
          <w:p w14:paraId="16C72D3A" w14:textId="080568A4" w:rsidR="00F9458B" w:rsidRPr="008A6671" w:rsidRDefault="00F9458B" w:rsidP="00F9458B">
            <w:r w:rsidRPr="008A6671">
              <w:t>100 x (numerator / denominator) presented as a percentage in PHN region</w:t>
            </w:r>
            <w:r w:rsidR="00322E71">
              <w:t>.</w:t>
            </w:r>
          </w:p>
        </w:tc>
      </w:tr>
      <w:tr w:rsidR="00F9458B" w:rsidRPr="00F9458B" w14:paraId="65D8EFBD" w14:textId="77777777" w:rsidTr="77D0C6EF">
        <w:trPr>
          <w:cantSplit/>
          <w:trHeight w:val="695"/>
        </w:trPr>
        <w:tc>
          <w:tcPr>
            <w:tcW w:w="1574" w:type="dxa"/>
          </w:tcPr>
          <w:p w14:paraId="20603546" w14:textId="77777777" w:rsidR="00F9458B" w:rsidRPr="008A6671" w:rsidRDefault="00F9458B" w:rsidP="00F9458B">
            <w:r w:rsidRPr="008A6671">
              <w:t>Limitations</w:t>
            </w:r>
          </w:p>
        </w:tc>
        <w:tc>
          <w:tcPr>
            <w:tcW w:w="8388" w:type="dxa"/>
          </w:tcPr>
          <w:p w14:paraId="25E88F94" w14:textId="2AC7222E" w:rsidR="00F9458B" w:rsidRPr="008A6671" w:rsidRDefault="00F9458B" w:rsidP="00F9458B">
            <w:r w:rsidRPr="008A6671">
              <w:t xml:space="preserve">Not all general practices will seek accreditation or be eligible to seek accreditation due to </w:t>
            </w:r>
            <w:proofErr w:type="gramStart"/>
            <w:r w:rsidRPr="008A6671">
              <w:t>a number of</w:t>
            </w:r>
            <w:proofErr w:type="gramEnd"/>
            <w:r w:rsidRPr="008A6671">
              <w:t xml:space="preserve"> reasons, despite support offered by PHNs</w:t>
            </w:r>
            <w:r w:rsidR="00322E71">
              <w:t>.</w:t>
            </w:r>
          </w:p>
        </w:tc>
      </w:tr>
      <w:tr w:rsidR="00F9458B" w:rsidRPr="00F9458B" w14:paraId="4ABACB3A" w14:textId="77777777" w:rsidTr="77D0C6EF">
        <w:trPr>
          <w:cantSplit/>
          <w:trHeight w:val="253"/>
        </w:trPr>
        <w:tc>
          <w:tcPr>
            <w:tcW w:w="1574" w:type="dxa"/>
          </w:tcPr>
          <w:p w14:paraId="4E7210BB" w14:textId="77777777" w:rsidR="00F9458B" w:rsidRPr="008A6671" w:rsidRDefault="00F9458B" w:rsidP="00F9458B">
            <w:r w:rsidRPr="008A6671">
              <w:t>Additional information</w:t>
            </w:r>
          </w:p>
        </w:tc>
        <w:tc>
          <w:tcPr>
            <w:tcW w:w="8388" w:type="dxa"/>
          </w:tcPr>
          <w:p w14:paraId="08F8C56E" w14:textId="5C82CCE0" w:rsidR="00F9458B" w:rsidRPr="008A6671" w:rsidRDefault="00F9458B" w:rsidP="00F9458B">
            <w:r w:rsidRPr="008A6671">
              <w:t xml:space="preserve">The Department will investigate </w:t>
            </w:r>
            <w:r w:rsidR="00662BD4" w:rsidRPr="00662BD4">
              <w:t>nationally consistent</w:t>
            </w:r>
            <w:r w:rsidRPr="008A6671">
              <w:t xml:space="preserve"> methods </w:t>
            </w:r>
            <w:r w:rsidR="00662BD4" w:rsidRPr="00662BD4">
              <w:t>of counting both general practices and accredited general practices by PHN region. This will provide more accurate data and reduce PHNs’ reporting burden</w:t>
            </w:r>
            <w:r w:rsidR="00322E71">
              <w:t>.</w:t>
            </w:r>
          </w:p>
        </w:tc>
      </w:tr>
    </w:tbl>
    <w:p w14:paraId="7B1347BC" w14:textId="12FFB94B" w:rsidR="00F9458B" w:rsidRPr="00716651" w:rsidRDefault="00F9458B" w:rsidP="00665D8A">
      <w:pPr>
        <w:pStyle w:val="Heading2"/>
      </w:pPr>
      <w:bookmarkStart w:id="17" w:name="_Toc517194516"/>
      <w:bookmarkStart w:id="18" w:name="_Toc517267750"/>
      <w:bookmarkStart w:id="19" w:name="_Toc517767144"/>
      <w:bookmarkStart w:id="20" w:name="_Toc517769795"/>
      <w:r w:rsidRPr="00716651">
        <w:lastRenderedPageBreak/>
        <w:t>P</w:t>
      </w:r>
      <w:r w:rsidR="00761DFA" w:rsidRPr="00716651">
        <w:t>4</w:t>
      </w:r>
      <w:r w:rsidRPr="00716651">
        <w:t>: Support provided to general practices and other health care providers</w:t>
      </w:r>
      <w:bookmarkEnd w:id="17"/>
      <w:bookmarkEnd w:id="18"/>
      <w:bookmarkEnd w:id="19"/>
      <w:bookmarkEnd w:id="20"/>
    </w:p>
    <w:tbl>
      <w:tblPr>
        <w:tblStyle w:val="PHNTealtable"/>
        <w:tblW w:w="972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4A0" w:firstRow="1" w:lastRow="0" w:firstColumn="1" w:lastColumn="0" w:noHBand="0" w:noVBand="1"/>
        <w:tblDescription w:val="This table details indicator P4: Support provided to general ractices and other health care providers. It is comprised of two columns, and 12 rows. Column one provides the Item of the indicator, and Column two outlines the corresponding description."/>
      </w:tblPr>
      <w:tblGrid>
        <w:gridCol w:w="1570"/>
        <w:gridCol w:w="8158"/>
      </w:tblGrid>
      <w:tr w:rsidR="00F9458B" w:rsidRPr="00F9458B" w14:paraId="46B47F24" w14:textId="77777777" w:rsidTr="00B80E97">
        <w:trPr>
          <w:cnfStyle w:val="100000000000" w:firstRow="1" w:lastRow="0" w:firstColumn="0" w:lastColumn="0" w:oddVBand="0" w:evenVBand="0" w:oddHBand="0" w:evenHBand="0" w:firstRowFirstColumn="0" w:firstRowLastColumn="0" w:lastRowFirstColumn="0" w:lastRowLastColumn="0"/>
          <w:tblHeader/>
        </w:trPr>
        <w:tc>
          <w:tcPr>
            <w:tcW w:w="1570" w:type="dxa"/>
            <w:shd w:val="clear" w:color="auto" w:fill="153A6E"/>
          </w:tcPr>
          <w:p w14:paraId="2DB3E511" w14:textId="77777777" w:rsidR="00F9458B" w:rsidRPr="00716651" w:rsidRDefault="00F9458B" w:rsidP="00716651">
            <w:pPr>
              <w:pStyle w:val="TableHeaderWhite"/>
            </w:pPr>
            <w:r w:rsidRPr="00716651">
              <w:t>Item</w:t>
            </w:r>
          </w:p>
        </w:tc>
        <w:tc>
          <w:tcPr>
            <w:tcW w:w="8158" w:type="dxa"/>
            <w:shd w:val="clear" w:color="auto" w:fill="153A6E"/>
          </w:tcPr>
          <w:p w14:paraId="69679B0F" w14:textId="77777777" w:rsidR="00F9458B" w:rsidRPr="00716651" w:rsidRDefault="00F9458B" w:rsidP="00716651">
            <w:pPr>
              <w:pStyle w:val="TableHeaderWhite"/>
            </w:pPr>
            <w:r w:rsidRPr="00716651">
              <w:t>Description</w:t>
            </w:r>
          </w:p>
        </w:tc>
      </w:tr>
      <w:tr w:rsidR="00F9458B" w:rsidRPr="00F9458B" w14:paraId="0416A2E5" w14:textId="77777777" w:rsidTr="00B80E97">
        <w:trPr>
          <w:cantSplit/>
        </w:trPr>
        <w:tc>
          <w:tcPr>
            <w:tcW w:w="1570" w:type="dxa"/>
          </w:tcPr>
          <w:p w14:paraId="157E691D" w14:textId="77777777" w:rsidR="00F9458B" w:rsidRPr="008A6671" w:rsidRDefault="00F9458B" w:rsidP="00F9458B">
            <w:r w:rsidRPr="008A6671">
              <w:t>Assessment</w:t>
            </w:r>
          </w:p>
        </w:tc>
        <w:tc>
          <w:tcPr>
            <w:tcW w:w="8158" w:type="dxa"/>
          </w:tcPr>
          <w:p w14:paraId="2D9339A1" w14:textId="76C5D732" w:rsidR="00F9458B" w:rsidRPr="008A6671" w:rsidRDefault="00F9458B" w:rsidP="00F9458B">
            <w:r w:rsidRPr="008A6671">
              <w:t>Individual PHN</w:t>
            </w:r>
            <w:r w:rsidR="00AB5E67">
              <w:t>.</w:t>
            </w:r>
          </w:p>
        </w:tc>
      </w:tr>
      <w:tr w:rsidR="00F9458B" w:rsidRPr="00F9458B" w14:paraId="725846A7" w14:textId="77777777" w:rsidTr="00B80E97">
        <w:trPr>
          <w:cantSplit/>
        </w:trPr>
        <w:tc>
          <w:tcPr>
            <w:tcW w:w="1570" w:type="dxa"/>
            <w:shd w:val="clear" w:color="auto" w:fill="D72F0D"/>
          </w:tcPr>
          <w:p w14:paraId="7373D0A7" w14:textId="77777777" w:rsidR="00F9458B" w:rsidRPr="0082185D" w:rsidRDefault="00F9458B" w:rsidP="00665D8A">
            <w:pPr>
              <w:pStyle w:val="TableTextwhite"/>
            </w:pPr>
            <w:r w:rsidRPr="0082185D">
              <w:t>Reporting</w:t>
            </w:r>
          </w:p>
        </w:tc>
        <w:tc>
          <w:tcPr>
            <w:tcW w:w="8158" w:type="dxa"/>
            <w:shd w:val="clear" w:color="auto" w:fill="D72F0D"/>
          </w:tcPr>
          <w:p w14:paraId="3D188FFA" w14:textId="372F9B5E" w:rsidR="00F9458B" w:rsidRPr="0082185D" w:rsidRDefault="00F9458B" w:rsidP="00665D8A">
            <w:pPr>
              <w:pStyle w:val="TableTextwhite"/>
            </w:pPr>
            <w:r w:rsidRPr="0082185D">
              <w:t>Twelve monthly by PHN</w:t>
            </w:r>
            <w:r w:rsidR="00AB5E67" w:rsidRPr="0082185D">
              <w:t>.</w:t>
            </w:r>
          </w:p>
        </w:tc>
      </w:tr>
      <w:tr w:rsidR="00F9458B" w:rsidRPr="00F9458B" w14:paraId="3A245A29" w14:textId="77777777" w:rsidTr="00B80E97">
        <w:trPr>
          <w:cantSplit/>
        </w:trPr>
        <w:tc>
          <w:tcPr>
            <w:tcW w:w="1570" w:type="dxa"/>
          </w:tcPr>
          <w:p w14:paraId="3F9B76E5" w14:textId="77777777" w:rsidR="00F9458B" w:rsidRPr="008A6671" w:rsidRDefault="00F9458B" w:rsidP="00F9458B">
            <w:r w:rsidRPr="008A6671">
              <w:t>Definition</w:t>
            </w:r>
          </w:p>
        </w:tc>
        <w:tc>
          <w:tcPr>
            <w:tcW w:w="8158" w:type="dxa"/>
          </w:tcPr>
          <w:p w14:paraId="4A2CFD57" w14:textId="0543C00E" w:rsidR="00F9458B" w:rsidRPr="008A6671" w:rsidRDefault="00F9458B" w:rsidP="00F9458B">
            <w:r w:rsidRPr="008A6671">
              <w:t xml:space="preserve">Support (discrete and/or formal activities) provided to general practices and other health care providers in </w:t>
            </w:r>
            <w:r w:rsidR="00C17896">
              <w:t xml:space="preserve">the </w:t>
            </w:r>
            <w:r w:rsidRPr="008A6671">
              <w:t>PHN region provided either directly by</w:t>
            </w:r>
            <w:r w:rsidRPr="008E5D2E">
              <w:t xml:space="preserve"> </w:t>
            </w:r>
            <w:r w:rsidR="00145A8F">
              <w:t>a</w:t>
            </w:r>
            <w:r w:rsidRPr="008A6671">
              <w:t xml:space="preserve"> PHN or by a PHN commissioned service provider. Support may include one on one support, sharing information, facilitating access to or providing training, conducting workshops or disseminating education resources across any of the below focus areas</w:t>
            </w:r>
            <w:r w:rsidR="00F25AD7">
              <w:t>.</w:t>
            </w:r>
          </w:p>
          <w:p w14:paraId="3AFFDDC1" w14:textId="132B85BF" w:rsidR="00F9458B" w:rsidRPr="008A6671" w:rsidRDefault="00F9458B" w:rsidP="00F9458B">
            <w:r w:rsidRPr="00716651">
              <w:t>General practice support</w:t>
            </w:r>
            <w:r w:rsidRPr="008A6671">
              <w:t xml:space="preserve"> – PHNs provide support to general practices in their region</w:t>
            </w:r>
            <w:r w:rsidR="00F25AD7">
              <w:t>.</w:t>
            </w:r>
          </w:p>
          <w:p w14:paraId="04EB0537" w14:textId="07B6ADC2" w:rsidR="00F9458B" w:rsidRPr="008A6671" w:rsidRDefault="00F9458B" w:rsidP="00F9458B">
            <w:r w:rsidRPr="00716651">
              <w:t>Population health</w:t>
            </w:r>
            <w:r w:rsidRPr="008A6671">
              <w:t xml:space="preserve"> – PHNs support health care providers to improve identification and management of population health issues</w:t>
            </w:r>
            <w:r w:rsidR="00F25AD7">
              <w:t>.</w:t>
            </w:r>
          </w:p>
          <w:p w14:paraId="4733C920" w14:textId="1D1F4BCE" w:rsidR="00F9458B" w:rsidRPr="008A6671" w:rsidRDefault="00F9458B" w:rsidP="00F9458B">
            <w:r w:rsidRPr="00716651">
              <w:t>Workforce</w:t>
            </w:r>
            <w:r w:rsidRPr="008A6671">
              <w:t xml:space="preserve"> – PHNs provide support to improve health workforce cultural </w:t>
            </w:r>
            <w:r w:rsidR="008B6A3B">
              <w:t>safety</w:t>
            </w:r>
            <w:r w:rsidRPr="008A6671">
              <w:t xml:space="preserve"> and identify and address clinical skill gaps. Health workforce broadly includes all persons working in the health sector within the PHN region</w:t>
            </w:r>
            <w:r w:rsidR="00F25AD7">
              <w:t>.</w:t>
            </w:r>
          </w:p>
          <w:p w14:paraId="28B7A8AB" w14:textId="5CE8106C" w:rsidR="00F9458B" w:rsidRPr="008A6671" w:rsidRDefault="00F9458B" w:rsidP="00F9458B">
            <w:r w:rsidRPr="00716651">
              <w:t>Aged care</w:t>
            </w:r>
            <w:r w:rsidRPr="008A6671">
              <w:t xml:space="preserve"> – PHNs provide support to health care providers on identifying and managing health issues of older people (those 65 years and older), including supporting at</w:t>
            </w:r>
            <w:r w:rsidR="00613418">
              <w:t>-</w:t>
            </w:r>
            <w:r w:rsidRPr="008A6671">
              <w:t>home care</w:t>
            </w:r>
            <w:r w:rsidR="00F25AD7">
              <w:t>.</w:t>
            </w:r>
          </w:p>
          <w:p w14:paraId="28CE6C02" w14:textId="73B87440" w:rsidR="00F9458B" w:rsidRPr="008A6671" w:rsidRDefault="00F9458B" w:rsidP="00F9458B">
            <w:r w:rsidRPr="00716651">
              <w:t>Digital health</w:t>
            </w:r>
            <w:r w:rsidRPr="008A6671">
              <w:t xml:space="preserve"> – PHNs provide support to health care providers to adopt digital health systems and technologies. Digital health systems and technologies describe the use of digital technology to improve the delivery of health care for providers and patients</w:t>
            </w:r>
            <w:r w:rsidR="00F25AD7">
              <w:t>.</w:t>
            </w:r>
          </w:p>
          <w:p w14:paraId="121251EF" w14:textId="77777777" w:rsidR="00F9458B" w:rsidRPr="00665D8A" w:rsidRDefault="00F9458B" w:rsidP="00665D8A">
            <w:r w:rsidRPr="00665D8A">
              <w:t>Support may occur at the following levels:</w:t>
            </w:r>
          </w:p>
          <w:p w14:paraId="63DE030E" w14:textId="21D52F34" w:rsidR="00F9458B" w:rsidRPr="008A6671" w:rsidRDefault="00F9458B" w:rsidP="00716651">
            <w:pPr>
              <w:pStyle w:val="ListBullet"/>
            </w:pPr>
            <w:r w:rsidRPr="008A6671">
              <w:t>high – targeted, tailored support to a general practice, health care provider or individual health care professional to assist in the change of a behaviour or approach (e.g. supporting accreditation or adopting new digital health systems</w:t>
            </w:r>
            <w:r w:rsidRPr="000D71E0">
              <w:t>)</w:t>
            </w:r>
            <w:r w:rsidR="00F25AD7" w:rsidRPr="000D71E0">
              <w:t>.</w:t>
            </w:r>
          </w:p>
          <w:p w14:paraId="572829FE" w14:textId="6364EFE2" w:rsidR="00F9458B" w:rsidRPr="008A6671" w:rsidRDefault="00F9458B" w:rsidP="00716651">
            <w:pPr>
              <w:pStyle w:val="ListBullet"/>
            </w:pPr>
            <w:r w:rsidRPr="008A6671">
              <w:t xml:space="preserve">moderate – broad based support to a general </w:t>
            </w:r>
            <w:r w:rsidR="6F3FFC22" w:rsidRPr="008A6671">
              <w:t>practice,</w:t>
            </w:r>
            <w:r w:rsidRPr="008A6671">
              <w:t xml:space="preserve"> health care provider or health care professional or several general practices and/or health care providers to raise awareness and knowledge (e.g. information sessions on using My Health Record or cultural </w:t>
            </w:r>
            <w:r w:rsidR="00822EA1" w:rsidRPr="000D71E0">
              <w:t>safety</w:t>
            </w:r>
            <w:r w:rsidRPr="008A6671">
              <w:t xml:space="preserve"> training</w:t>
            </w:r>
            <w:r w:rsidRPr="000D71E0">
              <w:t>)</w:t>
            </w:r>
            <w:r w:rsidR="00F25AD7" w:rsidRPr="000D71E0">
              <w:t>.</w:t>
            </w:r>
          </w:p>
          <w:p w14:paraId="3ADFE36B" w14:textId="60C76CBC" w:rsidR="00F9458B" w:rsidRPr="008A6671" w:rsidRDefault="00F9458B" w:rsidP="00716651">
            <w:pPr>
              <w:pStyle w:val="ListBullet"/>
            </w:pPr>
            <w:r w:rsidRPr="008A6671">
              <w:t xml:space="preserve">low – general interactions where information may be shared (e.g. PHN representation at forums or workshops </w:t>
            </w:r>
            <w:r w:rsidR="00CC74DF">
              <w:t xml:space="preserve">about </w:t>
            </w:r>
            <w:r w:rsidRPr="008A6671">
              <w:t>aged care health issues etc</w:t>
            </w:r>
            <w:r w:rsidRPr="000D71E0">
              <w:t>)</w:t>
            </w:r>
            <w:r w:rsidR="00322E71" w:rsidRPr="000D71E0">
              <w:t>.</w:t>
            </w:r>
          </w:p>
        </w:tc>
      </w:tr>
      <w:tr w:rsidR="00F9458B" w:rsidRPr="00F9458B" w14:paraId="019ED280" w14:textId="77777777" w:rsidTr="00B80E97">
        <w:trPr>
          <w:cantSplit/>
        </w:trPr>
        <w:tc>
          <w:tcPr>
            <w:tcW w:w="1570" w:type="dxa"/>
          </w:tcPr>
          <w:p w14:paraId="1FA3AC04" w14:textId="77777777" w:rsidR="00F9458B" w:rsidRPr="008A6671" w:rsidRDefault="00F9458B" w:rsidP="00F9458B">
            <w:r w:rsidRPr="008A6671">
              <w:t>Purpose</w:t>
            </w:r>
          </w:p>
        </w:tc>
        <w:tc>
          <w:tcPr>
            <w:tcW w:w="8158" w:type="dxa"/>
          </w:tcPr>
          <w:p w14:paraId="650AD61D" w14:textId="71572B3B" w:rsidR="00F9458B" w:rsidRPr="008A6671" w:rsidRDefault="00F9458B" w:rsidP="00F9458B">
            <w:r w:rsidRPr="008A6671">
              <w:t xml:space="preserve">PHNs support general practices and other health care providers in their region to ensure that health professionals </w:t>
            </w:r>
            <w:proofErr w:type="gramStart"/>
            <w:r w:rsidRPr="008A6671">
              <w:t>are able to</w:t>
            </w:r>
            <w:proofErr w:type="gramEnd"/>
            <w:r w:rsidRPr="008A6671">
              <w:t xml:space="preserve"> respond appropriately and confidently to the health needs of their region and improve their service delivery</w:t>
            </w:r>
            <w:r w:rsidR="00F25AD7">
              <w:t>.</w:t>
            </w:r>
          </w:p>
          <w:p w14:paraId="6BC50D5E" w14:textId="3822645B" w:rsidR="00F9458B" w:rsidRPr="008A6671" w:rsidRDefault="00F9458B" w:rsidP="00F9458B">
            <w:r w:rsidRPr="008A6671">
              <w:t>This output indicator can provide a measure of what support PHNs are providing to the local health care providers across several focus areas and can identify areas where additional support may be required</w:t>
            </w:r>
            <w:r w:rsidR="00322E71">
              <w:t>.</w:t>
            </w:r>
          </w:p>
        </w:tc>
      </w:tr>
      <w:tr w:rsidR="00F9458B" w:rsidRPr="00F9458B" w14:paraId="5A214CEC" w14:textId="77777777" w:rsidTr="00B80E97">
        <w:trPr>
          <w:cantSplit/>
        </w:trPr>
        <w:tc>
          <w:tcPr>
            <w:tcW w:w="1570" w:type="dxa"/>
          </w:tcPr>
          <w:p w14:paraId="44FE3C03" w14:textId="77777777" w:rsidR="00F9458B" w:rsidRPr="008A6671" w:rsidRDefault="00F9458B" w:rsidP="00F9458B">
            <w:r w:rsidRPr="008A6671">
              <w:lastRenderedPageBreak/>
              <w:t>Outcome Theme: Quality Care</w:t>
            </w:r>
          </w:p>
        </w:tc>
        <w:tc>
          <w:tcPr>
            <w:tcW w:w="8158" w:type="dxa"/>
          </w:tcPr>
          <w:p w14:paraId="68510BD1" w14:textId="77777777" w:rsidR="00F9458B" w:rsidRPr="008A6671" w:rsidRDefault="00F9458B" w:rsidP="00F9458B">
            <w:r w:rsidRPr="008A6671">
              <w:t>Outcomes:</w:t>
            </w:r>
          </w:p>
          <w:p w14:paraId="083F363C" w14:textId="1A70BC85" w:rsidR="00F9458B" w:rsidRPr="008A6671" w:rsidRDefault="00F9458B" w:rsidP="00F9458B">
            <w:r w:rsidRPr="008A6671">
              <w:t>PHNs support general practices and other health care providers to provide quality care to patients</w:t>
            </w:r>
            <w:r w:rsidR="00F25AD7">
              <w:t>.</w:t>
            </w:r>
          </w:p>
          <w:p w14:paraId="7C103F16" w14:textId="71FCFC67" w:rsidR="00F9458B" w:rsidRPr="008A6671" w:rsidRDefault="00F9458B" w:rsidP="00F9458B">
            <w:r w:rsidRPr="008A6671">
              <w:t>PHNs support health care providers to address factors impacting population health</w:t>
            </w:r>
            <w:r w:rsidR="00F25AD7">
              <w:t>.</w:t>
            </w:r>
          </w:p>
          <w:p w14:paraId="16511E0A" w14:textId="116BDD34" w:rsidR="00F9458B" w:rsidRPr="008A6671" w:rsidRDefault="00F9458B" w:rsidP="00F9458B">
            <w:r w:rsidRPr="008A6671">
              <w:t>Local workforce has suitable cultural and clinical skills to address health needs of PHN region</w:t>
            </w:r>
            <w:r w:rsidR="00F25AD7">
              <w:t>.</w:t>
            </w:r>
          </w:p>
          <w:p w14:paraId="40FA209A" w14:textId="7211C903" w:rsidR="00F9458B" w:rsidRPr="008A6671" w:rsidRDefault="00F9458B" w:rsidP="00F9458B">
            <w:r w:rsidRPr="008A6671">
              <w:t>PHNs support health care providers to use digital health systems to improve patient care and communication</w:t>
            </w:r>
            <w:r w:rsidR="00F25AD7">
              <w:t>.</w:t>
            </w:r>
          </w:p>
          <w:p w14:paraId="56C18BE9" w14:textId="2F596FFA" w:rsidR="00F9458B" w:rsidRPr="008A6671" w:rsidRDefault="00F9458B" w:rsidP="00F9458B">
            <w:r w:rsidRPr="008A6671">
              <w:t>Fewer preventable hospitalisations in PHN region for older people</w:t>
            </w:r>
            <w:r w:rsidR="00322E71">
              <w:t>.</w:t>
            </w:r>
          </w:p>
        </w:tc>
      </w:tr>
      <w:tr w:rsidR="00F9458B" w:rsidRPr="00F9458B" w14:paraId="0E3516E4" w14:textId="77777777" w:rsidTr="00B80E97">
        <w:trPr>
          <w:cantSplit/>
        </w:trPr>
        <w:tc>
          <w:tcPr>
            <w:tcW w:w="1570" w:type="dxa"/>
          </w:tcPr>
          <w:p w14:paraId="38536D04" w14:textId="77777777" w:rsidR="00F9458B" w:rsidRPr="008A6671" w:rsidRDefault="00F9458B" w:rsidP="00F9458B">
            <w:r w:rsidRPr="008A6671">
              <w:t>Performance Criteria</w:t>
            </w:r>
          </w:p>
        </w:tc>
        <w:tc>
          <w:tcPr>
            <w:tcW w:w="8158" w:type="dxa"/>
          </w:tcPr>
          <w:p w14:paraId="7389F2D0" w14:textId="15299547" w:rsidR="00F9458B" w:rsidRPr="008A6671" w:rsidRDefault="00F9458B" w:rsidP="00F9458B">
            <w:r w:rsidRPr="008A6671">
              <w:t>PHN delivers a range of support activities to general practices and other health care providers</w:t>
            </w:r>
            <w:r w:rsidR="00B17C5A">
              <w:t>.</w:t>
            </w:r>
          </w:p>
        </w:tc>
      </w:tr>
      <w:tr w:rsidR="00F9458B" w:rsidRPr="00F9458B" w14:paraId="79F22EA7" w14:textId="77777777" w:rsidTr="00B80E97">
        <w:trPr>
          <w:cantSplit/>
        </w:trPr>
        <w:tc>
          <w:tcPr>
            <w:tcW w:w="1570" w:type="dxa"/>
          </w:tcPr>
          <w:p w14:paraId="25BBF016" w14:textId="77777777" w:rsidR="00F9458B" w:rsidRPr="008A6671" w:rsidRDefault="00F9458B" w:rsidP="00F9458B">
            <w:r w:rsidRPr="008A6671">
              <w:t>Data Source</w:t>
            </w:r>
          </w:p>
        </w:tc>
        <w:tc>
          <w:tcPr>
            <w:tcW w:w="8158" w:type="dxa"/>
          </w:tcPr>
          <w:p w14:paraId="35F64BDE" w14:textId="775074E5" w:rsidR="00F9458B" w:rsidRPr="008A6671" w:rsidRDefault="00F9458B" w:rsidP="00F9458B">
            <w:r w:rsidRPr="008A6671">
              <w:t>Short description of activities undertaken for each focus area above and at each level of support</w:t>
            </w:r>
            <w:r w:rsidR="00F25AD7">
              <w:t>.</w:t>
            </w:r>
          </w:p>
          <w:p w14:paraId="44C94F40" w14:textId="26B793C8" w:rsidR="00F9458B" w:rsidRPr="008A6671" w:rsidRDefault="00F9458B" w:rsidP="00F9458B">
            <w:r w:rsidRPr="008E5D2E">
              <w:t>PHN</w:t>
            </w:r>
            <w:r w:rsidR="00D34822">
              <w:t>s</w:t>
            </w:r>
            <w:r w:rsidRPr="008A6671">
              <w:t xml:space="preserve"> may choose not to provide information for focus areas where it is not a priority for the PHN</w:t>
            </w:r>
            <w:r w:rsidR="00B17C5A">
              <w:t>.</w:t>
            </w:r>
          </w:p>
        </w:tc>
      </w:tr>
      <w:tr w:rsidR="00F9458B" w:rsidRPr="00F9458B" w14:paraId="0819F484" w14:textId="77777777" w:rsidTr="00B80E97">
        <w:trPr>
          <w:cantSplit/>
        </w:trPr>
        <w:tc>
          <w:tcPr>
            <w:tcW w:w="1570" w:type="dxa"/>
          </w:tcPr>
          <w:p w14:paraId="5AF4A5CB" w14:textId="77777777" w:rsidR="00F9458B" w:rsidRPr="008A6671" w:rsidRDefault="00F9458B" w:rsidP="00F9458B">
            <w:r w:rsidRPr="008A6671">
              <w:t>Calculation</w:t>
            </w:r>
          </w:p>
        </w:tc>
        <w:tc>
          <w:tcPr>
            <w:tcW w:w="8158" w:type="dxa"/>
          </w:tcPr>
          <w:p w14:paraId="76893096" w14:textId="512D43B1" w:rsidR="00F9458B" w:rsidRPr="008A6671" w:rsidRDefault="00370D32" w:rsidP="00F9458B">
            <w:r w:rsidRPr="008A6671">
              <w:t>Department of Health and Aged Care</w:t>
            </w:r>
            <w:r w:rsidR="00F9458B" w:rsidRPr="008A6671">
              <w:t xml:space="preserve"> will assess the qualitative information provided by the PHN</w:t>
            </w:r>
            <w:r w:rsidR="00322E71">
              <w:t>.</w:t>
            </w:r>
          </w:p>
        </w:tc>
      </w:tr>
      <w:tr w:rsidR="00F9458B" w:rsidRPr="00F9458B" w14:paraId="1359BF6C" w14:textId="77777777" w:rsidTr="00B80E97">
        <w:trPr>
          <w:cantSplit/>
        </w:trPr>
        <w:tc>
          <w:tcPr>
            <w:tcW w:w="1570" w:type="dxa"/>
          </w:tcPr>
          <w:p w14:paraId="66C60F8B" w14:textId="77777777" w:rsidR="00F9458B" w:rsidRPr="008A6671" w:rsidRDefault="00F9458B" w:rsidP="00F9458B">
            <w:r w:rsidRPr="008A6671">
              <w:t>Limitations</w:t>
            </w:r>
          </w:p>
        </w:tc>
        <w:tc>
          <w:tcPr>
            <w:tcW w:w="8158" w:type="dxa"/>
          </w:tcPr>
          <w:p w14:paraId="574F2C0C" w14:textId="508AD051" w:rsidR="00F9458B" w:rsidRPr="008A6671" w:rsidRDefault="00F9458B" w:rsidP="00F9458B">
            <w:r w:rsidRPr="008A6671">
              <w:t>Support activities can be limited by the need and willingness of health care providers to participate in activities</w:t>
            </w:r>
            <w:r w:rsidR="00322E71">
              <w:t>.</w:t>
            </w:r>
          </w:p>
        </w:tc>
      </w:tr>
      <w:tr w:rsidR="00F9458B" w:rsidRPr="00F9458B" w14:paraId="3DAF391D" w14:textId="77777777" w:rsidTr="00B80E97">
        <w:trPr>
          <w:cantSplit/>
        </w:trPr>
        <w:tc>
          <w:tcPr>
            <w:tcW w:w="1570" w:type="dxa"/>
          </w:tcPr>
          <w:p w14:paraId="75115DC2" w14:textId="77777777" w:rsidR="00F9458B" w:rsidRPr="008A6671" w:rsidRDefault="00F9458B" w:rsidP="00F9458B">
            <w:r w:rsidRPr="008A6671">
              <w:t>Additional information</w:t>
            </w:r>
          </w:p>
        </w:tc>
        <w:tc>
          <w:tcPr>
            <w:tcW w:w="8158" w:type="dxa"/>
          </w:tcPr>
          <w:p w14:paraId="3646DF47" w14:textId="77777777" w:rsidR="00F9458B" w:rsidRPr="008A6671" w:rsidRDefault="00F9458B" w:rsidP="00F9458B">
            <w:r w:rsidRPr="008A6671">
              <w:t>Data from this indicator will be used to interpret and provide context to other indicators including:</w:t>
            </w:r>
          </w:p>
          <w:p w14:paraId="57F06DC0" w14:textId="731B070B" w:rsidR="00F9458B" w:rsidRPr="008A6671" w:rsidRDefault="00F9458B" w:rsidP="00F9458B">
            <w:r w:rsidRPr="008A6671">
              <w:t xml:space="preserve">PH1, PH2, W1, W2, DH2, DH3, AC1, </w:t>
            </w:r>
            <w:r w:rsidR="00183804">
              <w:t>FN1</w:t>
            </w:r>
            <w:r w:rsidRPr="008E5D2E">
              <w:t xml:space="preserve">, </w:t>
            </w:r>
            <w:r w:rsidR="00183804">
              <w:t>FN2</w:t>
            </w:r>
            <w:r w:rsidRPr="008E5D2E">
              <w:t xml:space="preserve">, </w:t>
            </w:r>
            <w:r w:rsidR="00183804">
              <w:t>FN3</w:t>
            </w:r>
            <w:r w:rsidRPr="008A6671">
              <w:t xml:space="preserve"> and </w:t>
            </w:r>
            <w:r w:rsidR="00183804">
              <w:t>FN4</w:t>
            </w:r>
            <w:r w:rsidR="00322E71">
              <w:t>.</w:t>
            </w:r>
          </w:p>
        </w:tc>
      </w:tr>
    </w:tbl>
    <w:p w14:paraId="50C55BAB" w14:textId="41679693" w:rsidR="00F9458B" w:rsidRPr="00716651" w:rsidRDefault="00F9458B" w:rsidP="00665D8A">
      <w:pPr>
        <w:pStyle w:val="Heading2"/>
      </w:pPr>
      <w:bookmarkStart w:id="21" w:name="_Toc517194517"/>
      <w:bookmarkStart w:id="22" w:name="_Toc517267751"/>
      <w:bookmarkStart w:id="23" w:name="_Toc517767145"/>
      <w:bookmarkStart w:id="24" w:name="_Toc517769796"/>
      <w:r w:rsidRPr="00716651">
        <w:t>P</w:t>
      </w:r>
      <w:r w:rsidR="00761DFA" w:rsidRPr="00716651">
        <w:t>5</w:t>
      </w:r>
      <w:r w:rsidRPr="00716651">
        <w:t>: Rate of regular uploads to My Health Record</w:t>
      </w:r>
      <w:bookmarkEnd w:id="21"/>
      <w:bookmarkEnd w:id="22"/>
      <w:bookmarkEnd w:id="23"/>
      <w:bookmarkEnd w:id="24"/>
    </w:p>
    <w:tbl>
      <w:tblPr>
        <w:tblStyle w:val="PHNTealtable"/>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4A0" w:firstRow="1" w:lastRow="0" w:firstColumn="1" w:lastColumn="0" w:noHBand="0" w:noVBand="1"/>
        <w:tblDescription w:val="This table details indicator P5: Rate of regular uploads to My Health Record. It is comprised of two columns, and 11 rows. Column one provides the Item of the indicator, and Column two outlines the corresponding description."/>
      </w:tblPr>
      <w:tblGrid>
        <w:gridCol w:w="1571"/>
        <w:gridCol w:w="8156"/>
      </w:tblGrid>
      <w:tr w:rsidR="00F9458B" w:rsidRPr="00F9458B" w14:paraId="6E901124" w14:textId="77777777" w:rsidTr="77D0C6EF">
        <w:trPr>
          <w:cnfStyle w:val="100000000000" w:firstRow="1" w:lastRow="0" w:firstColumn="0" w:lastColumn="0" w:oddVBand="0" w:evenVBand="0" w:oddHBand="0" w:evenHBand="0" w:firstRowFirstColumn="0" w:firstRowLastColumn="0" w:lastRowFirstColumn="0" w:lastRowLastColumn="0"/>
          <w:tblHeader/>
        </w:trPr>
        <w:tc>
          <w:tcPr>
            <w:tcW w:w="1574" w:type="dxa"/>
            <w:shd w:val="clear" w:color="auto" w:fill="153A6E"/>
          </w:tcPr>
          <w:p w14:paraId="3E5A7FF8" w14:textId="77777777" w:rsidR="00F9458B" w:rsidRPr="00716651" w:rsidRDefault="00F9458B" w:rsidP="00716651">
            <w:pPr>
              <w:pStyle w:val="TableHeaderWhite"/>
            </w:pPr>
            <w:r w:rsidRPr="00716651">
              <w:t>Item</w:t>
            </w:r>
          </w:p>
        </w:tc>
        <w:tc>
          <w:tcPr>
            <w:tcW w:w="8388" w:type="dxa"/>
            <w:shd w:val="clear" w:color="auto" w:fill="153A6E"/>
          </w:tcPr>
          <w:p w14:paraId="30EC268F" w14:textId="77777777" w:rsidR="00F9458B" w:rsidRPr="00716651" w:rsidRDefault="00F9458B" w:rsidP="00716651">
            <w:pPr>
              <w:pStyle w:val="TableHeaderWhite"/>
            </w:pPr>
            <w:r w:rsidRPr="00716651">
              <w:t>Description</w:t>
            </w:r>
          </w:p>
        </w:tc>
      </w:tr>
      <w:tr w:rsidR="00F9458B" w:rsidRPr="00F9458B" w14:paraId="31060BFA" w14:textId="77777777" w:rsidTr="77D0C6EF">
        <w:trPr>
          <w:cantSplit/>
        </w:trPr>
        <w:tc>
          <w:tcPr>
            <w:tcW w:w="1574" w:type="dxa"/>
          </w:tcPr>
          <w:p w14:paraId="27EE8013" w14:textId="77777777" w:rsidR="00F9458B" w:rsidRPr="008A6671" w:rsidRDefault="00F9458B" w:rsidP="00F9458B">
            <w:r w:rsidRPr="008A6671">
              <w:t>Assessment</w:t>
            </w:r>
          </w:p>
        </w:tc>
        <w:tc>
          <w:tcPr>
            <w:tcW w:w="8388" w:type="dxa"/>
          </w:tcPr>
          <w:p w14:paraId="03B42542" w14:textId="74508A4B" w:rsidR="00F9458B" w:rsidRPr="008A6671" w:rsidRDefault="00F9458B" w:rsidP="00F9458B">
            <w:r w:rsidRPr="008A6671">
              <w:t>PHN Program</w:t>
            </w:r>
            <w:r w:rsidR="00322E71">
              <w:t>.</w:t>
            </w:r>
          </w:p>
        </w:tc>
      </w:tr>
      <w:tr w:rsidR="00F9458B" w:rsidRPr="00F9458B" w14:paraId="0484BF66" w14:textId="77777777" w:rsidTr="77D0C6EF">
        <w:trPr>
          <w:cantSplit/>
        </w:trPr>
        <w:tc>
          <w:tcPr>
            <w:tcW w:w="1574" w:type="dxa"/>
          </w:tcPr>
          <w:p w14:paraId="500635BC" w14:textId="77777777" w:rsidR="00F9458B" w:rsidRPr="008A6671" w:rsidRDefault="00F9458B" w:rsidP="00F9458B">
            <w:r w:rsidRPr="008A6671">
              <w:t>Reporting</w:t>
            </w:r>
          </w:p>
        </w:tc>
        <w:tc>
          <w:tcPr>
            <w:tcW w:w="8388" w:type="dxa"/>
          </w:tcPr>
          <w:p w14:paraId="194844D1" w14:textId="17770DAB" w:rsidR="00F9458B" w:rsidRPr="008A6671" w:rsidRDefault="00F9458B" w:rsidP="00F9458B">
            <w:r w:rsidRPr="008A6671">
              <w:t xml:space="preserve">Twelve monthly </w:t>
            </w:r>
            <w:r w:rsidR="00280BB0" w:rsidRPr="008A6671">
              <w:t>by Department</w:t>
            </w:r>
            <w:r w:rsidR="009A1A50" w:rsidRPr="008A6671">
              <w:t>.</w:t>
            </w:r>
          </w:p>
        </w:tc>
      </w:tr>
      <w:tr w:rsidR="00F9458B" w:rsidRPr="00F9458B" w14:paraId="51EE4A2D" w14:textId="77777777" w:rsidTr="77D0C6EF">
        <w:trPr>
          <w:cantSplit/>
        </w:trPr>
        <w:tc>
          <w:tcPr>
            <w:tcW w:w="1574" w:type="dxa"/>
          </w:tcPr>
          <w:p w14:paraId="73AF6BBE" w14:textId="77777777" w:rsidR="00F9458B" w:rsidRPr="008A6671" w:rsidRDefault="00F9458B" w:rsidP="00F9458B">
            <w:r w:rsidRPr="008A6671">
              <w:t>Definition</w:t>
            </w:r>
          </w:p>
        </w:tc>
        <w:tc>
          <w:tcPr>
            <w:tcW w:w="8388" w:type="dxa"/>
          </w:tcPr>
          <w:p w14:paraId="2BC54100" w14:textId="3B6309B2" w:rsidR="00F9458B" w:rsidRPr="008A6671" w:rsidRDefault="00F9458B" w:rsidP="00F9458B">
            <w:r w:rsidRPr="008A6671">
              <w:t xml:space="preserve">Rate of </w:t>
            </w:r>
            <w:r w:rsidR="0027163C">
              <w:t>general practices</w:t>
            </w:r>
            <w:r w:rsidRPr="008A6671">
              <w:t xml:space="preserve"> regularly uploading documents to My Health Record (MyHR</w:t>
            </w:r>
            <w:r w:rsidRPr="008E5D2E">
              <w:t>)</w:t>
            </w:r>
            <w:r w:rsidR="00F25AD7">
              <w:t>.</w:t>
            </w:r>
          </w:p>
          <w:p w14:paraId="495B62E8" w14:textId="2268AEDD" w:rsidR="00F9458B" w:rsidRPr="008A6671" w:rsidRDefault="00F9458B" w:rsidP="00F9458B">
            <w:r w:rsidRPr="008A6671">
              <w:t>Regularly is defined as uploading at least one document each week in a month</w:t>
            </w:r>
            <w:r w:rsidR="00322E71">
              <w:t>.</w:t>
            </w:r>
          </w:p>
        </w:tc>
      </w:tr>
      <w:tr w:rsidR="00F9458B" w:rsidRPr="00F9458B" w14:paraId="5C110D12" w14:textId="77777777" w:rsidTr="77D0C6EF">
        <w:trPr>
          <w:cantSplit/>
        </w:trPr>
        <w:tc>
          <w:tcPr>
            <w:tcW w:w="1574" w:type="dxa"/>
          </w:tcPr>
          <w:p w14:paraId="3DA08FC4" w14:textId="77777777" w:rsidR="00F9458B" w:rsidRPr="008A6671" w:rsidRDefault="00F9458B" w:rsidP="00F9458B">
            <w:r w:rsidRPr="008A6671">
              <w:t>Purpose</w:t>
            </w:r>
          </w:p>
        </w:tc>
        <w:tc>
          <w:tcPr>
            <w:tcW w:w="8388" w:type="dxa"/>
          </w:tcPr>
          <w:p w14:paraId="53B82FDD" w14:textId="5A6E83B8" w:rsidR="00F9458B" w:rsidRPr="008A6671" w:rsidRDefault="00F9458B" w:rsidP="00F9458B">
            <w:r w:rsidRPr="008A6671">
              <w:t>This is a measure of use of MyHR. The full implementation of MyHR will enhance co-ordination and continuity of care. PHNs can play a role at a system level to encourage primary health care providers to use MyHR</w:t>
            </w:r>
            <w:r w:rsidR="00E42313">
              <w:t>.</w:t>
            </w:r>
          </w:p>
        </w:tc>
      </w:tr>
      <w:tr w:rsidR="00F9458B" w:rsidRPr="00F9458B" w14:paraId="27718D46" w14:textId="77777777" w:rsidTr="77D0C6EF">
        <w:trPr>
          <w:cantSplit/>
        </w:trPr>
        <w:tc>
          <w:tcPr>
            <w:tcW w:w="1574" w:type="dxa"/>
          </w:tcPr>
          <w:p w14:paraId="152F58F0" w14:textId="77777777" w:rsidR="00F9458B" w:rsidRPr="008A6671" w:rsidRDefault="00F9458B" w:rsidP="00F9458B">
            <w:r w:rsidRPr="008A6671">
              <w:lastRenderedPageBreak/>
              <w:t>Outcome Theme: Quality Care</w:t>
            </w:r>
          </w:p>
        </w:tc>
        <w:tc>
          <w:tcPr>
            <w:tcW w:w="8388" w:type="dxa"/>
          </w:tcPr>
          <w:p w14:paraId="5473AA28" w14:textId="77777777" w:rsidR="00F9458B" w:rsidRPr="008A6671" w:rsidRDefault="00F9458B" w:rsidP="00F9458B">
            <w:r w:rsidRPr="008A6671">
              <w:t>Outcome:</w:t>
            </w:r>
          </w:p>
          <w:p w14:paraId="7453987F" w14:textId="69A6310A" w:rsidR="00F9458B" w:rsidRPr="008A6671" w:rsidRDefault="00F9458B" w:rsidP="00F9458B">
            <w:r w:rsidRPr="008A6671">
              <w:t>PHNs support general practices and other health care providers to provide quality care to patients</w:t>
            </w:r>
            <w:r w:rsidR="00F25AD7">
              <w:t>.</w:t>
            </w:r>
          </w:p>
          <w:p w14:paraId="460E236B" w14:textId="27B44126" w:rsidR="00F9458B" w:rsidRPr="008A6671" w:rsidRDefault="00F9458B" w:rsidP="00F9458B">
            <w:r w:rsidRPr="008A6671">
              <w:t>PHNs support health care providers to use digital health systems to improve patient care and communication</w:t>
            </w:r>
            <w:r w:rsidR="00322E71">
              <w:t>.</w:t>
            </w:r>
          </w:p>
        </w:tc>
      </w:tr>
      <w:tr w:rsidR="00F9458B" w:rsidRPr="00F9458B" w14:paraId="71016A7E" w14:textId="77777777" w:rsidTr="77D0C6EF">
        <w:trPr>
          <w:cantSplit/>
        </w:trPr>
        <w:tc>
          <w:tcPr>
            <w:tcW w:w="1574" w:type="dxa"/>
          </w:tcPr>
          <w:p w14:paraId="4A458242" w14:textId="77777777" w:rsidR="00F9458B" w:rsidRPr="008A6671" w:rsidRDefault="00F9458B" w:rsidP="00F9458B">
            <w:r w:rsidRPr="008A6671">
              <w:t>Performance Criteria</w:t>
            </w:r>
          </w:p>
        </w:tc>
        <w:tc>
          <w:tcPr>
            <w:tcW w:w="8388" w:type="dxa"/>
          </w:tcPr>
          <w:p w14:paraId="67A2F0EC" w14:textId="1FE81EED" w:rsidR="00F9458B" w:rsidRPr="008A6671" w:rsidRDefault="008A2CC7" w:rsidP="00F9458B">
            <w:r w:rsidRPr="008A6671">
              <w:t>This item does not have performance criteria or a target. It provides context for other indicators and a reference to the healthcare landscape in which PHNs are operating.</w:t>
            </w:r>
          </w:p>
        </w:tc>
      </w:tr>
      <w:tr w:rsidR="00F9458B" w:rsidRPr="00F9458B" w14:paraId="47834DA6" w14:textId="77777777" w:rsidTr="77D0C6EF">
        <w:trPr>
          <w:cantSplit/>
        </w:trPr>
        <w:tc>
          <w:tcPr>
            <w:tcW w:w="1574" w:type="dxa"/>
          </w:tcPr>
          <w:p w14:paraId="5E5F5F07" w14:textId="77777777" w:rsidR="00F9458B" w:rsidRPr="008A6671" w:rsidRDefault="00F9458B" w:rsidP="00F9458B">
            <w:r w:rsidRPr="008A6671">
              <w:t>Data Source</w:t>
            </w:r>
          </w:p>
        </w:tc>
        <w:tc>
          <w:tcPr>
            <w:tcW w:w="8388" w:type="dxa"/>
          </w:tcPr>
          <w:p w14:paraId="67CD3BFD" w14:textId="5329AA6D" w:rsidR="00F9458B" w:rsidRPr="008A6671" w:rsidRDefault="00F9458B" w:rsidP="00F9458B">
            <w:r w:rsidRPr="008A6671">
              <w:t xml:space="preserve">Australian Digital Health Agency (ADHA) – </w:t>
            </w:r>
            <w:r w:rsidR="0042727D" w:rsidRPr="008A6671">
              <w:t>general practices</w:t>
            </w:r>
            <w:r w:rsidRPr="008A6671">
              <w:t xml:space="preserve"> regularly uploading documents</w:t>
            </w:r>
            <w:r w:rsidR="00C04753">
              <w:t>; number of general practices that are registered MyHR providers</w:t>
            </w:r>
            <w:r w:rsidR="00E42313">
              <w:t>.</w:t>
            </w:r>
          </w:p>
        </w:tc>
      </w:tr>
      <w:tr w:rsidR="00F9458B" w:rsidRPr="00F9458B" w14:paraId="2965F099" w14:textId="77777777" w:rsidTr="77D0C6EF">
        <w:trPr>
          <w:cantSplit/>
        </w:trPr>
        <w:tc>
          <w:tcPr>
            <w:tcW w:w="1574" w:type="dxa"/>
          </w:tcPr>
          <w:p w14:paraId="1346B2FF" w14:textId="77777777" w:rsidR="00F9458B" w:rsidRPr="008A6671" w:rsidRDefault="00F9458B" w:rsidP="00F9458B">
            <w:r w:rsidRPr="008A6671">
              <w:t>Calculation</w:t>
            </w:r>
          </w:p>
        </w:tc>
        <w:tc>
          <w:tcPr>
            <w:tcW w:w="8388" w:type="dxa"/>
          </w:tcPr>
          <w:p w14:paraId="1A4DA460" w14:textId="77777777" w:rsidR="00F9458B" w:rsidRPr="008A6671" w:rsidRDefault="00F9458B" w:rsidP="00F9458B">
            <w:r w:rsidRPr="008A6671">
              <w:t>Numerator:</w:t>
            </w:r>
          </w:p>
          <w:p w14:paraId="2FA7B225" w14:textId="529B0C26" w:rsidR="00F9458B" w:rsidRPr="008A6671" w:rsidRDefault="00F9458B" w:rsidP="00F9458B">
            <w:r w:rsidRPr="008A6671">
              <w:t>Number of general practices</w:t>
            </w:r>
            <w:r w:rsidR="0042727D" w:rsidRPr="008A6671">
              <w:t xml:space="preserve"> </w:t>
            </w:r>
            <w:r w:rsidRPr="008A6671">
              <w:t>which regularly uploaded documents to MyHR</w:t>
            </w:r>
            <w:r w:rsidR="00F25AD7">
              <w:t>.</w:t>
            </w:r>
          </w:p>
          <w:p w14:paraId="4F6A02EB" w14:textId="77777777" w:rsidR="00F9458B" w:rsidRPr="008A6671" w:rsidRDefault="00F9458B" w:rsidP="00F9458B">
            <w:r w:rsidRPr="008A6671">
              <w:t>Denominator:</w:t>
            </w:r>
          </w:p>
          <w:p w14:paraId="0DF7D7D3" w14:textId="0B0D8DF2" w:rsidR="00D665CA" w:rsidRPr="008A6671" w:rsidRDefault="00D665CA" w:rsidP="00D665CA">
            <w:pPr>
              <w:rPr>
                <w:rFonts w:eastAsia="Calibri"/>
              </w:rPr>
            </w:pPr>
            <w:r w:rsidRPr="008A6671">
              <w:rPr>
                <w:rFonts w:eastAsia="Calibri"/>
              </w:rPr>
              <w:t>Number of general practices that were registered MyHR providers in the PHN region at the end of financial year</w:t>
            </w:r>
            <w:r>
              <w:rPr>
                <w:rFonts w:eastAsia="Calibri"/>
              </w:rPr>
              <w:t>.</w:t>
            </w:r>
          </w:p>
          <w:p w14:paraId="38B87472" w14:textId="77777777" w:rsidR="00F9458B" w:rsidRPr="008A6671" w:rsidRDefault="00F9458B" w:rsidP="00F9458B">
            <w:r w:rsidRPr="008A6671">
              <w:t>Computation:</w:t>
            </w:r>
          </w:p>
          <w:p w14:paraId="1758168E" w14:textId="78D779B7" w:rsidR="00F9458B" w:rsidRPr="008A6671" w:rsidRDefault="00F9458B" w:rsidP="00F9458B">
            <w:r w:rsidRPr="008A6671">
              <w:t>100 x (numerator / denominator) presented as a percentage in PHN region</w:t>
            </w:r>
            <w:r w:rsidR="00322E71">
              <w:t>.</w:t>
            </w:r>
          </w:p>
        </w:tc>
      </w:tr>
      <w:tr w:rsidR="00F9458B" w:rsidRPr="00F9458B" w14:paraId="63403200" w14:textId="77777777" w:rsidTr="77D0C6EF">
        <w:trPr>
          <w:cantSplit/>
        </w:trPr>
        <w:tc>
          <w:tcPr>
            <w:tcW w:w="1574" w:type="dxa"/>
          </w:tcPr>
          <w:p w14:paraId="46CBDB19" w14:textId="77777777" w:rsidR="00F9458B" w:rsidRPr="008A6671" w:rsidRDefault="00F9458B" w:rsidP="00F9458B">
            <w:r w:rsidRPr="008A6671">
              <w:t>Limitations</w:t>
            </w:r>
          </w:p>
        </w:tc>
        <w:tc>
          <w:tcPr>
            <w:tcW w:w="8388" w:type="dxa"/>
          </w:tcPr>
          <w:p w14:paraId="15A12CCB" w14:textId="77777777" w:rsidR="00F9458B" w:rsidRPr="008A6671" w:rsidRDefault="00F9458B" w:rsidP="00F9458B">
            <w:r w:rsidRPr="008A6671">
              <w:t>-</w:t>
            </w:r>
          </w:p>
        </w:tc>
      </w:tr>
      <w:tr w:rsidR="00F9458B" w:rsidRPr="00F9458B" w14:paraId="624C895A" w14:textId="77777777" w:rsidTr="77D0C6EF">
        <w:trPr>
          <w:cantSplit/>
        </w:trPr>
        <w:tc>
          <w:tcPr>
            <w:tcW w:w="1574" w:type="dxa"/>
          </w:tcPr>
          <w:p w14:paraId="30CB0411" w14:textId="77777777" w:rsidR="00F9458B" w:rsidRPr="008A6671" w:rsidRDefault="00F9458B" w:rsidP="00F9458B">
            <w:r w:rsidRPr="008A6671">
              <w:t>Additional information</w:t>
            </w:r>
          </w:p>
        </w:tc>
        <w:tc>
          <w:tcPr>
            <w:tcW w:w="8388" w:type="dxa"/>
          </w:tcPr>
          <w:p w14:paraId="7767C063" w14:textId="77777777" w:rsidR="00F9458B" w:rsidRPr="008A6671" w:rsidRDefault="00F9458B" w:rsidP="00F9458B">
            <w:r w:rsidRPr="008A6671">
              <w:t>-</w:t>
            </w:r>
          </w:p>
        </w:tc>
      </w:tr>
    </w:tbl>
    <w:p w14:paraId="46E07855" w14:textId="66CAA52F" w:rsidR="00F9458B" w:rsidRPr="00716651" w:rsidRDefault="00F9458B" w:rsidP="00665D8A">
      <w:pPr>
        <w:pStyle w:val="Heading2"/>
      </w:pPr>
      <w:bookmarkStart w:id="25" w:name="_Toc517194518"/>
      <w:bookmarkStart w:id="26" w:name="_Toc517267752"/>
      <w:bookmarkStart w:id="27" w:name="_Toc517767146"/>
      <w:bookmarkStart w:id="28" w:name="_Toc517769797"/>
      <w:r w:rsidRPr="00716651">
        <w:t>P</w:t>
      </w:r>
      <w:r w:rsidR="00761DFA" w:rsidRPr="00716651">
        <w:t>6</w:t>
      </w:r>
      <w:r w:rsidRPr="00716651">
        <w:t xml:space="preserve">: Rate of general practices receiving payment for </w:t>
      </w:r>
      <w:r w:rsidR="00151FC1" w:rsidRPr="00716651">
        <w:t>after-hours</w:t>
      </w:r>
      <w:r w:rsidRPr="00716651">
        <w:t xml:space="preserve"> services</w:t>
      </w:r>
      <w:bookmarkEnd w:id="25"/>
      <w:bookmarkEnd w:id="26"/>
      <w:bookmarkEnd w:id="27"/>
      <w:bookmarkEnd w:id="28"/>
    </w:p>
    <w:tbl>
      <w:tblPr>
        <w:tblStyle w:val="PHNTealtable"/>
        <w:tblW w:w="972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4A0" w:firstRow="1" w:lastRow="0" w:firstColumn="1" w:lastColumn="0" w:noHBand="0" w:noVBand="1"/>
        <w:tblDescription w:val="This table details indicator P6: Rate of general practices recieving payments for after hours services. It is comprised of two columns, and 11 rows. Column one provides the Item of the indicator, and Column two outlines the corresponding description."/>
      </w:tblPr>
      <w:tblGrid>
        <w:gridCol w:w="1570"/>
        <w:gridCol w:w="8158"/>
      </w:tblGrid>
      <w:tr w:rsidR="00F9458B" w:rsidRPr="00F9458B" w14:paraId="3C75DDD0" w14:textId="77777777" w:rsidTr="00B80E97">
        <w:trPr>
          <w:cnfStyle w:val="100000000000" w:firstRow="1" w:lastRow="0" w:firstColumn="0" w:lastColumn="0" w:oddVBand="0" w:evenVBand="0" w:oddHBand="0" w:evenHBand="0" w:firstRowFirstColumn="0" w:firstRowLastColumn="0" w:lastRowFirstColumn="0" w:lastRowLastColumn="0"/>
          <w:tblHeader/>
        </w:trPr>
        <w:tc>
          <w:tcPr>
            <w:tcW w:w="1570" w:type="dxa"/>
            <w:shd w:val="clear" w:color="auto" w:fill="153A6E"/>
          </w:tcPr>
          <w:p w14:paraId="2C752FC5" w14:textId="77777777" w:rsidR="00F9458B" w:rsidRPr="00716651" w:rsidRDefault="00F9458B" w:rsidP="00716651">
            <w:pPr>
              <w:pStyle w:val="TableHeaderWhite"/>
            </w:pPr>
            <w:r w:rsidRPr="00716651">
              <w:t>Item</w:t>
            </w:r>
          </w:p>
        </w:tc>
        <w:tc>
          <w:tcPr>
            <w:tcW w:w="8158" w:type="dxa"/>
            <w:shd w:val="clear" w:color="auto" w:fill="153A6E"/>
          </w:tcPr>
          <w:p w14:paraId="26B658B5" w14:textId="77777777" w:rsidR="00F9458B" w:rsidRPr="00716651" w:rsidRDefault="00F9458B" w:rsidP="00716651">
            <w:pPr>
              <w:pStyle w:val="TableHeaderWhite"/>
            </w:pPr>
            <w:r w:rsidRPr="00716651">
              <w:t>Description</w:t>
            </w:r>
          </w:p>
        </w:tc>
      </w:tr>
      <w:tr w:rsidR="00F9458B" w:rsidRPr="00F9458B" w14:paraId="02CEFE0B" w14:textId="77777777" w:rsidTr="00B80E97">
        <w:trPr>
          <w:cantSplit/>
        </w:trPr>
        <w:tc>
          <w:tcPr>
            <w:tcW w:w="1570" w:type="dxa"/>
          </w:tcPr>
          <w:p w14:paraId="10CB4809" w14:textId="77777777" w:rsidR="00F9458B" w:rsidRPr="008A6671" w:rsidRDefault="00F9458B" w:rsidP="00F9458B">
            <w:r w:rsidRPr="008A6671">
              <w:t>Assessment</w:t>
            </w:r>
          </w:p>
        </w:tc>
        <w:tc>
          <w:tcPr>
            <w:tcW w:w="8158" w:type="dxa"/>
          </w:tcPr>
          <w:p w14:paraId="61974215" w14:textId="5429F784" w:rsidR="00F9458B" w:rsidRPr="008A6671" w:rsidRDefault="00F9458B" w:rsidP="00F9458B">
            <w:r w:rsidRPr="008A6671">
              <w:t>PHN Program</w:t>
            </w:r>
            <w:r w:rsidR="00322E71">
              <w:t>.</w:t>
            </w:r>
          </w:p>
        </w:tc>
      </w:tr>
      <w:tr w:rsidR="00F9458B" w:rsidRPr="00F9458B" w14:paraId="1E350E51" w14:textId="77777777" w:rsidTr="00B80E97">
        <w:trPr>
          <w:cantSplit/>
        </w:trPr>
        <w:tc>
          <w:tcPr>
            <w:tcW w:w="1570" w:type="dxa"/>
          </w:tcPr>
          <w:p w14:paraId="59F49A60" w14:textId="77777777" w:rsidR="00F9458B" w:rsidRPr="008A6671" w:rsidRDefault="00F9458B" w:rsidP="00F9458B">
            <w:r w:rsidRPr="008A6671">
              <w:t>Reporting</w:t>
            </w:r>
          </w:p>
        </w:tc>
        <w:tc>
          <w:tcPr>
            <w:tcW w:w="8158" w:type="dxa"/>
          </w:tcPr>
          <w:p w14:paraId="17D33F6E" w14:textId="60C85CCA" w:rsidR="00F9458B" w:rsidRPr="008A6671" w:rsidRDefault="007A3A2C" w:rsidP="00F9458B">
            <w:r w:rsidRPr="00322E71">
              <w:t>Twelve monthly</w:t>
            </w:r>
            <w:r w:rsidR="009A1A50" w:rsidRPr="008A6671">
              <w:t xml:space="preserve"> by Department.</w:t>
            </w:r>
          </w:p>
        </w:tc>
      </w:tr>
      <w:tr w:rsidR="00F9458B" w:rsidRPr="00F9458B" w14:paraId="3D8AE6A8" w14:textId="77777777" w:rsidTr="00B80E97">
        <w:trPr>
          <w:cantSplit/>
        </w:trPr>
        <w:tc>
          <w:tcPr>
            <w:tcW w:w="1570" w:type="dxa"/>
          </w:tcPr>
          <w:p w14:paraId="74730B78" w14:textId="77777777" w:rsidR="00F9458B" w:rsidRPr="008A6671" w:rsidRDefault="00F9458B" w:rsidP="00F9458B">
            <w:r w:rsidRPr="008A6671">
              <w:t>Definition</w:t>
            </w:r>
          </w:p>
        </w:tc>
        <w:tc>
          <w:tcPr>
            <w:tcW w:w="8158" w:type="dxa"/>
          </w:tcPr>
          <w:p w14:paraId="7C8BF6D2" w14:textId="434DBD84" w:rsidR="00F9458B" w:rsidRPr="008A6671" w:rsidRDefault="00F9458B" w:rsidP="00F9458B">
            <w:r w:rsidRPr="008A6671">
              <w:t xml:space="preserve">Rate of general practices receiving a Practice Incentives Program (PIP) level 1-5 payment for </w:t>
            </w:r>
            <w:r w:rsidR="00151FC1" w:rsidRPr="008A6671">
              <w:t>after-hours</w:t>
            </w:r>
            <w:r w:rsidRPr="008A6671">
              <w:t xml:space="preserve"> services</w:t>
            </w:r>
            <w:r w:rsidR="00C72FA7" w:rsidRPr="008A6671">
              <w:t>.</w:t>
            </w:r>
          </w:p>
          <w:p w14:paraId="2088DCCA" w14:textId="7AFB5862" w:rsidR="00F9458B" w:rsidRPr="008A6671" w:rsidRDefault="00F9458B" w:rsidP="00F9458B">
            <w:r w:rsidRPr="008A6671">
              <w:t xml:space="preserve">For the PIP, the complete </w:t>
            </w:r>
            <w:r w:rsidR="00151FC1" w:rsidRPr="008A6671">
              <w:t>after-hours</w:t>
            </w:r>
            <w:r w:rsidRPr="008A6671">
              <w:t xml:space="preserve"> period is outside 8 am to 6 pm weekdays, outside 8 am to 12 noon on Saturdays, and all day on Sundays and public holidays</w:t>
            </w:r>
            <w:r w:rsidR="00C72FA7" w:rsidRPr="008A6671">
              <w:t>.</w:t>
            </w:r>
          </w:p>
        </w:tc>
      </w:tr>
      <w:tr w:rsidR="00F9458B" w:rsidRPr="00F9458B" w14:paraId="0961DB2B" w14:textId="77777777" w:rsidTr="00B80E97">
        <w:trPr>
          <w:cantSplit/>
        </w:trPr>
        <w:tc>
          <w:tcPr>
            <w:tcW w:w="1570" w:type="dxa"/>
          </w:tcPr>
          <w:p w14:paraId="14BF9A7E" w14:textId="77777777" w:rsidR="00F9458B" w:rsidRPr="008A6671" w:rsidRDefault="00F9458B" w:rsidP="00F9458B">
            <w:r w:rsidRPr="008A6671">
              <w:t>Purpose</w:t>
            </w:r>
          </w:p>
        </w:tc>
        <w:tc>
          <w:tcPr>
            <w:tcW w:w="8158" w:type="dxa"/>
          </w:tcPr>
          <w:p w14:paraId="159696FD" w14:textId="5D16833A" w:rsidR="00F9458B" w:rsidRPr="008A6671" w:rsidRDefault="00F9458B" w:rsidP="00F9458B">
            <w:r w:rsidRPr="008A6671">
              <w:t>The PIP aims to improve access to care, detection and management of chronic conditions, and quality, safety, performance and accountability where PHN</w:t>
            </w:r>
            <w:r w:rsidR="00B74E58">
              <w:t>s</w:t>
            </w:r>
            <w:r w:rsidRPr="008A6671">
              <w:t xml:space="preserve"> can play an important role. Practices must register for the PI</w:t>
            </w:r>
            <w:r w:rsidR="00C1797A" w:rsidRPr="008A6671">
              <w:t>P</w:t>
            </w:r>
            <w:r w:rsidR="00476714">
              <w:t xml:space="preserve"> </w:t>
            </w:r>
            <w:proofErr w:type="gramStart"/>
            <w:r w:rsidR="00476714">
              <w:t>in order to</w:t>
            </w:r>
            <w:proofErr w:type="gramEnd"/>
            <w:r w:rsidR="00476714">
              <w:t xml:space="preserve"> receive payment</w:t>
            </w:r>
            <w:r w:rsidR="00C1797A" w:rsidRPr="008A6671">
              <w:t>.</w:t>
            </w:r>
          </w:p>
          <w:p w14:paraId="4D2B18C3" w14:textId="29EF587F" w:rsidR="00F9458B" w:rsidRPr="008A6671" w:rsidRDefault="00F9458B" w:rsidP="00F9458B">
            <w:r w:rsidRPr="008A6671">
              <w:t xml:space="preserve">The PIP </w:t>
            </w:r>
            <w:r w:rsidR="00151FC1" w:rsidRPr="008A6671">
              <w:t>After-Hours</w:t>
            </w:r>
            <w:r w:rsidRPr="008A6671">
              <w:t xml:space="preserve"> incentive aims to ensure that patients have access to care throughout after hour periods. The rate of general practices receiving a PIP level 1-5 payments for </w:t>
            </w:r>
            <w:r w:rsidR="00151FC1" w:rsidRPr="008A6671">
              <w:t>after-hours</w:t>
            </w:r>
            <w:r w:rsidRPr="008A6671">
              <w:t xml:space="preserve"> services reflect the services provided by general practice during </w:t>
            </w:r>
            <w:r w:rsidR="00151FC1" w:rsidRPr="008A6671">
              <w:t>after-hours</w:t>
            </w:r>
            <w:r w:rsidR="00C1797A" w:rsidRPr="008A6671">
              <w:t>.</w:t>
            </w:r>
          </w:p>
        </w:tc>
      </w:tr>
      <w:tr w:rsidR="00F9458B" w:rsidRPr="00F9458B" w14:paraId="05E1DF96" w14:textId="77777777" w:rsidTr="00B80E97">
        <w:trPr>
          <w:cantSplit/>
        </w:trPr>
        <w:tc>
          <w:tcPr>
            <w:tcW w:w="1570" w:type="dxa"/>
          </w:tcPr>
          <w:p w14:paraId="0A21AA6F" w14:textId="77777777" w:rsidR="00F9458B" w:rsidRPr="008A6671" w:rsidRDefault="00F9458B" w:rsidP="00F9458B">
            <w:r w:rsidRPr="008A6671">
              <w:lastRenderedPageBreak/>
              <w:t>Outcome Theme: Improving Access</w:t>
            </w:r>
          </w:p>
        </w:tc>
        <w:tc>
          <w:tcPr>
            <w:tcW w:w="8158" w:type="dxa"/>
          </w:tcPr>
          <w:p w14:paraId="48942570" w14:textId="77777777" w:rsidR="00F9458B" w:rsidRPr="008A6671" w:rsidRDefault="00F9458B" w:rsidP="00F9458B">
            <w:r w:rsidRPr="008A6671">
              <w:t>Outcome:</w:t>
            </w:r>
          </w:p>
          <w:p w14:paraId="766D0D9B" w14:textId="71DE6DBE" w:rsidR="00F9458B" w:rsidRPr="008A6671" w:rsidRDefault="00F9458B" w:rsidP="00F9458B">
            <w:r w:rsidRPr="008A6671">
              <w:t xml:space="preserve">People in the PHN region </w:t>
            </w:r>
            <w:proofErr w:type="gramStart"/>
            <w:r w:rsidRPr="008A6671">
              <w:t>are able to</w:t>
            </w:r>
            <w:proofErr w:type="gramEnd"/>
            <w:r w:rsidRPr="008A6671">
              <w:t xml:space="preserve"> access general practice and other services as appropriate</w:t>
            </w:r>
            <w:r w:rsidR="00F25AD7">
              <w:t>.</w:t>
            </w:r>
          </w:p>
          <w:p w14:paraId="50AFDDEE" w14:textId="7D250A5B" w:rsidR="00F9458B" w:rsidRPr="008A6671" w:rsidRDefault="00F9458B" w:rsidP="00F9458B">
            <w:r w:rsidRPr="008A6671">
              <w:t xml:space="preserve">PHNs support general practices and other health care providers to provide appropriate </w:t>
            </w:r>
            <w:r w:rsidR="00151FC1" w:rsidRPr="008A6671">
              <w:t>after-hours</w:t>
            </w:r>
            <w:r w:rsidRPr="008A6671">
              <w:t xml:space="preserve"> access</w:t>
            </w:r>
            <w:r w:rsidR="00322E71">
              <w:t>.</w:t>
            </w:r>
          </w:p>
        </w:tc>
      </w:tr>
      <w:tr w:rsidR="00F9458B" w:rsidRPr="00F9458B" w14:paraId="20B42B99" w14:textId="77777777" w:rsidTr="00B80E97">
        <w:trPr>
          <w:cantSplit/>
        </w:trPr>
        <w:tc>
          <w:tcPr>
            <w:tcW w:w="1570" w:type="dxa"/>
          </w:tcPr>
          <w:p w14:paraId="454B3517" w14:textId="77777777" w:rsidR="00F9458B" w:rsidRPr="008A6671" w:rsidRDefault="00F9458B" w:rsidP="00F9458B">
            <w:r w:rsidRPr="008A6671">
              <w:t>Performance Criteria</w:t>
            </w:r>
          </w:p>
        </w:tc>
        <w:tc>
          <w:tcPr>
            <w:tcW w:w="8158" w:type="dxa"/>
          </w:tcPr>
          <w:p w14:paraId="532DD794" w14:textId="15CE6E55" w:rsidR="00F9458B" w:rsidRPr="008A6671" w:rsidRDefault="00A75699" w:rsidP="00F9458B">
            <w:r w:rsidRPr="008A6671">
              <w:t>This item does not have performance criteria or a target. It provides context for other indicators and a reference to the healthcare landscape in which PHNs are operating.</w:t>
            </w:r>
          </w:p>
        </w:tc>
      </w:tr>
      <w:tr w:rsidR="00F9458B" w:rsidRPr="00F9458B" w14:paraId="1195E086" w14:textId="77777777" w:rsidTr="00B80E97">
        <w:trPr>
          <w:cantSplit/>
        </w:trPr>
        <w:tc>
          <w:tcPr>
            <w:tcW w:w="1570" w:type="dxa"/>
          </w:tcPr>
          <w:p w14:paraId="3AF95676" w14:textId="77777777" w:rsidR="00F9458B" w:rsidRPr="008A6671" w:rsidRDefault="00F9458B" w:rsidP="00F9458B">
            <w:r w:rsidRPr="008A6671">
              <w:t>Data Source</w:t>
            </w:r>
          </w:p>
        </w:tc>
        <w:tc>
          <w:tcPr>
            <w:tcW w:w="8158" w:type="dxa"/>
          </w:tcPr>
          <w:p w14:paraId="0A76CA75" w14:textId="110B3A79" w:rsidR="00F9458B" w:rsidRPr="008A6671" w:rsidRDefault="00F9458B" w:rsidP="00F9458B">
            <w:r w:rsidRPr="008A6671">
              <w:t xml:space="preserve">Department of </w:t>
            </w:r>
            <w:r w:rsidR="00B34E6D" w:rsidRPr="008A6671">
              <w:t>Health and Aged Care</w:t>
            </w:r>
            <w:r w:rsidRPr="008A6671">
              <w:t xml:space="preserve"> - number of general practices receiving a</w:t>
            </w:r>
            <w:r w:rsidR="00B34E6D" w:rsidRPr="008A6671">
              <w:t xml:space="preserve"> PIP</w:t>
            </w:r>
            <w:r w:rsidRPr="008A6671">
              <w:t xml:space="preserve"> </w:t>
            </w:r>
            <w:r w:rsidR="00B34E6D" w:rsidRPr="008A6671">
              <w:t>A</w:t>
            </w:r>
            <w:r w:rsidRPr="008A6671">
              <w:t>fter</w:t>
            </w:r>
            <w:r w:rsidR="00D8704A" w:rsidRPr="008A6671">
              <w:t>-</w:t>
            </w:r>
            <w:r w:rsidR="00B34E6D" w:rsidRPr="008A6671">
              <w:t>H</w:t>
            </w:r>
            <w:r w:rsidRPr="008A6671">
              <w:t>our</w:t>
            </w:r>
            <w:r w:rsidR="00B34E6D" w:rsidRPr="008A6671">
              <w:t>s</w:t>
            </w:r>
            <w:r w:rsidRPr="008A6671">
              <w:t xml:space="preserve"> incentive payment</w:t>
            </w:r>
            <w:r w:rsidR="00F25AD7">
              <w:t>.</w:t>
            </w:r>
          </w:p>
          <w:p w14:paraId="0A4198F7" w14:textId="76CEFFB5" w:rsidR="00F9458B" w:rsidRPr="008A6671" w:rsidRDefault="00F9458B" w:rsidP="00F9458B">
            <w:r w:rsidRPr="008A6671">
              <w:t>PHN - number of general practices</w:t>
            </w:r>
            <w:r w:rsidR="00322E71">
              <w:t>.</w:t>
            </w:r>
          </w:p>
        </w:tc>
      </w:tr>
      <w:tr w:rsidR="00F9458B" w:rsidRPr="00F9458B" w14:paraId="6FC44CA8" w14:textId="77777777" w:rsidTr="00B80E97">
        <w:trPr>
          <w:cantSplit/>
        </w:trPr>
        <w:tc>
          <w:tcPr>
            <w:tcW w:w="1570" w:type="dxa"/>
          </w:tcPr>
          <w:p w14:paraId="3DD32F46" w14:textId="77777777" w:rsidR="00F9458B" w:rsidRPr="008A6671" w:rsidRDefault="00F9458B" w:rsidP="00F9458B">
            <w:r w:rsidRPr="008A6671">
              <w:t>Calculation</w:t>
            </w:r>
          </w:p>
        </w:tc>
        <w:tc>
          <w:tcPr>
            <w:tcW w:w="8158" w:type="dxa"/>
          </w:tcPr>
          <w:p w14:paraId="69C96BEA" w14:textId="77777777" w:rsidR="00F9458B" w:rsidRPr="008A6671" w:rsidRDefault="00F9458B" w:rsidP="00F9458B">
            <w:r w:rsidRPr="008A6671">
              <w:t xml:space="preserve">Numerator: </w:t>
            </w:r>
          </w:p>
          <w:p w14:paraId="6F3DE7E4" w14:textId="7E34B517" w:rsidR="00F9458B" w:rsidRPr="008A6671" w:rsidRDefault="00F9458B" w:rsidP="00F9458B">
            <w:r w:rsidRPr="008A6671">
              <w:t>Number of general practices receiving an after</w:t>
            </w:r>
            <w:r w:rsidR="0390D362" w:rsidRPr="008A6671">
              <w:t>-</w:t>
            </w:r>
            <w:r w:rsidRPr="008A6671">
              <w:t>hour</w:t>
            </w:r>
            <w:r w:rsidR="7EB39B44" w:rsidRPr="008A6671">
              <w:t>s</w:t>
            </w:r>
            <w:r w:rsidR="00D8704A" w:rsidRPr="008A6671">
              <w:t xml:space="preserve"> </w:t>
            </w:r>
            <w:r w:rsidRPr="008A6671">
              <w:t>incentive payment for each level in each PHN region</w:t>
            </w:r>
            <w:r w:rsidR="00F25AD7">
              <w:t>.</w:t>
            </w:r>
          </w:p>
          <w:p w14:paraId="34F607A5" w14:textId="77777777" w:rsidR="00F9458B" w:rsidRPr="008A6671" w:rsidRDefault="00F9458B" w:rsidP="00F9458B">
            <w:r w:rsidRPr="008A6671">
              <w:t xml:space="preserve">Denominator: </w:t>
            </w:r>
          </w:p>
          <w:p w14:paraId="5D901B7B" w14:textId="77777777" w:rsidR="00F9458B" w:rsidRPr="008A6671" w:rsidRDefault="00F9458B" w:rsidP="00F9458B">
            <w:r w:rsidRPr="008A6671">
              <w:t>Number of general practices in each PHN at each financial year.</w:t>
            </w:r>
          </w:p>
          <w:p w14:paraId="7C7B3604" w14:textId="77777777" w:rsidR="00F9458B" w:rsidRPr="008A6671" w:rsidRDefault="00F9458B" w:rsidP="00F9458B">
            <w:r w:rsidRPr="008A6671">
              <w:t>Computation:</w:t>
            </w:r>
          </w:p>
          <w:p w14:paraId="1DD42CB8" w14:textId="47143AC0" w:rsidR="00F9458B" w:rsidRPr="008A6671" w:rsidRDefault="00F9458B" w:rsidP="00F9458B">
            <w:r w:rsidRPr="008A6671">
              <w:t>100 x (numerator / denominator) presented as a percentage in PHN region</w:t>
            </w:r>
            <w:r w:rsidR="00322E71">
              <w:t>.</w:t>
            </w:r>
          </w:p>
        </w:tc>
      </w:tr>
      <w:tr w:rsidR="00F9458B" w:rsidRPr="00F9458B" w14:paraId="218BD330" w14:textId="77777777" w:rsidTr="00B80E97">
        <w:trPr>
          <w:cantSplit/>
        </w:trPr>
        <w:tc>
          <w:tcPr>
            <w:tcW w:w="1570" w:type="dxa"/>
          </w:tcPr>
          <w:p w14:paraId="58BDC39D" w14:textId="77777777" w:rsidR="00F9458B" w:rsidRPr="008A6671" w:rsidRDefault="00F9458B" w:rsidP="00F9458B">
            <w:r w:rsidRPr="008A6671">
              <w:t>Limitations</w:t>
            </w:r>
          </w:p>
        </w:tc>
        <w:tc>
          <w:tcPr>
            <w:tcW w:w="8158" w:type="dxa"/>
          </w:tcPr>
          <w:p w14:paraId="03063E2C" w14:textId="4FFCB779" w:rsidR="00F9458B" w:rsidRPr="008A6671" w:rsidRDefault="00F9458B" w:rsidP="00F9458B">
            <w:r w:rsidRPr="008A6671">
              <w:t>PHNs may have limited ability to affect this rate.</w:t>
            </w:r>
          </w:p>
        </w:tc>
      </w:tr>
      <w:tr w:rsidR="00F9458B" w:rsidRPr="00F9458B" w14:paraId="351C2FDE" w14:textId="77777777" w:rsidTr="00B80E97">
        <w:trPr>
          <w:cantSplit/>
        </w:trPr>
        <w:tc>
          <w:tcPr>
            <w:tcW w:w="1570" w:type="dxa"/>
          </w:tcPr>
          <w:p w14:paraId="0C318A92" w14:textId="77777777" w:rsidR="00F9458B" w:rsidRPr="008A6671" w:rsidRDefault="00F9458B" w:rsidP="00F9458B">
            <w:r w:rsidRPr="008A6671">
              <w:t>Additional information</w:t>
            </w:r>
          </w:p>
        </w:tc>
        <w:tc>
          <w:tcPr>
            <w:tcW w:w="8158" w:type="dxa"/>
          </w:tcPr>
          <w:p w14:paraId="639DBB02" w14:textId="472A967F" w:rsidR="00F9458B" w:rsidRPr="008A6671" w:rsidRDefault="00AF4476" w:rsidP="00F9458B">
            <w:r>
              <w:t xml:space="preserve">Services Australia </w:t>
            </w:r>
            <w:r w:rsidR="00F9458B" w:rsidRPr="008A6671">
              <w:t xml:space="preserve">administers the PIP on behalf of the </w:t>
            </w:r>
            <w:r w:rsidR="00370D32" w:rsidRPr="008A6671">
              <w:t>Department of Health and Aged Care</w:t>
            </w:r>
            <w:r w:rsidR="00C23E4A" w:rsidRPr="008A6671">
              <w:t>.</w:t>
            </w:r>
          </w:p>
        </w:tc>
      </w:tr>
    </w:tbl>
    <w:p w14:paraId="15651FF5" w14:textId="76479425" w:rsidR="00F9458B" w:rsidRPr="00716651" w:rsidRDefault="00F9458B" w:rsidP="00665D8A">
      <w:pPr>
        <w:pStyle w:val="Heading2"/>
      </w:pPr>
      <w:bookmarkStart w:id="29" w:name="_Toc517194519"/>
      <w:bookmarkStart w:id="30" w:name="_Toc517267753"/>
      <w:bookmarkStart w:id="31" w:name="_Toc517767147"/>
      <w:bookmarkStart w:id="32" w:name="_Toc517769798"/>
      <w:r w:rsidRPr="00716651">
        <w:t>P</w:t>
      </w:r>
      <w:r w:rsidR="00761DFA" w:rsidRPr="00716651">
        <w:t>7</w:t>
      </w:r>
      <w:r w:rsidRPr="00716651">
        <w:t xml:space="preserve">: </w:t>
      </w:r>
      <w:bookmarkEnd w:id="29"/>
      <w:bookmarkEnd w:id="30"/>
      <w:bookmarkEnd w:id="31"/>
      <w:bookmarkEnd w:id="32"/>
      <w:r w:rsidR="003C0133" w:rsidRPr="00716651">
        <w:t>Use of emergency departments for lower urgency care</w:t>
      </w:r>
    </w:p>
    <w:tbl>
      <w:tblPr>
        <w:tblStyle w:val="PHNTealtable"/>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4A0" w:firstRow="1" w:lastRow="0" w:firstColumn="1" w:lastColumn="0" w:noHBand="0" w:noVBand="1"/>
        <w:tblDescription w:val="This table details indicator P7: Rate of GP style emergency department (ED) presentations. It is comprised of two columns, and 11 rows. Column one provides the Item of the indicator, and Column two outlines the corresponding description."/>
      </w:tblPr>
      <w:tblGrid>
        <w:gridCol w:w="1568"/>
        <w:gridCol w:w="8159"/>
      </w:tblGrid>
      <w:tr w:rsidR="00F9458B" w:rsidRPr="00F9458B" w14:paraId="72168B97" w14:textId="77777777" w:rsidTr="77D0C6EF">
        <w:trPr>
          <w:cnfStyle w:val="100000000000" w:firstRow="1" w:lastRow="0" w:firstColumn="0" w:lastColumn="0" w:oddVBand="0" w:evenVBand="0" w:oddHBand="0" w:evenHBand="0" w:firstRowFirstColumn="0" w:firstRowLastColumn="0" w:lastRowFirstColumn="0" w:lastRowLastColumn="0"/>
          <w:tblHeader/>
        </w:trPr>
        <w:tc>
          <w:tcPr>
            <w:tcW w:w="1574" w:type="dxa"/>
            <w:shd w:val="clear" w:color="auto" w:fill="153A6E"/>
          </w:tcPr>
          <w:p w14:paraId="6387B858" w14:textId="77777777" w:rsidR="00F9458B" w:rsidRPr="00716651" w:rsidRDefault="00F9458B" w:rsidP="00716651">
            <w:pPr>
              <w:pStyle w:val="TableHeaderWhite"/>
            </w:pPr>
            <w:r w:rsidRPr="00716651">
              <w:t>Item</w:t>
            </w:r>
          </w:p>
        </w:tc>
        <w:tc>
          <w:tcPr>
            <w:tcW w:w="8388" w:type="dxa"/>
            <w:shd w:val="clear" w:color="auto" w:fill="153A6E"/>
          </w:tcPr>
          <w:p w14:paraId="68B7E69A" w14:textId="77777777" w:rsidR="00F9458B" w:rsidRPr="00716651" w:rsidRDefault="00F9458B" w:rsidP="00716651">
            <w:pPr>
              <w:pStyle w:val="TableHeaderWhite"/>
            </w:pPr>
            <w:r w:rsidRPr="00716651">
              <w:t>Description</w:t>
            </w:r>
          </w:p>
        </w:tc>
      </w:tr>
      <w:tr w:rsidR="00F9458B" w:rsidRPr="00F9458B" w14:paraId="4BE6A92E" w14:textId="77777777" w:rsidTr="77D0C6EF">
        <w:trPr>
          <w:cantSplit/>
        </w:trPr>
        <w:tc>
          <w:tcPr>
            <w:tcW w:w="1574" w:type="dxa"/>
          </w:tcPr>
          <w:p w14:paraId="65F62467" w14:textId="77777777" w:rsidR="00F9458B" w:rsidRPr="008A6671" w:rsidRDefault="00F9458B" w:rsidP="00F9458B">
            <w:r w:rsidRPr="008A6671">
              <w:t>Assessment</w:t>
            </w:r>
          </w:p>
        </w:tc>
        <w:tc>
          <w:tcPr>
            <w:tcW w:w="8388" w:type="dxa"/>
          </w:tcPr>
          <w:p w14:paraId="2EDF69B2" w14:textId="636DD02E" w:rsidR="00F9458B" w:rsidRPr="008A6671" w:rsidRDefault="00F9458B" w:rsidP="00F9458B">
            <w:r w:rsidRPr="008A6671">
              <w:t>PHN Program</w:t>
            </w:r>
            <w:r w:rsidR="00322E71">
              <w:t>.</w:t>
            </w:r>
          </w:p>
        </w:tc>
      </w:tr>
      <w:tr w:rsidR="00F9458B" w:rsidRPr="00F9458B" w14:paraId="08C0A6FD" w14:textId="77777777" w:rsidTr="77D0C6EF">
        <w:trPr>
          <w:cantSplit/>
        </w:trPr>
        <w:tc>
          <w:tcPr>
            <w:tcW w:w="1574" w:type="dxa"/>
          </w:tcPr>
          <w:p w14:paraId="6AF5298B" w14:textId="77777777" w:rsidR="00F9458B" w:rsidRPr="008A6671" w:rsidRDefault="00F9458B" w:rsidP="00F9458B">
            <w:r w:rsidRPr="008A6671">
              <w:t>Reporting</w:t>
            </w:r>
          </w:p>
        </w:tc>
        <w:tc>
          <w:tcPr>
            <w:tcW w:w="8388" w:type="dxa"/>
          </w:tcPr>
          <w:p w14:paraId="5A479F8C" w14:textId="7785FE3A" w:rsidR="00F9458B" w:rsidRPr="008A6671" w:rsidRDefault="009A1A50" w:rsidP="00F9458B">
            <w:r w:rsidRPr="008A6671">
              <w:t>Twelve monthly by Department.</w:t>
            </w:r>
          </w:p>
        </w:tc>
      </w:tr>
      <w:tr w:rsidR="00F9458B" w:rsidRPr="00F9458B" w14:paraId="27372AA3" w14:textId="77777777" w:rsidTr="77D0C6EF">
        <w:trPr>
          <w:cantSplit/>
        </w:trPr>
        <w:tc>
          <w:tcPr>
            <w:tcW w:w="1574" w:type="dxa"/>
          </w:tcPr>
          <w:p w14:paraId="61D2E551" w14:textId="77777777" w:rsidR="00F9458B" w:rsidRPr="008A6671" w:rsidRDefault="00F9458B" w:rsidP="00F9458B">
            <w:r w:rsidRPr="008A6671">
              <w:t>Definition</w:t>
            </w:r>
          </w:p>
        </w:tc>
        <w:tc>
          <w:tcPr>
            <w:tcW w:w="8388" w:type="dxa"/>
          </w:tcPr>
          <w:p w14:paraId="72B4311C" w14:textId="24B7BB56" w:rsidR="00F9458B" w:rsidRPr="008A6671" w:rsidRDefault="00F9458B" w:rsidP="00F9458B">
            <w:r w:rsidRPr="008A6671">
              <w:t xml:space="preserve">Rate of </w:t>
            </w:r>
            <w:r w:rsidR="000B4273" w:rsidRPr="008A6671">
              <w:t>lower urgency presentations</w:t>
            </w:r>
            <w:r w:rsidRPr="008A6671">
              <w:t xml:space="preserve"> to emergency departments (ED) within the PHN region during normal and </w:t>
            </w:r>
            <w:r w:rsidR="00151FC1" w:rsidRPr="008A6671">
              <w:t>after-hours</w:t>
            </w:r>
            <w:r w:rsidRPr="008A6671">
              <w:t xml:space="preserve"> periods</w:t>
            </w:r>
            <w:r w:rsidR="00F81D6B" w:rsidRPr="008A6671">
              <w:t>.</w:t>
            </w:r>
          </w:p>
          <w:p w14:paraId="75C04F98" w14:textId="167A6505" w:rsidR="008D034F" w:rsidRPr="008A6671" w:rsidRDefault="00AF2677" w:rsidP="008D034F">
            <w:r w:rsidRPr="008A6671">
              <w:t>These are presentations</w:t>
            </w:r>
            <w:r w:rsidR="008D034F" w:rsidRPr="008A6671">
              <w:t xml:space="preserve"> at formal public hospital EDs where the patient:</w:t>
            </w:r>
          </w:p>
          <w:p w14:paraId="0C6CDF4E" w14:textId="77777777" w:rsidR="00834149" w:rsidRPr="002D2C1D" w:rsidRDefault="00834149" w:rsidP="00665D8A">
            <w:pPr>
              <w:pStyle w:val="ListBullet"/>
            </w:pPr>
            <w:r w:rsidRPr="002D2C1D">
              <w:t xml:space="preserve">had an </w:t>
            </w:r>
            <w:proofErr w:type="gramStart"/>
            <w:r w:rsidRPr="002D2C1D">
              <w:t>Emergency</w:t>
            </w:r>
            <w:proofErr w:type="gramEnd"/>
            <w:r w:rsidRPr="002D2C1D">
              <w:t xml:space="preserve"> presentation type of visit</w:t>
            </w:r>
          </w:p>
          <w:p w14:paraId="47BF7C77" w14:textId="77777777" w:rsidR="00834149" w:rsidRPr="002D2C1D" w:rsidRDefault="00834149" w:rsidP="00665D8A">
            <w:pPr>
              <w:pStyle w:val="ListBullet"/>
            </w:pPr>
            <w:r w:rsidRPr="002D2C1D">
              <w:t>had a Triage category of 4 (semi-urgent) or 5 (non-urgent)</w:t>
            </w:r>
          </w:p>
          <w:p w14:paraId="3689E1A2" w14:textId="62E81EC6" w:rsidR="0064490E" w:rsidRPr="002D2C1D" w:rsidRDefault="00834149" w:rsidP="00665D8A">
            <w:pPr>
              <w:pStyle w:val="ListBullet"/>
            </w:pPr>
            <w:r w:rsidRPr="002D2C1D">
              <w:t>did not arrive by ambulance, or police or correctional vehicle</w:t>
            </w:r>
          </w:p>
          <w:p w14:paraId="05CCF377" w14:textId="6300092A" w:rsidR="00F9458B" w:rsidRPr="008A6671" w:rsidRDefault="00834149" w:rsidP="00665D8A">
            <w:pPr>
              <w:pStyle w:val="ListBullet"/>
            </w:pPr>
            <w:r w:rsidRPr="0064490E">
              <w:t xml:space="preserve">was not admitted to the hospital, not referred to another hospital, </w:t>
            </w:r>
            <w:r w:rsidR="00281B97">
              <w:t>and</w:t>
            </w:r>
            <w:r w:rsidRPr="0064490E">
              <w:t xml:space="preserve"> did not </w:t>
            </w:r>
            <w:r>
              <w:t>die</w:t>
            </w:r>
            <w:r w:rsidR="00CA5828" w:rsidRPr="008A6671">
              <w:t>.</w:t>
            </w:r>
          </w:p>
          <w:p w14:paraId="298EBC33" w14:textId="6C0B8993" w:rsidR="00763DE2" w:rsidRPr="008A6671" w:rsidRDefault="00763DE2" w:rsidP="00F9458B">
            <w:r w:rsidRPr="008A6671">
              <w:t xml:space="preserve">(See </w:t>
            </w:r>
            <w:hyperlink r:id="rId12" w:history="1">
              <w:r w:rsidR="007B29BF" w:rsidRPr="003D3735">
                <w:rPr>
                  <w:rFonts w:cs="Arial"/>
                  <w:color w:val="0000FF"/>
                  <w:szCs w:val="22"/>
                  <w:u w:val="single"/>
                </w:rPr>
                <w:t>https://meteor.aihw.gov.au/content/740847</w:t>
              </w:r>
            </w:hyperlink>
            <w:r w:rsidRPr="008A6671">
              <w:t xml:space="preserve"> for </w:t>
            </w:r>
            <w:r w:rsidR="00B25DCB" w:rsidRPr="008A6671">
              <w:t>more information</w:t>
            </w:r>
            <w:r w:rsidR="007B29BF" w:rsidRPr="008A6671">
              <w:t>.</w:t>
            </w:r>
            <w:r w:rsidRPr="008A6671">
              <w:t>)</w:t>
            </w:r>
          </w:p>
          <w:p w14:paraId="22A4CC1D" w14:textId="2BDD3087" w:rsidR="00F9458B" w:rsidRPr="008A6671" w:rsidRDefault="00F9458B" w:rsidP="00F9458B">
            <w:r w:rsidRPr="008A6671">
              <w:t>After</w:t>
            </w:r>
            <w:r w:rsidR="00151FC1" w:rsidRPr="008A6671">
              <w:t>-</w:t>
            </w:r>
            <w:r w:rsidR="000C0632" w:rsidRPr="008A6671">
              <w:t>h</w:t>
            </w:r>
            <w:r w:rsidRPr="008A6671">
              <w:t xml:space="preserve">ours is defined as: on a public holiday; on a Sunday; before 8am, or after </w:t>
            </w:r>
            <w:r w:rsidR="00165451" w:rsidRPr="008A6671">
              <w:t xml:space="preserve">12:59pm </w:t>
            </w:r>
            <w:r w:rsidRPr="008A6671">
              <w:t xml:space="preserve">on a Saturday; and before 8am, or after </w:t>
            </w:r>
            <w:r w:rsidR="00165451" w:rsidRPr="008A6671">
              <w:t>7:59</w:t>
            </w:r>
            <w:r w:rsidRPr="008A6671">
              <w:t>pm on any day other than a Saturday, Sunday or public holiday</w:t>
            </w:r>
            <w:r w:rsidR="00322E71">
              <w:t>.</w:t>
            </w:r>
          </w:p>
        </w:tc>
      </w:tr>
      <w:tr w:rsidR="00F9458B" w:rsidRPr="00F9458B" w14:paraId="436B52C1" w14:textId="77777777" w:rsidTr="77D0C6EF">
        <w:trPr>
          <w:cantSplit/>
        </w:trPr>
        <w:tc>
          <w:tcPr>
            <w:tcW w:w="1574" w:type="dxa"/>
          </w:tcPr>
          <w:p w14:paraId="0A6B683D" w14:textId="77777777" w:rsidR="00F9458B" w:rsidRPr="008A6671" w:rsidRDefault="00F9458B" w:rsidP="00F9458B">
            <w:r w:rsidRPr="008A6671">
              <w:lastRenderedPageBreak/>
              <w:t>Purpose</w:t>
            </w:r>
          </w:p>
        </w:tc>
        <w:tc>
          <w:tcPr>
            <w:tcW w:w="8388" w:type="dxa"/>
          </w:tcPr>
          <w:p w14:paraId="2115DCFA" w14:textId="6E50B217" w:rsidR="00F9458B" w:rsidRPr="008A6671" w:rsidRDefault="00F9458B" w:rsidP="00F9458B">
            <w:r w:rsidRPr="008A6671">
              <w:t xml:space="preserve">Measures the use of ED </w:t>
            </w:r>
            <w:r w:rsidR="00A76AFE" w:rsidRPr="008A6671">
              <w:t xml:space="preserve">for lower urgency care, which </w:t>
            </w:r>
            <w:r w:rsidR="00B32214" w:rsidRPr="00716651">
              <w:t>may</w:t>
            </w:r>
            <w:r w:rsidR="00B32214" w:rsidRPr="008A6671">
              <w:t xml:space="preserve"> be impacted by </w:t>
            </w:r>
            <w:r w:rsidR="00ED39ED" w:rsidRPr="008A6671">
              <w:t xml:space="preserve">lack of general practice access. </w:t>
            </w:r>
            <w:r w:rsidRPr="008A6671">
              <w:t>PHNs have a responsibility for improving access to general practice, potentially decreasing demand on ED services</w:t>
            </w:r>
            <w:r w:rsidR="009B51C2" w:rsidRPr="008A6671">
              <w:t>.</w:t>
            </w:r>
          </w:p>
          <w:p w14:paraId="558AA867" w14:textId="6B41F006" w:rsidR="009B51C2" w:rsidRPr="008A6671" w:rsidRDefault="009B51C2" w:rsidP="00F9458B">
            <w:r w:rsidRPr="008A6671">
              <w:t xml:space="preserve">As AIHW state in their technical notes </w:t>
            </w:r>
            <w:r w:rsidR="008D3025" w:rsidRPr="008A6671">
              <w:t>on lower urgency ED presentations, care should be taken when using this data to identify ‘avoidable GP type’ or ‘GP style’ presentations because it is based on urgency (triage) categories which may not reflect the various factors that influence the use of EDs such as the complexity of a presentation, the patient’s choice or condition, the most appropriate model of care for such presentations, or the accessibility and availability of primary and community health services.</w:t>
            </w:r>
          </w:p>
        </w:tc>
      </w:tr>
      <w:tr w:rsidR="00F9458B" w:rsidRPr="00F9458B" w14:paraId="3C3BE13C" w14:textId="77777777" w:rsidTr="77D0C6EF">
        <w:trPr>
          <w:cantSplit/>
        </w:trPr>
        <w:tc>
          <w:tcPr>
            <w:tcW w:w="1574" w:type="dxa"/>
          </w:tcPr>
          <w:p w14:paraId="0752A011" w14:textId="77777777" w:rsidR="00F9458B" w:rsidRPr="008A6671" w:rsidRDefault="00F9458B" w:rsidP="00F9458B">
            <w:r w:rsidRPr="008A6671">
              <w:t>Outcome Theme: Improving Access</w:t>
            </w:r>
          </w:p>
        </w:tc>
        <w:tc>
          <w:tcPr>
            <w:tcW w:w="8388" w:type="dxa"/>
          </w:tcPr>
          <w:p w14:paraId="07D35983" w14:textId="77777777" w:rsidR="00F9458B" w:rsidRPr="008A6671" w:rsidRDefault="00F9458B" w:rsidP="00F9458B">
            <w:r w:rsidRPr="008A6671">
              <w:t>Outcome:</w:t>
            </w:r>
          </w:p>
          <w:p w14:paraId="521DA5F2" w14:textId="5F9B72E6" w:rsidR="00F9458B" w:rsidRPr="008A6671" w:rsidRDefault="00F9458B" w:rsidP="00F9458B">
            <w:r w:rsidRPr="008A6671">
              <w:t xml:space="preserve">People in the PHN region </w:t>
            </w:r>
            <w:proofErr w:type="gramStart"/>
            <w:r w:rsidRPr="008A6671">
              <w:t>are able to</w:t>
            </w:r>
            <w:proofErr w:type="gramEnd"/>
            <w:r w:rsidRPr="008A6671">
              <w:t xml:space="preserve"> access general practice and other services as appropriate</w:t>
            </w:r>
            <w:r w:rsidR="00F25AD7">
              <w:t>.</w:t>
            </w:r>
          </w:p>
          <w:p w14:paraId="567406F6" w14:textId="6993C2CF" w:rsidR="00F9458B" w:rsidRPr="008A6671" w:rsidRDefault="00F9458B" w:rsidP="00F9458B">
            <w:r w:rsidRPr="008A6671">
              <w:t xml:space="preserve">PHNs support general practices and other health care providers to provide appropriate </w:t>
            </w:r>
            <w:r w:rsidR="00151FC1" w:rsidRPr="008A6671">
              <w:t>after-hours</w:t>
            </w:r>
            <w:r w:rsidRPr="008A6671">
              <w:t xml:space="preserve"> access</w:t>
            </w:r>
            <w:r w:rsidR="00322E71">
              <w:t>.</w:t>
            </w:r>
          </w:p>
        </w:tc>
      </w:tr>
      <w:tr w:rsidR="00F9458B" w:rsidRPr="00F9458B" w14:paraId="40462B69" w14:textId="77777777" w:rsidTr="77D0C6EF">
        <w:trPr>
          <w:cantSplit/>
        </w:trPr>
        <w:tc>
          <w:tcPr>
            <w:tcW w:w="1574" w:type="dxa"/>
          </w:tcPr>
          <w:p w14:paraId="603C9AC7" w14:textId="77777777" w:rsidR="00F9458B" w:rsidRPr="008A6671" w:rsidRDefault="00F9458B" w:rsidP="00F9458B">
            <w:r w:rsidRPr="008A6671">
              <w:t>Performance Criteria</w:t>
            </w:r>
          </w:p>
        </w:tc>
        <w:tc>
          <w:tcPr>
            <w:tcW w:w="8388" w:type="dxa"/>
          </w:tcPr>
          <w:p w14:paraId="064C82E4" w14:textId="18508D33" w:rsidR="00F9458B" w:rsidRPr="008A6671" w:rsidRDefault="00A75699" w:rsidP="00F9458B">
            <w:r w:rsidRPr="003D3735">
              <w:t>This item does not have performance criteria or a target. It provides context for other indicators and a reference to the healthcare landscape in which PHNs are operating.</w:t>
            </w:r>
          </w:p>
        </w:tc>
      </w:tr>
      <w:tr w:rsidR="00F9458B" w:rsidRPr="00F9458B" w14:paraId="53D688D4" w14:textId="77777777" w:rsidTr="77D0C6EF">
        <w:trPr>
          <w:cantSplit/>
        </w:trPr>
        <w:tc>
          <w:tcPr>
            <w:tcW w:w="1574" w:type="dxa"/>
          </w:tcPr>
          <w:p w14:paraId="5EFC3907" w14:textId="77777777" w:rsidR="00F9458B" w:rsidRPr="008A6671" w:rsidRDefault="00F9458B" w:rsidP="00F9458B">
            <w:r w:rsidRPr="008A6671">
              <w:t>Data Source</w:t>
            </w:r>
          </w:p>
        </w:tc>
        <w:tc>
          <w:tcPr>
            <w:tcW w:w="8388" w:type="dxa"/>
          </w:tcPr>
          <w:p w14:paraId="0D24B23D" w14:textId="1AD9AE5F" w:rsidR="00F9458B" w:rsidRPr="008A6671" w:rsidRDefault="00F9458B" w:rsidP="00F9458B">
            <w:r w:rsidRPr="008A6671">
              <w:t>Australian Institute of Health and Welfare (AIHW</w:t>
            </w:r>
            <w:r w:rsidRPr="008E5D2E">
              <w:t>)</w:t>
            </w:r>
            <w:r w:rsidR="00322E71">
              <w:t>.</w:t>
            </w:r>
          </w:p>
        </w:tc>
      </w:tr>
      <w:tr w:rsidR="00F9458B" w:rsidRPr="00F9458B" w14:paraId="16D50088" w14:textId="77777777" w:rsidTr="77D0C6EF">
        <w:trPr>
          <w:cantSplit/>
        </w:trPr>
        <w:tc>
          <w:tcPr>
            <w:tcW w:w="1574" w:type="dxa"/>
          </w:tcPr>
          <w:p w14:paraId="684C0F78" w14:textId="77777777" w:rsidR="00F9458B" w:rsidRPr="008A6671" w:rsidRDefault="00F9458B" w:rsidP="00F9458B">
            <w:r w:rsidRPr="008A6671">
              <w:t>Calculation</w:t>
            </w:r>
          </w:p>
        </w:tc>
        <w:tc>
          <w:tcPr>
            <w:tcW w:w="8388" w:type="dxa"/>
          </w:tcPr>
          <w:p w14:paraId="48FA625C" w14:textId="77777777" w:rsidR="00F9458B" w:rsidRPr="008A6671" w:rsidRDefault="00F9458B" w:rsidP="00F9458B">
            <w:r w:rsidRPr="008A6671">
              <w:t>Numerator:</w:t>
            </w:r>
          </w:p>
          <w:p w14:paraId="489C2F40" w14:textId="280A2874" w:rsidR="00F9458B" w:rsidRPr="008A6671" w:rsidRDefault="0023313F" w:rsidP="00F9458B">
            <w:r w:rsidRPr="008A6671">
              <w:t>T</w:t>
            </w:r>
            <w:r w:rsidR="00F9458B" w:rsidRPr="008A6671">
              <w:t xml:space="preserve">otal number of </w:t>
            </w:r>
            <w:r w:rsidR="00FC39FF" w:rsidRPr="008A6671">
              <w:t>lower urgency ED presentations</w:t>
            </w:r>
            <w:r w:rsidR="00F25AD7">
              <w:t>.</w:t>
            </w:r>
          </w:p>
          <w:p w14:paraId="2ACD7D32" w14:textId="77777777" w:rsidR="00F9458B" w:rsidRPr="008A6671" w:rsidRDefault="00F9458B" w:rsidP="00F9458B">
            <w:r w:rsidRPr="008A6671">
              <w:t>Denominator:</w:t>
            </w:r>
          </w:p>
          <w:p w14:paraId="2848C3ED" w14:textId="4738D0A6" w:rsidR="00F9458B" w:rsidRPr="008A6671" w:rsidRDefault="0023313F" w:rsidP="00F9458B">
            <w:r w:rsidRPr="008A6671">
              <w:t>T</w:t>
            </w:r>
            <w:r w:rsidR="00F9458B" w:rsidRPr="008A6671">
              <w:t>otal persons in PHN region</w:t>
            </w:r>
            <w:r w:rsidR="00F25AD7">
              <w:t>.</w:t>
            </w:r>
          </w:p>
          <w:p w14:paraId="0A912FFF" w14:textId="77777777" w:rsidR="00F9458B" w:rsidRPr="008A6671" w:rsidRDefault="00F9458B" w:rsidP="00F9458B">
            <w:r w:rsidRPr="008A6671">
              <w:t>Computation:</w:t>
            </w:r>
          </w:p>
          <w:p w14:paraId="1DB28728" w14:textId="1F7F62BB" w:rsidR="00F9458B" w:rsidRPr="008A6671" w:rsidRDefault="00F9458B" w:rsidP="00F9458B">
            <w:r w:rsidRPr="008A6671">
              <w:t>10</w:t>
            </w:r>
            <w:r w:rsidR="00E77C52">
              <w:t>0</w:t>
            </w:r>
            <w:r w:rsidRPr="008A6671">
              <w:t xml:space="preserve">0 x (numerator / denominator) presented as a </w:t>
            </w:r>
            <w:r w:rsidR="00540F7B">
              <w:t>rate per 1,000 population in</w:t>
            </w:r>
            <w:r w:rsidR="00281B97">
              <w:t xml:space="preserve"> the</w:t>
            </w:r>
            <w:r w:rsidR="00540F7B">
              <w:t xml:space="preserve"> </w:t>
            </w:r>
            <w:r w:rsidRPr="008A6671">
              <w:t>PHN region</w:t>
            </w:r>
            <w:r w:rsidR="00F25AD7">
              <w:t>.</w:t>
            </w:r>
          </w:p>
          <w:p w14:paraId="16B7C94F" w14:textId="77777777" w:rsidR="00EF48D0" w:rsidRPr="008A6671" w:rsidRDefault="00EF48D0" w:rsidP="00F9458B">
            <w:r w:rsidRPr="008A6671">
              <w:t>Disaggregation:</w:t>
            </w:r>
          </w:p>
          <w:p w14:paraId="7EEAF564" w14:textId="136C1EB2" w:rsidR="00EF48D0" w:rsidRPr="008A6671" w:rsidRDefault="005E34B0" w:rsidP="00F9458B">
            <w:r w:rsidRPr="008A6671">
              <w:t>Normal and after-hours</w:t>
            </w:r>
            <w:r>
              <w:t>, people aged 0-64 and 65+. The age-standardised rate is used for AIHW-supplied PHN groups of national, metropolitan, and regional only; all other comparisons must use the crude rate.</w:t>
            </w:r>
          </w:p>
        </w:tc>
      </w:tr>
      <w:tr w:rsidR="00F9458B" w:rsidRPr="00F9458B" w14:paraId="37A6F9B1" w14:textId="77777777" w:rsidTr="77D0C6EF">
        <w:trPr>
          <w:cantSplit/>
        </w:trPr>
        <w:tc>
          <w:tcPr>
            <w:tcW w:w="1574" w:type="dxa"/>
          </w:tcPr>
          <w:p w14:paraId="048216FC" w14:textId="77777777" w:rsidR="00F9458B" w:rsidRPr="008A6671" w:rsidRDefault="00F9458B" w:rsidP="00F9458B">
            <w:r w:rsidRPr="008A6671">
              <w:t>Limitations</w:t>
            </w:r>
          </w:p>
        </w:tc>
        <w:tc>
          <w:tcPr>
            <w:tcW w:w="8388" w:type="dxa"/>
          </w:tcPr>
          <w:p w14:paraId="77B36141" w14:textId="3BAAECB9" w:rsidR="00F9458B" w:rsidRPr="008A6671" w:rsidRDefault="00F9458B" w:rsidP="00F9458B">
            <w:r w:rsidRPr="008A6671">
              <w:t>PHNs may have limited ability to affect this rate.</w:t>
            </w:r>
          </w:p>
        </w:tc>
      </w:tr>
      <w:tr w:rsidR="00F9458B" w:rsidRPr="00F9458B" w14:paraId="352DB6A4" w14:textId="77777777" w:rsidTr="77D0C6EF">
        <w:trPr>
          <w:cantSplit/>
        </w:trPr>
        <w:tc>
          <w:tcPr>
            <w:tcW w:w="1574" w:type="dxa"/>
          </w:tcPr>
          <w:p w14:paraId="1BC5D78A" w14:textId="77777777" w:rsidR="00F9458B" w:rsidRPr="008A6671" w:rsidRDefault="00F9458B" w:rsidP="00F9458B">
            <w:r w:rsidRPr="008A6671">
              <w:t>Additional information</w:t>
            </w:r>
          </w:p>
        </w:tc>
        <w:tc>
          <w:tcPr>
            <w:tcW w:w="8388" w:type="dxa"/>
          </w:tcPr>
          <w:p w14:paraId="0FEA939D" w14:textId="7401B466" w:rsidR="00F9458B" w:rsidRPr="008A6671" w:rsidRDefault="00F9458B" w:rsidP="00F9458B">
            <w:r w:rsidRPr="008A6671">
              <w:t>Data from this indicator will be used to interpret and provide context to other indicators including P6</w:t>
            </w:r>
            <w:r w:rsidR="00322E71">
              <w:t>.</w:t>
            </w:r>
          </w:p>
        </w:tc>
      </w:tr>
    </w:tbl>
    <w:p w14:paraId="6D5C3F65" w14:textId="474F3DDF" w:rsidR="005951B0" w:rsidRPr="00716651" w:rsidRDefault="005951B0" w:rsidP="00665D8A">
      <w:pPr>
        <w:pStyle w:val="Heading2"/>
      </w:pPr>
      <w:bookmarkStart w:id="33" w:name="_Toc517194520"/>
      <w:bookmarkStart w:id="34" w:name="_Toc517267754"/>
      <w:bookmarkStart w:id="35" w:name="_Toc517767148"/>
      <w:bookmarkStart w:id="36" w:name="_Toc517769799"/>
      <w:r w:rsidRPr="00716651">
        <w:t>P8: Measure of patient experience of access to GP</w:t>
      </w:r>
      <w:bookmarkEnd w:id="33"/>
      <w:bookmarkEnd w:id="34"/>
      <w:bookmarkEnd w:id="35"/>
      <w:bookmarkEnd w:id="36"/>
    </w:p>
    <w:p w14:paraId="06F9035A" w14:textId="77777777" w:rsidR="005951B0" w:rsidRPr="008A2CC7" w:rsidRDefault="005951B0" w:rsidP="005951B0">
      <w:r w:rsidRPr="008A2CC7">
        <w:t xml:space="preserve">This indicator has been retired from the Framework effective 1 September 2024. </w:t>
      </w:r>
    </w:p>
    <w:p w14:paraId="22B0C2BD" w14:textId="022BD0AD" w:rsidR="006D298C" w:rsidRDefault="00BE7F76" w:rsidP="005951B0">
      <w:r w:rsidRPr="008A2CC7">
        <w:t xml:space="preserve">The </w:t>
      </w:r>
      <w:r w:rsidR="0001669A">
        <w:t xml:space="preserve">ABS </w:t>
      </w:r>
      <w:r w:rsidRPr="008A2CC7">
        <w:t>Patient Experience Survey</w:t>
      </w:r>
      <w:r w:rsidR="000B36D9" w:rsidRPr="008A2CC7">
        <w:t xml:space="preserve"> data was found to be insufficiently granular to use at the PHN level.</w:t>
      </w:r>
    </w:p>
    <w:p w14:paraId="4B0DD61D" w14:textId="46EA0F52" w:rsidR="00F9458B" w:rsidRPr="00716651" w:rsidRDefault="00F9458B" w:rsidP="00665D8A">
      <w:pPr>
        <w:pStyle w:val="Heading2"/>
      </w:pPr>
      <w:bookmarkStart w:id="37" w:name="_Toc517194521"/>
      <w:bookmarkStart w:id="38" w:name="_Toc517267755"/>
      <w:bookmarkStart w:id="39" w:name="_Toc517767149"/>
      <w:bookmarkStart w:id="40" w:name="_Toc517769800"/>
      <w:r w:rsidRPr="00716651">
        <w:lastRenderedPageBreak/>
        <w:t>P</w:t>
      </w:r>
      <w:r w:rsidR="000678FF" w:rsidRPr="00716651">
        <w:t>9</w:t>
      </w:r>
      <w:r w:rsidRPr="00716651">
        <w:t xml:space="preserve">: </w:t>
      </w:r>
      <w:r w:rsidR="00C04FE3" w:rsidRPr="00716651">
        <w:t>Health Assessments, GP Chronic Disease Management Plans, and GP Multidisciplinary Case Conferences</w:t>
      </w:r>
      <w:bookmarkEnd w:id="37"/>
      <w:bookmarkEnd w:id="38"/>
      <w:bookmarkEnd w:id="39"/>
      <w:bookmarkEnd w:id="40"/>
    </w:p>
    <w:tbl>
      <w:tblPr>
        <w:tblStyle w:val="PHNTealtable"/>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4A0" w:firstRow="1" w:lastRow="0" w:firstColumn="1" w:lastColumn="0" w:noHBand="0" w:noVBand="1"/>
        <w:tblDescription w:val="This table details indicator P9: Rate of GP team care arrangements / case conferences. It is comprised of two columns, and 11 rows. Column one provides the Item of the indicator, and Column two outlines the corresponding description."/>
      </w:tblPr>
      <w:tblGrid>
        <w:gridCol w:w="1570"/>
        <w:gridCol w:w="8157"/>
      </w:tblGrid>
      <w:tr w:rsidR="00F9458B" w:rsidRPr="00F9458B" w14:paraId="5CDA79B7" w14:textId="77777777" w:rsidTr="77D0C6EF">
        <w:trPr>
          <w:cnfStyle w:val="100000000000" w:firstRow="1" w:lastRow="0" w:firstColumn="0" w:lastColumn="0" w:oddVBand="0" w:evenVBand="0" w:oddHBand="0" w:evenHBand="0" w:firstRowFirstColumn="0" w:firstRowLastColumn="0" w:lastRowFirstColumn="0" w:lastRowLastColumn="0"/>
          <w:tblHeader/>
        </w:trPr>
        <w:tc>
          <w:tcPr>
            <w:tcW w:w="1574" w:type="dxa"/>
            <w:shd w:val="clear" w:color="auto" w:fill="153A6E"/>
          </w:tcPr>
          <w:p w14:paraId="6CDBECA0" w14:textId="77777777" w:rsidR="00F9458B" w:rsidRPr="00716651" w:rsidRDefault="00F9458B" w:rsidP="0082185D">
            <w:pPr>
              <w:pStyle w:val="TableHeaderWhite"/>
            </w:pPr>
            <w:r w:rsidRPr="00716651">
              <w:t>Item</w:t>
            </w:r>
          </w:p>
        </w:tc>
        <w:tc>
          <w:tcPr>
            <w:tcW w:w="8388" w:type="dxa"/>
            <w:shd w:val="clear" w:color="auto" w:fill="153A6E"/>
          </w:tcPr>
          <w:p w14:paraId="4C11AB03" w14:textId="77777777" w:rsidR="00F9458B" w:rsidRPr="00716651" w:rsidRDefault="00F9458B" w:rsidP="0082185D">
            <w:pPr>
              <w:pStyle w:val="TableHeaderWhite"/>
            </w:pPr>
            <w:r w:rsidRPr="00716651">
              <w:t>Description</w:t>
            </w:r>
          </w:p>
        </w:tc>
      </w:tr>
      <w:tr w:rsidR="00F9458B" w:rsidRPr="00F9458B" w14:paraId="46C6EC8F" w14:textId="77777777" w:rsidTr="77D0C6EF">
        <w:trPr>
          <w:cantSplit/>
        </w:trPr>
        <w:tc>
          <w:tcPr>
            <w:tcW w:w="1574" w:type="dxa"/>
          </w:tcPr>
          <w:p w14:paraId="447C4356" w14:textId="77777777" w:rsidR="00F9458B" w:rsidRPr="008A6671" w:rsidRDefault="00F9458B" w:rsidP="00F9458B">
            <w:r w:rsidRPr="008A6671">
              <w:t>Assessment</w:t>
            </w:r>
          </w:p>
        </w:tc>
        <w:tc>
          <w:tcPr>
            <w:tcW w:w="8388" w:type="dxa"/>
          </w:tcPr>
          <w:p w14:paraId="6E301C9F" w14:textId="00729715" w:rsidR="00F9458B" w:rsidRPr="008A6671" w:rsidRDefault="00F9458B" w:rsidP="00F9458B">
            <w:r w:rsidRPr="008A6671">
              <w:t>PHN Program</w:t>
            </w:r>
            <w:r w:rsidR="00322E71">
              <w:t>.</w:t>
            </w:r>
          </w:p>
        </w:tc>
      </w:tr>
      <w:tr w:rsidR="00F9458B" w:rsidRPr="00F9458B" w14:paraId="66690EE8" w14:textId="77777777" w:rsidTr="77D0C6EF">
        <w:trPr>
          <w:cantSplit/>
        </w:trPr>
        <w:tc>
          <w:tcPr>
            <w:tcW w:w="1574" w:type="dxa"/>
          </w:tcPr>
          <w:p w14:paraId="586DF9E6" w14:textId="77777777" w:rsidR="00F9458B" w:rsidRPr="008A6671" w:rsidRDefault="00F9458B" w:rsidP="00F9458B">
            <w:r w:rsidRPr="008A6671">
              <w:t>Reporting</w:t>
            </w:r>
          </w:p>
        </w:tc>
        <w:tc>
          <w:tcPr>
            <w:tcW w:w="8388" w:type="dxa"/>
          </w:tcPr>
          <w:p w14:paraId="0E18BF21" w14:textId="07823B25" w:rsidR="00F9458B" w:rsidRPr="008A6671" w:rsidRDefault="009A1A50" w:rsidP="00F9458B">
            <w:r w:rsidRPr="008A6671">
              <w:t xml:space="preserve">Twelve monthly </w:t>
            </w:r>
            <w:proofErr w:type="spellStart"/>
            <w:r w:rsidRPr="008A6671">
              <w:t>byDepartment</w:t>
            </w:r>
            <w:proofErr w:type="spellEnd"/>
            <w:r w:rsidRPr="008A6671">
              <w:t>.</w:t>
            </w:r>
          </w:p>
        </w:tc>
      </w:tr>
      <w:tr w:rsidR="00F9458B" w:rsidRPr="00F9458B" w14:paraId="2AE472BC" w14:textId="77777777" w:rsidTr="77D0C6EF">
        <w:trPr>
          <w:cantSplit/>
        </w:trPr>
        <w:tc>
          <w:tcPr>
            <w:tcW w:w="1574" w:type="dxa"/>
          </w:tcPr>
          <w:p w14:paraId="676DC3C7" w14:textId="77777777" w:rsidR="00F9458B" w:rsidRPr="008A6671" w:rsidRDefault="00F9458B" w:rsidP="00F9458B">
            <w:r w:rsidRPr="008A6671">
              <w:t>Definition</w:t>
            </w:r>
          </w:p>
        </w:tc>
        <w:tc>
          <w:tcPr>
            <w:tcW w:w="8388" w:type="dxa"/>
          </w:tcPr>
          <w:p w14:paraId="07D8B13F" w14:textId="77777777" w:rsidR="00EA18A4" w:rsidRPr="008A6671" w:rsidRDefault="0090449C" w:rsidP="00F9458B">
            <w:r w:rsidRPr="008A6671">
              <w:t xml:space="preserve">The number of non-hospital Medicare-subsidised </w:t>
            </w:r>
            <w:r w:rsidR="008344A6" w:rsidRPr="008A6671">
              <w:t>services for GP Health Assessments, GP Chronic Disease Management Plans, and GP Multidisciplinary Case Conferences</w:t>
            </w:r>
            <w:r w:rsidR="00182308" w:rsidRPr="008A6671">
              <w:t xml:space="preserve"> in the PHN region. </w:t>
            </w:r>
          </w:p>
          <w:p w14:paraId="5EB52BD7" w14:textId="2EAC6647" w:rsidR="006339FE" w:rsidRPr="008A6671" w:rsidRDefault="006339FE" w:rsidP="00F9458B">
            <w:r w:rsidRPr="008A6671">
              <w:t>GP Health Assessments include MBS Group A14; Subgroups A7.5, A40.11, A40.12; Items 93470, 93479</w:t>
            </w:r>
            <w:r w:rsidR="00474835" w:rsidRPr="008A6671">
              <w:t>.</w:t>
            </w:r>
          </w:p>
          <w:p w14:paraId="46D0D24D" w14:textId="747D412B" w:rsidR="00474835" w:rsidRPr="008A6671" w:rsidRDefault="00474835" w:rsidP="00F9458B">
            <w:r w:rsidRPr="008A6671">
              <w:t>GP Chronic Disease Management Plans include MBS Subgroups A15.1, A40.13, A40.14; Items 229, 230, 231, 232, 233, 93469, 93475.</w:t>
            </w:r>
          </w:p>
          <w:p w14:paraId="0E8F4F5E" w14:textId="5BF12509" w:rsidR="00474835" w:rsidRPr="008A6671" w:rsidRDefault="00474835" w:rsidP="00F9458B">
            <w:r w:rsidRPr="008A6671">
              <w:t>GP Multidisciplinary Case Conferences include</w:t>
            </w:r>
            <w:r w:rsidR="00152A8A" w:rsidRPr="008A6671">
              <w:t xml:space="preserve"> MBS Items 235, 236, 237, 238, 239, 240, 243, 244, 735, 739, 743, 747, 750, 758.</w:t>
            </w:r>
          </w:p>
        </w:tc>
      </w:tr>
      <w:tr w:rsidR="00F9458B" w:rsidRPr="00F9458B" w14:paraId="0C13609E" w14:textId="77777777" w:rsidTr="77D0C6EF">
        <w:trPr>
          <w:cantSplit/>
        </w:trPr>
        <w:tc>
          <w:tcPr>
            <w:tcW w:w="1574" w:type="dxa"/>
          </w:tcPr>
          <w:p w14:paraId="191268DF" w14:textId="77777777" w:rsidR="00F9458B" w:rsidRPr="008A6671" w:rsidRDefault="00F9458B" w:rsidP="00F9458B">
            <w:r w:rsidRPr="008A6671">
              <w:t>Purpose</w:t>
            </w:r>
          </w:p>
        </w:tc>
        <w:tc>
          <w:tcPr>
            <w:tcW w:w="8388" w:type="dxa"/>
          </w:tcPr>
          <w:p w14:paraId="1780C26B" w14:textId="645D3422" w:rsidR="005409D3" w:rsidRPr="008A6671" w:rsidRDefault="005409D3" w:rsidP="003D3735">
            <w:pPr>
              <w:rPr>
                <w:rFonts w:eastAsia="Calibri"/>
              </w:rPr>
            </w:pPr>
            <w:r w:rsidRPr="008A6671">
              <w:rPr>
                <w:rFonts w:eastAsia="Calibri"/>
              </w:rPr>
              <w:t>A Chronic Disease Management Plan (CDMP) offers patients with chronic conditions access to services that improve continuity and coordination of care between health care providers. There are several different types of CDMP available to health practitioners through the MBS. This indicator specifically reports the following services:</w:t>
            </w:r>
          </w:p>
          <w:p w14:paraId="41AF4DBA" w14:textId="77777777" w:rsidR="005409D3" w:rsidRPr="00B04785" w:rsidRDefault="005409D3" w:rsidP="00716651">
            <w:pPr>
              <w:pStyle w:val="ListBullet"/>
            </w:pPr>
            <w:r w:rsidRPr="008A6671">
              <w:t>GP Health Assessments</w:t>
            </w:r>
          </w:p>
          <w:p w14:paraId="7D459DA7" w14:textId="77777777" w:rsidR="005409D3" w:rsidRPr="00B04785" w:rsidRDefault="005409D3" w:rsidP="00716651">
            <w:pPr>
              <w:pStyle w:val="ListBullet"/>
            </w:pPr>
            <w:r w:rsidRPr="008A6671">
              <w:t>GP Chronic Disease Management Plans (which include Team Care Arrangements), and</w:t>
            </w:r>
          </w:p>
          <w:p w14:paraId="72BDFBA3" w14:textId="77777777" w:rsidR="005409D3" w:rsidRPr="00B04785" w:rsidRDefault="005409D3" w:rsidP="00716651">
            <w:pPr>
              <w:pStyle w:val="ListBullet"/>
            </w:pPr>
            <w:r w:rsidRPr="008A6671">
              <w:t>GP Multidisciplinary Case Conferences.</w:t>
            </w:r>
          </w:p>
          <w:p w14:paraId="32874FF6" w14:textId="36C133CB" w:rsidR="005409D3" w:rsidRPr="008A6671" w:rsidRDefault="004140E8" w:rsidP="00091FC1">
            <w:pPr>
              <w:rPr>
                <w:rFonts w:eastAsia="Calibri"/>
              </w:rPr>
            </w:pPr>
            <w:r w:rsidRPr="008A6671">
              <w:rPr>
                <w:rFonts w:eastAsia="Calibri"/>
              </w:rPr>
              <w:t xml:space="preserve">While PHNs would not commission the team care arrangements, </w:t>
            </w:r>
            <w:r w:rsidR="005409D3" w:rsidRPr="008A6671">
              <w:rPr>
                <w:rFonts w:eastAsia="Calibri"/>
              </w:rPr>
              <w:t>PHNs have capacity to influence GPs to consider the use of these services and improve linkages and communication to facilitate their use.</w:t>
            </w:r>
            <w:r w:rsidR="003D437C" w:rsidRPr="008A6671">
              <w:rPr>
                <w:rFonts w:eastAsia="Calibri"/>
              </w:rPr>
              <w:t xml:space="preserve"> </w:t>
            </w:r>
          </w:p>
        </w:tc>
      </w:tr>
      <w:tr w:rsidR="00F9458B" w:rsidRPr="00F9458B" w14:paraId="3F38C00C" w14:textId="77777777" w:rsidTr="77D0C6EF">
        <w:trPr>
          <w:cantSplit/>
        </w:trPr>
        <w:tc>
          <w:tcPr>
            <w:tcW w:w="1574" w:type="dxa"/>
          </w:tcPr>
          <w:p w14:paraId="5E6E557A" w14:textId="77777777" w:rsidR="00F9458B" w:rsidRPr="008A6671" w:rsidRDefault="00F9458B" w:rsidP="00F9458B">
            <w:r w:rsidRPr="008A6671">
              <w:t>Outcome Theme: Coordinated Care</w:t>
            </w:r>
          </w:p>
        </w:tc>
        <w:tc>
          <w:tcPr>
            <w:tcW w:w="8388" w:type="dxa"/>
          </w:tcPr>
          <w:p w14:paraId="49D21F7B" w14:textId="77777777" w:rsidR="00F9458B" w:rsidRPr="008A6671" w:rsidRDefault="00F9458B" w:rsidP="00F9458B">
            <w:pPr>
              <w:rPr>
                <w:rFonts w:eastAsia="Calibri"/>
              </w:rPr>
            </w:pPr>
            <w:r w:rsidRPr="008A6671">
              <w:rPr>
                <w:rFonts w:eastAsia="Calibri"/>
              </w:rPr>
              <w:t>Outcome:</w:t>
            </w:r>
          </w:p>
          <w:p w14:paraId="549DA7BC" w14:textId="259C2AE0" w:rsidR="00F9458B" w:rsidRPr="008A6671" w:rsidRDefault="00F9458B" w:rsidP="00AD4C7B">
            <w:r w:rsidRPr="008A6671">
              <w:rPr>
                <w:rFonts w:eastAsia="Calibri"/>
              </w:rPr>
              <w:t xml:space="preserve">People in the PHN region receive coordinated, culturally </w:t>
            </w:r>
            <w:r w:rsidR="00AD2F77">
              <w:rPr>
                <w:rFonts w:eastAsia="Calibri"/>
              </w:rPr>
              <w:t>safe</w:t>
            </w:r>
            <w:r w:rsidRPr="008A6671">
              <w:rPr>
                <w:rFonts w:eastAsia="Calibri"/>
              </w:rPr>
              <w:t xml:space="preserve"> services from local health care providers</w:t>
            </w:r>
            <w:r w:rsidR="00322E71">
              <w:rPr>
                <w:rFonts w:eastAsia="Calibri"/>
              </w:rPr>
              <w:t>.</w:t>
            </w:r>
          </w:p>
        </w:tc>
      </w:tr>
      <w:tr w:rsidR="00F9458B" w:rsidRPr="00F9458B" w14:paraId="31C96BB4" w14:textId="77777777" w:rsidTr="77D0C6EF">
        <w:trPr>
          <w:cantSplit/>
        </w:trPr>
        <w:tc>
          <w:tcPr>
            <w:tcW w:w="1574" w:type="dxa"/>
          </w:tcPr>
          <w:p w14:paraId="7F2C63A6" w14:textId="77777777" w:rsidR="00F9458B" w:rsidRPr="008A6671" w:rsidRDefault="00F9458B" w:rsidP="00F9458B">
            <w:r w:rsidRPr="008A6671">
              <w:t>Performance Criteria</w:t>
            </w:r>
          </w:p>
        </w:tc>
        <w:tc>
          <w:tcPr>
            <w:tcW w:w="8388" w:type="dxa"/>
          </w:tcPr>
          <w:p w14:paraId="10D761A3" w14:textId="31FB9D4A" w:rsidR="00783B9A" w:rsidRPr="008A6671" w:rsidRDefault="00A75699" w:rsidP="00D84624">
            <w:r w:rsidRPr="008A6671">
              <w:t>This item does not have performance criteria or a target. It provides context for other indicators and a reference to the healthcare landscape in which PHNs are operating.</w:t>
            </w:r>
          </w:p>
        </w:tc>
      </w:tr>
      <w:tr w:rsidR="00F9458B" w:rsidRPr="00F9458B" w14:paraId="48895534" w14:textId="77777777" w:rsidTr="77D0C6EF">
        <w:trPr>
          <w:cantSplit/>
        </w:trPr>
        <w:tc>
          <w:tcPr>
            <w:tcW w:w="1574" w:type="dxa"/>
          </w:tcPr>
          <w:p w14:paraId="1735A8CB" w14:textId="77777777" w:rsidR="00F9458B" w:rsidRPr="008A6671" w:rsidRDefault="00F9458B" w:rsidP="00F9458B">
            <w:r w:rsidRPr="008A6671">
              <w:t>Data Source</w:t>
            </w:r>
          </w:p>
        </w:tc>
        <w:tc>
          <w:tcPr>
            <w:tcW w:w="8388" w:type="dxa"/>
          </w:tcPr>
          <w:p w14:paraId="0DEFEDFA" w14:textId="7335E739" w:rsidR="00D56D04" w:rsidRPr="008A6671" w:rsidRDefault="00D84624" w:rsidP="00D84624">
            <w:pPr>
              <w:rPr>
                <w:rFonts w:eastAsia="Calibri"/>
              </w:rPr>
            </w:pPr>
            <w:r w:rsidRPr="008A6671">
              <w:rPr>
                <w:rFonts w:eastAsia="Calibri"/>
              </w:rPr>
              <w:t>AIHW - Medicare-subsidised GP, allied health and specialist health care across local areas</w:t>
            </w:r>
            <w:r w:rsidR="00322E71">
              <w:rPr>
                <w:rFonts w:eastAsia="Calibri"/>
              </w:rPr>
              <w:t>.</w:t>
            </w:r>
          </w:p>
        </w:tc>
      </w:tr>
      <w:tr w:rsidR="00F9458B" w:rsidRPr="00F9458B" w14:paraId="16606F18" w14:textId="77777777" w:rsidTr="77D0C6EF">
        <w:trPr>
          <w:cantSplit/>
        </w:trPr>
        <w:tc>
          <w:tcPr>
            <w:tcW w:w="1574" w:type="dxa"/>
          </w:tcPr>
          <w:p w14:paraId="579698DF" w14:textId="77777777" w:rsidR="00F9458B" w:rsidRPr="008A6671" w:rsidRDefault="00F9458B" w:rsidP="00F9458B">
            <w:r w:rsidRPr="008A6671">
              <w:t>Calculation</w:t>
            </w:r>
          </w:p>
        </w:tc>
        <w:tc>
          <w:tcPr>
            <w:tcW w:w="8388" w:type="dxa"/>
          </w:tcPr>
          <w:p w14:paraId="5DCCD6FC" w14:textId="75F466C5" w:rsidR="009A3894" w:rsidRPr="008A6671" w:rsidRDefault="008138E6" w:rsidP="00265AFA">
            <w:r w:rsidRPr="003D3735">
              <w:rPr>
                <w:rFonts w:eastAsia="Calibri"/>
              </w:rPr>
              <w:t>Sum of</w:t>
            </w:r>
            <w:r w:rsidR="00265AFA" w:rsidRPr="008A6671">
              <w:rPr>
                <w:rFonts w:eastAsia="Calibri"/>
              </w:rPr>
              <w:t xml:space="preserve"> MBS</w:t>
            </w:r>
            <w:r w:rsidRPr="003D3735">
              <w:rPr>
                <w:rFonts w:eastAsia="Calibri"/>
              </w:rPr>
              <w:t xml:space="preserve"> </w:t>
            </w:r>
            <w:r w:rsidR="00265AFA" w:rsidRPr="008A6671">
              <w:rPr>
                <w:rFonts w:eastAsia="Calibri"/>
              </w:rPr>
              <w:t xml:space="preserve">services for </w:t>
            </w:r>
            <w:r w:rsidRPr="003D3735">
              <w:rPr>
                <w:rFonts w:eastAsia="Calibri"/>
              </w:rPr>
              <w:t>GP Health Assessments, GP Chronic Disease Management Plans, and GP Multidisciplinary Case Conferences</w:t>
            </w:r>
            <w:r w:rsidR="00322E71">
              <w:rPr>
                <w:rFonts w:eastAsia="Calibri"/>
              </w:rPr>
              <w:t>.</w:t>
            </w:r>
          </w:p>
        </w:tc>
      </w:tr>
      <w:tr w:rsidR="00F9458B" w:rsidRPr="00F9458B" w14:paraId="6773C1DC" w14:textId="77777777" w:rsidTr="77D0C6EF">
        <w:trPr>
          <w:cantSplit/>
        </w:trPr>
        <w:tc>
          <w:tcPr>
            <w:tcW w:w="1574" w:type="dxa"/>
          </w:tcPr>
          <w:p w14:paraId="0C92B4A1" w14:textId="77777777" w:rsidR="00F9458B" w:rsidRPr="008A6671" w:rsidRDefault="00F9458B" w:rsidP="00F9458B">
            <w:r w:rsidRPr="008A6671">
              <w:t>Limitations</w:t>
            </w:r>
          </w:p>
        </w:tc>
        <w:tc>
          <w:tcPr>
            <w:tcW w:w="8388" w:type="dxa"/>
          </w:tcPr>
          <w:p w14:paraId="73282DD9" w14:textId="47AB6FD1" w:rsidR="00F9458B" w:rsidRPr="008A6671" w:rsidRDefault="00913B1E" w:rsidP="00F9458B">
            <w:r w:rsidRPr="008A6671">
              <w:rPr>
                <w:rFonts w:eastAsia="Calibri"/>
              </w:rPr>
              <w:t xml:space="preserve">This data does not provide information on the number of unique patients who received </w:t>
            </w:r>
            <w:r w:rsidR="00290F48" w:rsidRPr="008A6671">
              <w:rPr>
                <w:rFonts w:eastAsia="Calibri"/>
              </w:rPr>
              <w:t>one or more of these services</w:t>
            </w:r>
            <w:r w:rsidR="00005679" w:rsidRPr="008A6671">
              <w:rPr>
                <w:rFonts w:eastAsia="Calibri"/>
              </w:rPr>
              <w:t xml:space="preserve">. </w:t>
            </w:r>
            <w:r w:rsidR="00C566DB" w:rsidRPr="008A6671">
              <w:rPr>
                <w:rFonts w:eastAsia="Calibri"/>
              </w:rPr>
              <w:t>As such, it is not feasible to calculate this indicator as a rate</w:t>
            </w:r>
            <w:r w:rsidR="00EF2A74" w:rsidRPr="008A6671">
              <w:rPr>
                <w:rFonts w:eastAsia="Calibri"/>
              </w:rPr>
              <w:t xml:space="preserve"> </w:t>
            </w:r>
            <w:r w:rsidR="00AA70ED" w:rsidRPr="008A6671">
              <w:rPr>
                <w:rFonts w:eastAsia="Calibri"/>
              </w:rPr>
              <w:t xml:space="preserve">of </w:t>
            </w:r>
            <w:r w:rsidR="00537AE6" w:rsidRPr="008A6671">
              <w:rPr>
                <w:rFonts w:eastAsia="Calibri"/>
              </w:rPr>
              <w:t>patients per population</w:t>
            </w:r>
            <w:r w:rsidR="00AA70ED" w:rsidRPr="008A6671">
              <w:rPr>
                <w:rFonts w:eastAsia="Calibri"/>
              </w:rPr>
              <w:t>.</w:t>
            </w:r>
          </w:p>
        </w:tc>
      </w:tr>
      <w:tr w:rsidR="00F9458B" w:rsidRPr="00F9458B" w14:paraId="18F23095" w14:textId="77777777" w:rsidTr="77D0C6EF">
        <w:trPr>
          <w:cantSplit/>
        </w:trPr>
        <w:tc>
          <w:tcPr>
            <w:tcW w:w="1574" w:type="dxa"/>
          </w:tcPr>
          <w:p w14:paraId="5EE101A4" w14:textId="77777777" w:rsidR="00F9458B" w:rsidRPr="008A6671" w:rsidRDefault="00F9458B" w:rsidP="00F9458B">
            <w:r w:rsidRPr="008A6671">
              <w:t>Additional information</w:t>
            </w:r>
          </w:p>
        </w:tc>
        <w:tc>
          <w:tcPr>
            <w:tcW w:w="8388" w:type="dxa"/>
          </w:tcPr>
          <w:p w14:paraId="6483376D" w14:textId="3C179784" w:rsidR="00F9458B" w:rsidRPr="008A6671" w:rsidRDefault="00F9458B" w:rsidP="00F9458B">
            <w:r w:rsidRPr="008A6671">
              <w:rPr>
                <w:rFonts w:eastAsia="Calibri"/>
              </w:rPr>
              <w:t>Data from this indicator will be used to interpret and provide context to other indicators including P12</w:t>
            </w:r>
            <w:r w:rsidR="00322E71">
              <w:rPr>
                <w:rFonts w:eastAsia="Calibri"/>
              </w:rPr>
              <w:t>.</w:t>
            </w:r>
          </w:p>
        </w:tc>
      </w:tr>
    </w:tbl>
    <w:p w14:paraId="2D10A6AE" w14:textId="7008F138" w:rsidR="007C5C5B" w:rsidRPr="00716651" w:rsidRDefault="007C5C5B" w:rsidP="00665D8A">
      <w:pPr>
        <w:pStyle w:val="Heading2"/>
      </w:pPr>
      <w:bookmarkStart w:id="41" w:name="_Toc517194522"/>
      <w:bookmarkStart w:id="42" w:name="_Toc517267756"/>
      <w:bookmarkStart w:id="43" w:name="_Toc517767150"/>
      <w:bookmarkStart w:id="44" w:name="_Toc517769801"/>
      <w:r w:rsidRPr="00716651">
        <w:lastRenderedPageBreak/>
        <w:t xml:space="preserve">P10: </w:t>
      </w:r>
      <w:r w:rsidRPr="00665D8A">
        <w:t>Cross views of My Health Record</w:t>
      </w:r>
      <w:bookmarkEnd w:id="41"/>
      <w:bookmarkEnd w:id="42"/>
      <w:bookmarkEnd w:id="43"/>
      <w:bookmarkEnd w:id="44"/>
    </w:p>
    <w:tbl>
      <w:tblPr>
        <w:tblStyle w:val="PHNTealtable"/>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4A0" w:firstRow="1" w:lastRow="0" w:firstColumn="1" w:lastColumn="0" w:noHBand="0" w:noVBand="1"/>
        <w:tblDescription w:val="This table details indicator P10: Cross views of My Health Record. It is comprised of two columns, and 12 rows. Column one provides the Item of the indicator, and Column two outlines the corresponding description."/>
      </w:tblPr>
      <w:tblGrid>
        <w:gridCol w:w="1570"/>
        <w:gridCol w:w="8157"/>
      </w:tblGrid>
      <w:tr w:rsidR="007C5C5B" w:rsidRPr="00F9458B" w14:paraId="70D2BC40" w14:textId="77777777" w:rsidTr="008B2964">
        <w:trPr>
          <w:cnfStyle w:val="100000000000" w:firstRow="1" w:lastRow="0" w:firstColumn="0" w:lastColumn="0" w:oddVBand="0" w:evenVBand="0" w:oddHBand="0" w:evenHBand="0" w:firstRowFirstColumn="0" w:firstRowLastColumn="0" w:lastRowFirstColumn="0" w:lastRowLastColumn="0"/>
          <w:tblHeader/>
        </w:trPr>
        <w:tc>
          <w:tcPr>
            <w:tcW w:w="1574" w:type="dxa"/>
            <w:shd w:val="clear" w:color="auto" w:fill="153A6E"/>
          </w:tcPr>
          <w:p w14:paraId="72D722FF" w14:textId="77777777" w:rsidR="007C5C5B" w:rsidRPr="00716651" w:rsidRDefault="007C5C5B" w:rsidP="0082185D">
            <w:pPr>
              <w:pStyle w:val="TableHeaderWhite"/>
            </w:pPr>
            <w:r w:rsidRPr="00716651">
              <w:t>Item</w:t>
            </w:r>
          </w:p>
        </w:tc>
        <w:tc>
          <w:tcPr>
            <w:tcW w:w="8388" w:type="dxa"/>
            <w:shd w:val="clear" w:color="auto" w:fill="153A6E"/>
          </w:tcPr>
          <w:p w14:paraId="42667CE9" w14:textId="77777777" w:rsidR="007C5C5B" w:rsidRPr="00716651" w:rsidRDefault="007C5C5B" w:rsidP="0082185D">
            <w:pPr>
              <w:pStyle w:val="TableHeaderWhite"/>
            </w:pPr>
            <w:r w:rsidRPr="00716651">
              <w:t>Description</w:t>
            </w:r>
          </w:p>
        </w:tc>
      </w:tr>
      <w:tr w:rsidR="007C5C5B" w:rsidRPr="00F9458B" w14:paraId="68E39746" w14:textId="77777777" w:rsidTr="008B2964">
        <w:trPr>
          <w:cantSplit/>
        </w:trPr>
        <w:tc>
          <w:tcPr>
            <w:tcW w:w="1574" w:type="dxa"/>
          </w:tcPr>
          <w:p w14:paraId="5F8CD9A3" w14:textId="77777777" w:rsidR="007C5C5B" w:rsidRPr="008A6671" w:rsidRDefault="007C5C5B" w:rsidP="008B2964">
            <w:r w:rsidRPr="008A6671">
              <w:t>Assessment</w:t>
            </w:r>
          </w:p>
        </w:tc>
        <w:tc>
          <w:tcPr>
            <w:tcW w:w="8388" w:type="dxa"/>
          </w:tcPr>
          <w:p w14:paraId="39861BC1" w14:textId="77777777" w:rsidR="007C5C5B" w:rsidRPr="008A6671" w:rsidRDefault="007C5C5B" w:rsidP="008B2964">
            <w:r w:rsidRPr="008A6671">
              <w:t>PHN Program</w:t>
            </w:r>
            <w:r>
              <w:t>.</w:t>
            </w:r>
          </w:p>
        </w:tc>
      </w:tr>
      <w:tr w:rsidR="007C5C5B" w:rsidRPr="00F9458B" w14:paraId="4A577AA7" w14:textId="77777777" w:rsidTr="008B2964">
        <w:trPr>
          <w:cantSplit/>
        </w:trPr>
        <w:tc>
          <w:tcPr>
            <w:tcW w:w="1574" w:type="dxa"/>
          </w:tcPr>
          <w:p w14:paraId="7E2F424D" w14:textId="77777777" w:rsidR="007C5C5B" w:rsidRPr="008A6671" w:rsidRDefault="007C5C5B" w:rsidP="008B2964">
            <w:r w:rsidRPr="008A6671">
              <w:t>Reporting</w:t>
            </w:r>
          </w:p>
        </w:tc>
        <w:tc>
          <w:tcPr>
            <w:tcW w:w="8388" w:type="dxa"/>
          </w:tcPr>
          <w:p w14:paraId="760F770F" w14:textId="77777777" w:rsidR="007C5C5B" w:rsidRPr="008A6671" w:rsidRDefault="007C5C5B" w:rsidP="008B2964">
            <w:r w:rsidRPr="008A6671">
              <w:t>Twelve monthly by Department.</w:t>
            </w:r>
          </w:p>
        </w:tc>
      </w:tr>
      <w:tr w:rsidR="007C5C5B" w:rsidRPr="00F9458B" w14:paraId="57C4F23D" w14:textId="77777777" w:rsidTr="008B2964">
        <w:trPr>
          <w:cantSplit/>
        </w:trPr>
        <w:tc>
          <w:tcPr>
            <w:tcW w:w="1574" w:type="dxa"/>
          </w:tcPr>
          <w:p w14:paraId="19092A6B" w14:textId="77777777" w:rsidR="007C5C5B" w:rsidRPr="008A6671" w:rsidRDefault="007C5C5B" w:rsidP="008B2964">
            <w:r w:rsidRPr="008A6671">
              <w:t>Definition</w:t>
            </w:r>
          </w:p>
        </w:tc>
        <w:tc>
          <w:tcPr>
            <w:tcW w:w="8388" w:type="dxa"/>
          </w:tcPr>
          <w:p w14:paraId="0FAD04DE" w14:textId="3C2616AB" w:rsidR="007C5C5B" w:rsidRPr="008A6671" w:rsidRDefault="007C5C5B" w:rsidP="008B2964">
            <w:pPr>
              <w:rPr>
                <w:rFonts w:eastAsia="Calibri"/>
              </w:rPr>
            </w:pPr>
            <w:r w:rsidRPr="008A6671">
              <w:rPr>
                <w:rFonts w:eastAsia="Calibri"/>
              </w:rPr>
              <w:t xml:space="preserve">Cross views of My Health Record (MyHR) by health professionals from </w:t>
            </w:r>
            <w:r w:rsidR="00A46617">
              <w:rPr>
                <w:rFonts w:eastAsia="Calibri"/>
              </w:rPr>
              <w:t>organisations</w:t>
            </w:r>
            <w:r w:rsidRPr="008A6671">
              <w:rPr>
                <w:rFonts w:eastAsia="Calibri"/>
              </w:rPr>
              <w:t xml:space="preserve"> with different Healthcare Provider Identifier – Organisation (HPI-O</w:t>
            </w:r>
            <w:r w:rsidRPr="008E5D2E">
              <w:rPr>
                <w:rFonts w:eastAsia="Calibri"/>
              </w:rPr>
              <w:t>)</w:t>
            </w:r>
            <w:r>
              <w:rPr>
                <w:rFonts w:eastAsia="Calibri"/>
              </w:rPr>
              <w:t>.</w:t>
            </w:r>
          </w:p>
          <w:p w14:paraId="7BA082C0" w14:textId="187295F2" w:rsidR="007C5C5B" w:rsidRPr="008A6671" w:rsidRDefault="007C5C5B" w:rsidP="008B2964">
            <w:r w:rsidRPr="008A6671">
              <w:rPr>
                <w:rFonts w:eastAsia="Calibri"/>
              </w:rPr>
              <w:t xml:space="preserve">A cross view is when health providers from different </w:t>
            </w:r>
            <w:r w:rsidR="00A46617">
              <w:rPr>
                <w:rFonts w:eastAsia="Calibri"/>
              </w:rPr>
              <w:t>organisations</w:t>
            </w:r>
            <w:r w:rsidRPr="008A6671">
              <w:rPr>
                <w:rFonts w:eastAsia="Calibri"/>
              </w:rPr>
              <w:t xml:space="preserve"> view the same MyHR for a patient</w:t>
            </w:r>
            <w:r>
              <w:rPr>
                <w:rFonts w:eastAsia="Calibri"/>
              </w:rPr>
              <w:t>.</w:t>
            </w:r>
          </w:p>
        </w:tc>
      </w:tr>
      <w:tr w:rsidR="007C5C5B" w:rsidRPr="00F9458B" w14:paraId="7F8B8642" w14:textId="77777777" w:rsidTr="008B2964">
        <w:trPr>
          <w:cantSplit/>
        </w:trPr>
        <w:tc>
          <w:tcPr>
            <w:tcW w:w="1574" w:type="dxa"/>
          </w:tcPr>
          <w:p w14:paraId="398DFCFB" w14:textId="77777777" w:rsidR="007C5C5B" w:rsidRPr="008A6671" w:rsidRDefault="007C5C5B" w:rsidP="008B2964">
            <w:r w:rsidRPr="008A6671">
              <w:t>Purpose</w:t>
            </w:r>
          </w:p>
        </w:tc>
        <w:tc>
          <w:tcPr>
            <w:tcW w:w="8388" w:type="dxa"/>
          </w:tcPr>
          <w:p w14:paraId="172EF577" w14:textId="77777777" w:rsidR="007C5C5B" w:rsidRPr="008A6671" w:rsidRDefault="007C5C5B" w:rsidP="008B2964">
            <w:r w:rsidRPr="008A6671">
              <w:rPr>
                <w:rFonts w:eastAsia="Calibri"/>
              </w:rPr>
              <w:t>Cross views of MyHR by different HPI-Os suggests that health providers are working together to deliver coordinated care to a patient. As MyHR use increases, supported and encouraged by PHNs, it would be expected that cross views will also increase</w:t>
            </w:r>
            <w:r>
              <w:rPr>
                <w:rFonts w:eastAsia="Calibri"/>
              </w:rPr>
              <w:t>.</w:t>
            </w:r>
          </w:p>
        </w:tc>
      </w:tr>
      <w:tr w:rsidR="007C5C5B" w:rsidRPr="00F9458B" w14:paraId="3DE0DBA5" w14:textId="77777777" w:rsidTr="008B2964">
        <w:trPr>
          <w:cantSplit/>
        </w:trPr>
        <w:tc>
          <w:tcPr>
            <w:tcW w:w="1574" w:type="dxa"/>
          </w:tcPr>
          <w:p w14:paraId="26AA7C60" w14:textId="77777777" w:rsidR="007C5C5B" w:rsidRPr="008A6671" w:rsidRDefault="007C5C5B" w:rsidP="008B2964">
            <w:r w:rsidRPr="008A6671">
              <w:t>Outcome Theme: Coordinated Care</w:t>
            </w:r>
          </w:p>
        </w:tc>
        <w:tc>
          <w:tcPr>
            <w:tcW w:w="8388" w:type="dxa"/>
          </w:tcPr>
          <w:p w14:paraId="75724603" w14:textId="77777777" w:rsidR="007C5C5B" w:rsidRPr="008A6671" w:rsidRDefault="007C5C5B" w:rsidP="008B2964">
            <w:pPr>
              <w:rPr>
                <w:rFonts w:eastAsia="Calibri"/>
              </w:rPr>
            </w:pPr>
            <w:r w:rsidRPr="008A6671">
              <w:rPr>
                <w:rFonts w:eastAsia="Calibri"/>
              </w:rPr>
              <w:t>Outcome:</w:t>
            </w:r>
          </w:p>
          <w:p w14:paraId="3BF4EACF" w14:textId="77777777" w:rsidR="007C5C5B" w:rsidRPr="008A6671" w:rsidRDefault="007C5C5B" w:rsidP="008B2964">
            <w:r w:rsidRPr="008A6671">
              <w:rPr>
                <w:rFonts w:eastAsia="Calibri"/>
              </w:rPr>
              <w:t xml:space="preserve">People in the PHN region receive coordinated, culturally </w:t>
            </w:r>
            <w:r>
              <w:rPr>
                <w:rFonts w:eastAsia="Calibri"/>
              </w:rPr>
              <w:t>safe</w:t>
            </w:r>
            <w:r w:rsidRPr="008A6671">
              <w:rPr>
                <w:rFonts w:eastAsia="Calibri"/>
              </w:rPr>
              <w:t xml:space="preserve"> services from local health care providers</w:t>
            </w:r>
            <w:r>
              <w:rPr>
                <w:rFonts w:eastAsia="Calibri"/>
              </w:rPr>
              <w:t>.</w:t>
            </w:r>
          </w:p>
        </w:tc>
      </w:tr>
      <w:tr w:rsidR="007C5C5B" w:rsidRPr="00F9458B" w14:paraId="587D5B2A" w14:textId="77777777" w:rsidTr="008B2964">
        <w:trPr>
          <w:cantSplit/>
        </w:trPr>
        <w:tc>
          <w:tcPr>
            <w:tcW w:w="1574" w:type="dxa"/>
          </w:tcPr>
          <w:p w14:paraId="7657179D" w14:textId="77777777" w:rsidR="007C5C5B" w:rsidRPr="008A6671" w:rsidRDefault="007C5C5B" w:rsidP="008B2964">
            <w:r w:rsidRPr="008A6671">
              <w:t>Outcome Theme: Quality Care</w:t>
            </w:r>
          </w:p>
        </w:tc>
        <w:tc>
          <w:tcPr>
            <w:tcW w:w="8388" w:type="dxa"/>
          </w:tcPr>
          <w:p w14:paraId="0631D79A" w14:textId="77777777" w:rsidR="007C5C5B" w:rsidRPr="008A6671" w:rsidRDefault="007C5C5B" w:rsidP="008B2964">
            <w:pPr>
              <w:rPr>
                <w:rFonts w:eastAsia="Calibri"/>
              </w:rPr>
            </w:pPr>
            <w:r w:rsidRPr="008A6671">
              <w:rPr>
                <w:rFonts w:eastAsia="Calibri"/>
              </w:rPr>
              <w:t>Outcome:</w:t>
            </w:r>
          </w:p>
          <w:p w14:paraId="4128E245" w14:textId="77777777" w:rsidR="007C5C5B" w:rsidRPr="008A6671" w:rsidRDefault="007C5C5B" w:rsidP="008B2964">
            <w:r w:rsidRPr="008A6671">
              <w:rPr>
                <w:rFonts w:eastAsia="Calibri"/>
              </w:rPr>
              <w:t>PHNs support health care providers to use digital health systems to improve patient care and communication</w:t>
            </w:r>
            <w:r>
              <w:rPr>
                <w:rFonts w:eastAsia="Calibri"/>
              </w:rPr>
              <w:t>.</w:t>
            </w:r>
          </w:p>
        </w:tc>
      </w:tr>
      <w:tr w:rsidR="007C5C5B" w:rsidRPr="00F9458B" w14:paraId="5C0CEE21" w14:textId="77777777" w:rsidTr="008B2964">
        <w:trPr>
          <w:cantSplit/>
        </w:trPr>
        <w:tc>
          <w:tcPr>
            <w:tcW w:w="1574" w:type="dxa"/>
          </w:tcPr>
          <w:p w14:paraId="5C1F3BE3" w14:textId="77777777" w:rsidR="007C5C5B" w:rsidRPr="008A6671" w:rsidRDefault="007C5C5B" w:rsidP="008B2964">
            <w:r w:rsidRPr="008A6671">
              <w:t>Performance Criteria</w:t>
            </w:r>
          </w:p>
        </w:tc>
        <w:tc>
          <w:tcPr>
            <w:tcW w:w="8388" w:type="dxa"/>
          </w:tcPr>
          <w:p w14:paraId="3549674E" w14:textId="77777777" w:rsidR="007C5C5B" w:rsidRPr="008A6671" w:rsidRDefault="007C5C5B" w:rsidP="008B2964">
            <w:r w:rsidRPr="008A6671">
              <w:t>This item does not have performance criteria or a target. It provides context for other indicators and a reference to the healthcare landscape in which PHNs are operating.</w:t>
            </w:r>
          </w:p>
        </w:tc>
      </w:tr>
      <w:tr w:rsidR="007C5C5B" w:rsidRPr="00F9458B" w14:paraId="3C0ABA7F" w14:textId="77777777" w:rsidTr="008B2964">
        <w:trPr>
          <w:cantSplit/>
        </w:trPr>
        <w:tc>
          <w:tcPr>
            <w:tcW w:w="1574" w:type="dxa"/>
          </w:tcPr>
          <w:p w14:paraId="77185D2C" w14:textId="77777777" w:rsidR="007C5C5B" w:rsidRPr="008A6671" w:rsidRDefault="007C5C5B" w:rsidP="008B2964">
            <w:r w:rsidRPr="008A6671">
              <w:t>Data Source</w:t>
            </w:r>
          </w:p>
        </w:tc>
        <w:tc>
          <w:tcPr>
            <w:tcW w:w="8388" w:type="dxa"/>
          </w:tcPr>
          <w:p w14:paraId="7CBB647B" w14:textId="77777777" w:rsidR="007C5C5B" w:rsidRPr="008A6671" w:rsidRDefault="007C5C5B" w:rsidP="008B2964">
            <w:r w:rsidRPr="008A6671">
              <w:rPr>
                <w:rFonts w:eastAsia="Calibri"/>
              </w:rPr>
              <w:t>ADHA – number of cross-views in general practices and pharmacies; number of general practices and pharmacies that are registered MyHR providers</w:t>
            </w:r>
            <w:r>
              <w:rPr>
                <w:rFonts w:eastAsia="Calibri"/>
              </w:rPr>
              <w:t>.</w:t>
            </w:r>
          </w:p>
        </w:tc>
      </w:tr>
      <w:tr w:rsidR="007C5C5B" w:rsidRPr="00F9458B" w14:paraId="5F1E0664" w14:textId="77777777" w:rsidTr="008B2964">
        <w:trPr>
          <w:cantSplit/>
        </w:trPr>
        <w:tc>
          <w:tcPr>
            <w:tcW w:w="1574" w:type="dxa"/>
          </w:tcPr>
          <w:p w14:paraId="02A15EB3" w14:textId="77777777" w:rsidR="007C5C5B" w:rsidRPr="008A6671" w:rsidRDefault="007C5C5B" w:rsidP="008B2964">
            <w:r w:rsidRPr="008A6671">
              <w:t>Calculation</w:t>
            </w:r>
          </w:p>
        </w:tc>
        <w:tc>
          <w:tcPr>
            <w:tcW w:w="8388" w:type="dxa"/>
          </w:tcPr>
          <w:p w14:paraId="03BAB43A" w14:textId="77777777" w:rsidR="007C5C5B" w:rsidRPr="00B64335" w:rsidRDefault="007C5C5B" w:rsidP="008B2964">
            <w:pPr>
              <w:rPr>
                <w:rFonts w:eastAsia="Calibri"/>
              </w:rPr>
            </w:pPr>
            <w:r w:rsidRPr="008A6671">
              <w:rPr>
                <w:rFonts w:eastAsia="Calibri"/>
              </w:rPr>
              <w:t>Numerator:</w:t>
            </w:r>
          </w:p>
          <w:p w14:paraId="2CA0B538" w14:textId="77777777" w:rsidR="007C5C5B" w:rsidRPr="008A6671" w:rsidRDefault="007C5C5B" w:rsidP="008B2964">
            <w:pPr>
              <w:rPr>
                <w:rFonts w:eastAsia="Calibri"/>
              </w:rPr>
            </w:pPr>
            <w:r w:rsidRPr="008A6671">
              <w:rPr>
                <w:rFonts w:eastAsia="Calibri"/>
              </w:rPr>
              <w:t>Number of cross-views in general practices/pharmacies</w:t>
            </w:r>
            <w:r>
              <w:rPr>
                <w:rFonts w:eastAsia="Calibri"/>
              </w:rPr>
              <w:t>.</w:t>
            </w:r>
          </w:p>
          <w:p w14:paraId="2C54ECE4" w14:textId="77777777" w:rsidR="007C5C5B" w:rsidRPr="008A6671" w:rsidRDefault="007C5C5B" w:rsidP="008B2964">
            <w:pPr>
              <w:rPr>
                <w:rFonts w:eastAsia="Calibri"/>
              </w:rPr>
            </w:pPr>
            <w:r w:rsidRPr="008A6671">
              <w:rPr>
                <w:rFonts w:eastAsia="Calibri"/>
              </w:rPr>
              <w:t>Denominator:</w:t>
            </w:r>
          </w:p>
          <w:p w14:paraId="5110C354" w14:textId="77777777" w:rsidR="007C5C5B" w:rsidRPr="008A6671" w:rsidRDefault="007C5C5B" w:rsidP="008B2964">
            <w:pPr>
              <w:rPr>
                <w:rFonts w:eastAsia="Calibri"/>
              </w:rPr>
            </w:pPr>
            <w:r w:rsidRPr="008A6671">
              <w:rPr>
                <w:rFonts w:eastAsia="Calibri"/>
              </w:rPr>
              <w:t>Number of general practices/pharmacies that were registered MyHR providers in the PHN region at the end of financial year</w:t>
            </w:r>
            <w:r>
              <w:rPr>
                <w:rFonts w:eastAsia="Calibri"/>
              </w:rPr>
              <w:t>.</w:t>
            </w:r>
          </w:p>
          <w:p w14:paraId="0B223D35" w14:textId="77777777" w:rsidR="007C5C5B" w:rsidRPr="008A6671" w:rsidRDefault="007C5C5B" w:rsidP="008B2964">
            <w:pPr>
              <w:rPr>
                <w:rFonts w:eastAsia="Calibri"/>
              </w:rPr>
            </w:pPr>
            <w:r w:rsidRPr="008A6671">
              <w:rPr>
                <w:rFonts w:eastAsia="Calibri"/>
              </w:rPr>
              <w:t>Computation:</w:t>
            </w:r>
          </w:p>
          <w:p w14:paraId="3B92C138" w14:textId="2892E607" w:rsidR="007C5C5B" w:rsidRPr="008A6671" w:rsidRDefault="008D6C52" w:rsidP="008B2964">
            <w:pPr>
              <w:rPr>
                <w:rFonts w:eastAsia="Calibri"/>
              </w:rPr>
            </w:pPr>
            <w:r>
              <w:rPr>
                <w:rFonts w:eastAsia="Calibri"/>
              </w:rPr>
              <w:t>N</w:t>
            </w:r>
            <w:r w:rsidR="007C5C5B" w:rsidRPr="008A6671">
              <w:rPr>
                <w:rFonts w:eastAsia="Calibri"/>
              </w:rPr>
              <w:t>umerator / denominator</w:t>
            </w:r>
            <w:r>
              <w:rPr>
                <w:rFonts w:eastAsia="Calibri"/>
              </w:rPr>
              <w:t xml:space="preserve">, </w:t>
            </w:r>
            <w:r w:rsidR="007C5C5B" w:rsidRPr="008A6671">
              <w:rPr>
                <w:rFonts w:eastAsia="Calibri"/>
              </w:rPr>
              <w:t xml:space="preserve">presented as a </w:t>
            </w:r>
            <w:r w:rsidR="00855F73">
              <w:rPr>
                <w:rFonts w:eastAsia="Calibri"/>
              </w:rPr>
              <w:t xml:space="preserve">rate of </w:t>
            </w:r>
            <w:r w:rsidR="00094268">
              <w:rPr>
                <w:rFonts w:eastAsia="Calibri"/>
              </w:rPr>
              <w:t>cross-views per general practice/pharmacy</w:t>
            </w:r>
            <w:r w:rsidR="00855F73" w:rsidRPr="008A6671">
              <w:rPr>
                <w:rFonts w:eastAsia="Calibri"/>
              </w:rPr>
              <w:t xml:space="preserve"> </w:t>
            </w:r>
            <w:r w:rsidR="007C5C5B" w:rsidRPr="008A6671">
              <w:rPr>
                <w:rFonts w:eastAsia="Calibri"/>
              </w:rPr>
              <w:t>in PHN region</w:t>
            </w:r>
            <w:r w:rsidR="007C5C5B">
              <w:rPr>
                <w:rFonts w:eastAsia="Calibri"/>
              </w:rPr>
              <w:t>.</w:t>
            </w:r>
          </w:p>
          <w:p w14:paraId="080B4635" w14:textId="77777777" w:rsidR="007C5C5B" w:rsidRPr="008A6671" w:rsidRDefault="007C5C5B" w:rsidP="008B2964">
            <w:r w:rsidRPr="008A6671">
              <w:t>Disaggregation:</w:t>
            </w:r>
          </w:p>
          <w:p w14:paraId="33910FF5" w14:textId="77777777" w:rsidR="007C5C5B" w:rsidRPr="008A6671" w:rsidRDefault="007C5C5B" w:rsidP="008B2964">
            <w:r w:rsidRPr="008A6671">
              <w:t>General practices and pharmacies</w:t>
            </w:r>
            <w:r>
              <w:t>.</w:t>
            </w:r>
          </w:p>
        </w:tc>
      </w:tr>
      <w:tr w:rsidR="007C5C5B" w:rsidRPr="00F9458B" w14:paraId="63BDF496" w14:textId="77777777" w:rsidTr="008B2964">
        <w:trPr>
          <w:cantSplit/>
        </w:trPr>
        <w:tc>
          <w:tcPr>
            <w:tcW w:w="1574" w:type="dxa"/>
          </w:tcPr>
          <w:p w14:paraId="1DE802BF" w14:textId="77777777" w:rsidR="007C5C5B" w:rsidRPr="008A6671" w:rsidRDefault="007C5C5B" w:rsidP="008B2964">
            <w:r w:rsidRPr="008A6671">
              <w:t>Limitations</w:t>
            </w:r>
          </w:p>
        </w:tc>
        <w:tc>
          <w:tcPr>
            <w:tcW w:w="8388" w:type="dxa"/>
          </w:tcPr>
          <w:p w14:paraId="68BE19BF" w14:textId="77777777" w:rsidR="007C5C5B" w:rsidRPr="008A6671" w:rsidRDefault="007C5C5B" w:rsidP="008B2964">
            <w:pPr>
              <w:rPr>
                <w:rFonts w:eastAsia="Calibri"/>
              </w:rPr>
            </w:pPr>
            <w:r w:rsidRPr="008A6671">
              <w:rPr>
                <w:rFonts w:eastAsia="Calibri"/>
              </w:rPr>
              <w:t xml:space="preserve">Data not available prior to </w:t>
            </w:r>
            <w:r w:rsidRPr="003641FE">
              <w:rPr>
                <w:rFonts w:eastAsia="Calibri"/>
              </w:rPr>
              <w:t xml:space="preserve">My Health Record Expansion Program </w:t>
            </w:r>
            <w:r>
              <w:rPr>
                <w:rFonts w:eastAsia="Calibri"/>
              </w:rPr>
              <w:t>(</w:t>
            </w:r>
            <w:r w:rsidRPr="008A6671">
              <w:rPr>
                <w:rFonts w:eastAsia="Calibri"/>
              </w:rPr>
              <w:t>MHREP</w:t>
            </w:r>
            <w:r>
              <w:rPr>
                <w:rFonts w:eastAsia="Calibri"/>
              </w:rPr>
              <w:t>)</w:t>
            </w:r>
            <w:r w:rsidRPr="008A6671">
              <w:rPr>
                <w:rFonts w:eastAsia="Calibri"/>
              </w:rPr>
              <w:t xml:space="preserve"> implementation (1 August 2018).</w:t>
            </w:r>
          </w:p>
          <w:p w14:paraId="5FEEB5B6" w14:textId="77777777" w:rsidR="007C5C5B" w:rsidRPr="008A6671" w:rsidRDefault="007C5C5B" w:rsidP="008B2964">
            <w:r w:rsidRPr="008A6671">
              <w:rPr>
                <w:rFonts w:eastAsia="Calibri"/>
              </w:rPr>
              <w:t>Health providers within the same health care provider organisation who share a patient will not have their views of MyHR recorded</w:t>
            </w:r>
            <w:r>
              <w:rPr>
                <w:rFonts w:eastAsia="Calibri"/>
              </w:rPr>
              <w:t>.</w:t>
            </w:r>
          </w:p>
        </w:tc>
      </w:tr>
      <w:tr w:rsidR="007C5C5B" w:rsidRPr="00F9458B" w14:paraId="66AB1D82" w14:textId="77777777" w:rsidTr="008B2964">
        <w:trPr>
          <w:cantSplit/>
        </w:trPr>
        <w:tc>
          <w:tcPr>
            <w:tcW w:w="1574" w:type="dxa"/>
          </w:tcPr>
          <w:p w14:paraId="095D06CC" w14:textId="77777777" w:rsidR="007C5C5B" w:rsidRPr="008A6671" w:rsidRDefault="007C5C5B" w:rsidP="008B2964">
            <w:r w:rsidRPr="008A6671">
              <w:lastRenderedPageBreak/>
              <w:t>Additional information</w:t>
            </w:r>
          </w:p>
        </w:tc>
        <w:tc>
          <w:tcPr>
            <w:tcW w:w="8388" w:type="dxa"/>
          </w:tcPr>
          <w:p w14:paraId="50DA6D97" w14:textId="77777777" w:rsidR="007C5C5B" w:rsidRPr="008A6671" w:rsidRDefault="007C5C5B" w:rsidP="008B2964">
            <w:r w:rsidRPr="008A6671">
              <w:rPr>
                <w:rFonts w:eastAsia="Calibri"/>
              </w:rPr>
              <w:t>Data from this indicator will be used to interpret and provide context to other indicators</w:t>
            </w:r>
            <w:r>
              <w:rPr>
                <w:rFonts w:eastAsia="Calibri"/>
              </w:rPr>
              <w:t>.</w:t>
            </w:r>
          </w:p>
        </w:tc>
      </w:tr>
    </w:tbl>
    <w:p w14:paraId="2918E674" w14:textId="339FD14B" w:rsidR="0062017D" w:rsidRPr="00716651" w:rsidRDefault="0062017D" w:rsidP="00665D8A">
      <w:pPr>
        <w:pStyle w:val="Heading2"/>
      </w:pPr>
      <w:bookmarkStart w:id="45" w:name="_Toc517194523"/>
      <w:bookmarkStart w:id="46" w:name="_Toc517267757"/>
      <w:bookmarkStart w:id="47" w:name="_Toc517767151"/>
      <w:bookmarkStart w:id="48" w:name="_Toc517769802"/>
      <w:r w:rsidRPr="00716651">
        <w:t>P11: Rate of discharge summaries uploaded to My Health Record</w:t>
      </w:r>
      <w:bookmarkEnd w:id="45"/>
      <w:bookmarkEnd w:id="46"/>
      <w:bookmarkEnd w:id="47"/>
      <w:bookmarkEnd w:id="48"/>
    </w:p>
    <w:p w14:paraId="082A8496" w14:textId="77777777" w:rsidR="00283B6F" w:rsidRDefault="00283B6F" w:rsidP="00283B6F">
      <w:r>
        <w:t xml:space="preserve">This indicator has been retired from the Framework effective 1 September 2024. </w:t>
      </w:r>
    </w:p>
    <w:p w14:paraId="471A15AE" w14:textId="67135938" w:rsidR="00283B6F" w:rsidRDefault="009C0C47" w:rsidP="00283B6F">
      <w:r>
        <w:t xml:space="preserve">There are </w:t>
      </w:r>
      <w:r w:rsidR="006C4DD8">
        <w:t>linkage issues between the data sources for this indicator that could not be resolved.</w:t>
      </w:r>
    </w:p>
    <w:p w14:paraId="6F8EDCBD" w14:textId="1105B29F" w:rsidR="00C30C92" w:rsidRPr="00716651" w:rsidRDefault="00C30C92" w:rsidP="00665D8A">
      <w:pPr>
        <w:pStyle w:val="Heading2"/>
      </w:pPr>
      <w:bookmarkStart w:id="49" w:name="_Toc517194524"/>
      <w:bookmarkStart w:id="50" w:name="_Toc517267758"/>
      <w:bookmarkStart w:id="51" w:name="_Toc517767152"/>
      <w:bookmarkStart w:id="52" w:name="_Toc517769803"/>
      <w:r w:rsidRPr="00716651">
        <w:t>P12: Rate of potentially preventable hospitalisations</w:t>
      </w:r>
      <w:bookmarkEnd w:id="49"/>
      <w:bookmarkEnd w:id="50"/>
      <w:bookmarkEnd w:id="51"/>
      <w:bookmarkEnd w:id="52"/>
    </w:p>
    <w:tbl>
      <w:tblPr>
        <w:tblStyle w:val="PHNTealtable"/>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4A0" w:firstRow="1" w:lastRow="0" w:firstColumn="1" w:lastColumn="0" w:noHBand="0" w:noVBand="1"/>
        <w:tblDescription w:val="This table details indicator P12: Rate of potentially preventable hospitalisations. It is comprised of two columns, and 14 rows. Column one provides the Item of the indicator, and Column two outlines the corresponding description."/>
      </w:tblPr>
      <w:tblGrid>
        <w:gridCol w:w="1569"/>
        <w:gridCol w:w="8158"/>
      </w:tblGrid>
      <w:tr w:rsidR="00C30C92" w:rsidRPr="00F9458B" w14:paraId="28A2EE4C" w14:textId="77777777" w:rsidTr="008B2964">
        <w:trPr>
          <w:cnfStyle w:val="100000000000" w:firstRow="1" w:lastRow="0" w:firstColumn="0" w:lastColumn="0" w:oddVBand="0" w:evenVBand="0" w:oddHBand="0" w:evenHBand="0" w:firstRowFirstColumn="0" w:firstRowLastColumn="0" w:lastRowFirstColumn="0" w:lastRowLastColumn="0"/>
          <w:tblHeader/>
        </w:trPr>
        <w:tc>
          <w:tcPr>
            <w:tcW w:w="1569" w:type="dxa"/>
            <w:shd w:val="clear" w:color="auto" w:fill="153A6E"/>
          </w:tcPr>
          <w:p w14:paraId="56B72982" w14:textId="77777777" w:rsidR="00C30C92" w:rsidRPr="00716651" w:rsidRDefault="00C30C92" w:rsidP="0082185D">
            <w:pPr>
              <w:pStyle w:val="TableHeaderWhite"/>
            </w:pPr>
            <w:r w:rsidRPr="00716651">
              <w:t>Item</w:t>
            </w:r>
          </w:p>
        </w:tc>
        <w:tc>
          <w:tcPr>
            <w:tcW w:w="8158" w:type="dxa"/>
            <w:shd w:val="clear" w:color="auto" w:fill="153A6E"/>
          </w:tcPr>
          <w:p w14:paraId="4BC03AF7" w14:textId="77777777" w:rsidR="00C30C92" w:rsidRPr="00716651" w:rsidRDefault="00C30C92" w:rsidP="0082185D">
            <w:pPr>
              <w:pStyle w:val="TableHeaderWhite"/>
            </w:pPr>
            <w:r w:rsidRPr="00716651">
              <w:t>Description</w:t>
            </w:r>
          </w:p>
        </w:tc>
      </w:tr>
      <w:tr w:rsidR="00C30C92" w:rsidRPr="00F9458B" w14:paraId="01CAA602" w14:textId="77777777" w:rsidTr="008B2964">
        <w:trPr>
          <w:cantSplit/>
        </w:trPr>
        <w:tc>
          <w:tcPr>
            <w:tcW w:w="1569" w:type="dxa"/>
          </w:tcPr>
          <w:p w14:paraId="0D9CA7EA" w14:textId="77777777" w:rsidR="00C30C92" w:rsidRPr="008A6671" w:rsidRDefault="00C30C92" w:rsidP="008B2964">
            <w:r w:rsidRPr="008A6671">
              <w:t>Assessment</w:t>
            </w:r>
          </w:p>
        </w:tc>
        <w:tc>
          <w:tcPr>
            <w:tcW w:w="8158" w:type="dxa"/>
          </w:tcPr>
          <w:p w14:paraId="4DE2685D" w14:textId="77777777" w:rsidR="00C30C92" w:rsidRPr="008A6671" w:rsidRDefault="00C30C92" w:rsidP="008B2964">
            <w:r w:rsidRPr="008A6671">
              <w:t>PHN Program</w:t>
            </w:r>
            <w:r>
              <w:t>.</w:t>
            </w:r>
          </w:p>
        </w:tc>
      </w:tr>
      <w:tr w:rsidR="00C30C92" w:rsidRPr="00F9458B" w14:paraId="28DC61E2" w14:textId="77777777" w:rsidTr="008B2964">
        <w:trPr>
          <w:cantSplit/>
        </w:trPr>
        <w:tc>
          <w:tcPr>
            <w:tcW w:w="1569" w:type="dxa"/>
          </w:tcPr>
          <w:p w14:paraId="564F559F" w14:textId="77777777" w:rsidR="00C30C92" w:rsidRPr="008A6671" w:rsidRDefault="00C30C92" w:rsidP="008B2964">
            <w:r w:rsidRPr="008A6671">
              <w:t>Reporting</w:t>
            </w:r>
          </w:p>
        </w:tc>
        <w:tc>
          <w:tcPr>
            <w:tcW w:w="8158" w:type="dxa"/>
          </w:tcPr>
          <w:p w14:paraId="3C9485C3" w14:textId="77777777" w:rsidR="00C30C92" w:rsidRPr="008A6671" w:rsidRDefault="00C30C92" w:rsidP="008B2964">
            <w:r w:rsidRPr="008A6671">
              <w:t>Twelve monthly by Department.</w:t>
            </w:r>
          </w:p>
        </w:tc>
      </w:tr>
      <w:tr w:rsidR="00C30C92" w:rsidRPr="00F9458B" w14:paraId="624ED686" w14:textId="77777777" w:rsidTr="008B2964">
        <w:trPr>
          <w:cantSplit/>
        </w:trPr>
        <w:tc>
          <w:tcPr>
            <w:tcW w:w="1569" w:type="dxa"/>
          </w:tcPr>
          <w:p w14:paraId="29A3DEFD" w14:textId="77777777" w:rsidR="00C30C92" w:rsidRPr="008A6671" w:rsidRDefault="00C30C92" w:rsidP="008B2964">
            <w:r w:rsidRPr="008A6671">
              <w:t>Definition</w:t>
            </w:r>
          </w:p>
        </w:tc>
        <w:tc>
          <w:tcPr>
            <w:tcW w:w="8158" w:type="dxa"/>
          </w:tcPr>
          <w:p w14:paraId="0EAE591E" w14:textId="2A0EC9DC" w:rsidR="00C30C92" w:rsidRPr="008A6671" w:rsidRDefault="00C30C92" w:rsidP="008B2964">
            <w:pPr>
              <w:rPr>
                <w:rFonts w:eastAsia="Calibri"/>
              </w:rPr>
            </w:pPr>
            <w:r w:rsidRPr="008A6671">
              <w:rPr>
                <w:rFonts w:eastAsia="Calibri"/>
              </w:rPr>
              <w:t>Rate of potentially preventable hospitalisations (PPH) in PHN region by all</w:t>
            </w:r>
            <w:r w:rsidR="007732B7">
              <w:rPr>
                <w:rFonts w:eastAsia="Calibri"/>
              </w:rPr>
              <w:t xml:space="preserve"> conditions</w:t>
            </w:r>
            <w:r w:rsidRPr="008A6671">
              <w:rPr>
                <w:rFonts w:eastAsia="Calibri"/>
              </w:rPr>
              <w:t>, vaccine-preventable conditions, acute conditions, and chronic conditions</w:t>
            </w:r>
            <w:r>
              <w:rPr>
                <w:rFonts w:eastAsia="Calibri"/>
              </w:rPr>
              <w:t>.</w:t>
            </w:r>
          </w:p>
          <w:p w14:paraId="519D9922" w14:textId="7B902B4F" w:rsidR="00C30C92" w:rsidRPr="00CC09FF" w:rsidRDefault="00C30C92" w:rsidP="008B2964">
            <w:pPr>
              <w:rPr>
                <w:rFonts w:eastAsia="Calibri"/>
              </w:rPr>
            </w:pPr>
            <w:r w:rsidRPr="008A6671">
              <w:rPr>
                <w:rFonts w:eastAsia="Calibri"/>
              </w:rPr>
              <w:t>PPH are defined in accordance with the National Healthcare Agreement (NHA) indicator PI 18</w:t>
            </w:r>
            <w:r w:rsidR="007732B7">
              <w:rPr>
                <w:rFonts w:eastAsia="Calibri"/>
              </w:rPr>
              <w:t xml:space="preserve"> </w:t>
            </w:r>
            <w:r w:rsidRPr="008A6671">
              <w:rPr>
                <w:rFonts w:eastAsia="Calibri"/>
              </w:rPr>
              <w:t>-</w:t>
            </w:r>
            <w:r w:rsidR="007732B7">
              <w:rPr>
                <w:rFonts w:eastAsia="Calibri"/>
              </w:rPr>
              <w:t xml:space="preserve"> </w:t>
            </w:r>
            <w:r w:rsidRPr="008A6671">
              <w:rPr>
                <w:rFonts w:eastAsia="Calibri"/>
              </w:rPr>
              <w:t>Selected potentially preventable hospitalisations.</w:t>
            </w:r>
            <w:r w:rsidRPr="00B64335">
              <w:rPr>
                <w:rFonts w:eastAsia="Calibri"/>
              </w:rPr>
              <w:t xml:space="preserve"> (See </w:t>
            </w:r>
            <w:hyperlink r:id="rId13" w:history="1">
              <w:r w:rsidRPr="00800526">
                <w:rPr>
                  <w:rFonts w:cs="Arial"/>
                  <w:color w:val="0000FF"/>
                  <w:szCs w:val="22"/>
                  <w:u w:val="single"/>
                </w:rPr>
                <w:t>https://meteor.aihw.gov.au/content/740851</w:t>
              </w:r>
            </w:hyperlink>
            <w:r w:rsidRPr="00716651">
              <w:t xml:space="preserve"> for more information.)</w:t>
            </w:r>
          </w:p>
          <w:p w14:paraId="260880E6" w14:textId="77777777" w:rsidR="00C30C92" w:rsidRPr="00CC09FF" w:rsidRDefault="00C30C92" w:rsidP="008B2964">
            <w:pPr>
              <w:rPr>
                <w:rFonts w:eastAsia="Calibri"/>
              </w:rPr>
            </w:pPr>
            <w:r w:rsidRPr="00CC09FF">
              <w:rPr>
                <w:rFonts w:eastAsia="Calibri"/>
              </w:rPr>
              <w:t>Acute PPH: cellulitis; convulsions and epilepsy; dental conditions; ear, nose and throat infections; eclampsia; gangrene; pelvic inflammatory disease; perforated/bleeding ulcer; pneumonia (not vaccine-preventable); urinary tract infections, including pyelonephritis</w:t>
            </w:r>
            <w:r>
              <w:rPr>
                <w:rFonts w:eastAsia="Calibri"/>
              </w:rPr>
              <w:t>.</w:t>
            </w:r>
          </w:p>
          <w:p w14:paraId="2F45BF56" w14:textId="5ED29798" w:rsidR="00C30C92" w:rsidRPr="008A6671" w:rsidRDefault="00C30C92" w:rsidP="008B2964">
            <w:pPr>
              <w:rPr>
                <w:rFonts w:eastAsia="Calibri"/>
              </w:rPr>
            </w:pPr>
            <w:r w:rsidRPr="00CC09FF">
              <w:rPr>
                <w:rFonts w:eastAsia="Calibri"/>
              </w:rPr>
              <w:t xml:space="preserve">Chronic PPH: angina; asthma; bronchiectasis; congestive cardiac failure; </w:t>
            </w:r>
            <w:r w:rsidR="007732B7" w:rsidRPr="00B64335">
              <w:rPr>
                <w:rFonts w:eastAsia="Calibri"/>
              </w:rPr>
              <w:t>c</w:t>
            </w:r>
            <w:r w:rsidRPr="00B64335">
              <w:rPr>
                <w:rFonts w:eastAsia="Calibri"/>
              </w:rPr>
              <w:t xml:space="preserve">hronic obstructive pulmonary disease; </w:t>
            </w:r>
            <w:r w:rsidRPr="008A6671">
              <w:rPr>
                <w:rFonts w:eastAsia="Calibri"/>
              </w:rPr>
              <w:t>diabetes complications; hypertension; iron deficiency anaemia; nutritional deficiencies; rheumatic heart disease</w:t>
            </w:r>
            <w:r>
              <w:rPr>
                <w:rFonts w:eastAsia="Calibri"/>
              </w:rPr>
              <w:t>.</w:t>
            </w:r>
          </w:p>
          <w:p w14:paraId="21CA2088" w14:textId="77777777" w:rsidR="00C30C92" w:rsidRPr="008A6671" w:rsidRDefault="00C30C92" w:rsidP="008B2964">
            <w:r w:rsidRPr="008A6671">
              <w:rPr>
                <w:rFonts w:eastAsia="Calibri"/>
              </w:rPr>
              <w:t>Vaccine preventable PPH: other vaccine-preventable conditions; pneumonia and influenza (vaccine-preventable)</w:t>
            </w:r>
            <w:r>
              <w:rPr>
                <w:rFonts w:eastAsia="Calibri"/>
              </w:rPr>
              <w:t>.</w:t>
            </w:r>
          </w:p>
        </w:tc>
      </w:tr>
      <w:tr w:rsidR="00C30C92" w:rsidRPr="00F9458B" w14:paraId="3625FF0F" w14:textId="77777777" w:rsidTr="008B2964">
        <w:trPr>
          <w:cantSplit/>
        </w:trPr>
        <w:tc>
          <w:tcPr>
            <w:tcW w:w="1569" w:type="dxa"/>
          </w:tcPr>
          <w:p w14:paraId="0588B9B6" w14:textId="77777777" w:rsidR="00C30C92" w:rsidRPr="008A6671" w:rsidRDefault="00C30C92" w:rsidP="008B2964">
            <w:r w:rsidRPr="008A6671">
              <w:t>Purpose</w:t>
            </w:r>
          </w:p>
        </w:tc>
        <w:tc>
          <w:tcPr>
            <w:tcW w:w="8158" w:type="dxa"/>
          </w:tcPr>
          <w:p w14:paraId="6949253A" w14:textId="77777777" w:rsidR="00C30C92" w:rsidRPr="008A6671" w:rsidRDefault="00C30C92" w:rsidP="008B2964">
            <w:pPr>
              <w:rPr>
                <w:rFonts w:eastAsia="Calibri"/>
              </w:rPr>
            </w:pPr>
            <w:r w:rsidRPr="008A6671">
              <w:rPr>
                <w:rFonts w:eastAsia="Calibri"/>
              </w:rPr>
              <w:t>PPH are admissions to hospital that may have been avoided by timely and effective health care, usually delivered in primary care and community-based care setting. Rate of PPH can indicate improvements in the effectiveness of prevention programs and/or accessibility and more effective management of selected conditions in the primary and community-based health care sector</w:t>
            </w:r>
            <w:r>
              <w:rPr>
                <w:rFonts w:eastAsia="Calibri"/>
              </w:rPr>
              <w:t>.</w:t>
            </w:r>
          </w:p>
        </w:tc>
      </w:tr>
      <w:tr w:rsidR="00C30C92" w:rsidRPr="00F9458B" w14:paraId="7DB50C91" w14:textId="77777777" w:rsidTr="008B2964">
        <w:trPr>
          <w:cantSplit/>
        </w:trPr>
        <w:tc>
          <w:tcPr>
            <w:tcW w:w="1569" w:type="dxa"/>
          </w:tcPr>
          <w:p w14:paraId="6AB6A5E2" w14:textId="77777777" w:rsidR="00C30C92" w:rsidRPr="008A6671" w:rsidRDefault="00C30C92" w:rsidP="008B2964">
            <w:r w:rsidRPr="008A6671">
              <w:t>Outcome Theme: Longer Term</w:t>
            </w:r>
          </w:p>
        </w:tc>
        <w:tc>
          <w:tcPr>
            <w:tcW w:w="8158" w:type="dxa"/>
          </w:tcPr>
          <w:p w14:paraId="7C06BB38" w14:textId="77777777" w:rsidR="00C30C92" w:rsidRPr="008A6671" w:rsidRDefault="00C30C92" w:rsidP="008B2964">
            <w:pPr>
              <w:rPr>
                <w:rFonts w:eastAsia="Calibri"/>
              </w:rPr>
            </w:pPr>
            <w:r w:rsidRPr="008A6671">
              <w:rPr>
                <w:rFonts w:eastAsia="Calibri"/>
              </w:rPr>
              <w:t>Outcome:</w:t>
            </w:r>
          </w:p>
          <w:p w14:paraId="294957AB" w14:textId="77777777" w:rsidR="00C30C92" w:rsidRPr="008A6671" w:rsidRDefault="00C30C92" w:rsidP="008B2964">
            <w:pPr>
              <w:rPr>
                <w:rFonts w:eastAsia="Calibri"/>
              </w:rPr>
            </w:pPr>
            <w:r w:rsidRPr="008A6671">
              <w:rPr>
                <w:rFonts w:eastAsia="Calibri"/>
              </w:rPr>
              <w:t>Patients in local region receive the right care in the right place at the right time</w:t>
            </w:r>
            <w:r>
              <w:rPr>
                <w:rFonts w:eastAsia="Calibri"/>
              </w:rPr>
              <w:t>.</w:t>
            </w:r>
          </w:p>
        </w:tc>
      </w:tr>
      <w:tr w:rsidR="00C30C92" w:rsidRPr="00F9458B" w14:paraId="3C880023" w14:textId="77777777" w:rsidTr="008B2964">
        <w:trPr>
          <w:cantSplit/>
        </w:trPr>
        <w:tc>
          <w:tcPr>
            <w:tcW w:w="1569" w:type="dxa"/>
          </w:tcPr>
          <w:p w14:paraId="25B00187" w14:textId="77777777" w:rsidR="00C30C92" w:rsidRPr="008A6671" w:rsidRDefault="00C30C92" w:rsidP="008B2964">
            <w:r w:rsidRPr="008A6671">
              <w:t>Outcome Theme: Addressing Needs</w:t>
            </w:r>
          </w:p>
        </w:tc>
        <w:tc>
          <w:tcPr>
            <w:tcW w:w="8158" w:type="dxa"/>
          </w:tcPr>
          <w:p w14:paraId="6C374C6A" w14:textId="77777777" w:rsidR="00C30C92" w:rsidRPr="008A6671" w:rsidRDefault="00C30C92" w:rsidP="008B2964">
            <w:pPr>
              <w:rPr>
                <w:rFonts w:eastAsia="Calibri"/>
              </w:rPr>
            </w:pPr>
            <w:r w:rsidRPr="008A6671">
              <w:rPr>
                <w:rFonts w:eastAsia="Calibri"/>
              </w:rPr>
              <w:t>Outcome:</w:t>
            </w:r>
          </w:p>
          <w:p w14:paraId="207B7D70" w14:textId="77777777" w:rsidR="00C30C92" w:rsidRPr="008A6671" w:rsidRDefault="00C30C92" w:rsidP="008B2964">
            <w:r w:rsidRPr="008A6671">
              <w:rPr>
                <w:rFonts w:eastAsia="Calibri"/>
              </w:rPr>
              <w:t>Fewer preventable hospitalisations in PHN region for people with chronic and vaccine preventable diseases</w:t>
            </w:r>
            <w:r>
              <w:rPr>
                <w:rFonts w:eastAsia="Calibri"/>
              </w:rPr>
              <w:t>.</w:t>
            </w:r>
          </w:p>
        </w:tc>
      </w:tr>
      <w:tr w:rsidR="00C30C92" w:rsidRPr="00F9458B" w14:paraId="34E928D4" w14:textId="77777777" w:rsidTr="008B2964">
        <w:trPr>
          <w:cantSplit/>
        </w:trPr>
        <w:tc>
          <w:tcPr>
            <w:tcW w:w="1569" w:type="dxa"/>
          </w:tcPr>
          <w:p w14:paraId="487A1F5F" w14:textId="77777777" w:rsidR="00C30C92" w:rsidRPr="008A6671" w:rsidRDefault="00C30C92" w:rsidP="008B2964">
            <w:r w:rsidRPr="008A6671">
              <w:t>Outcome Theme: Quality Care</w:t>
            </w:r>
          </w:p>
        </w:tc>
        <w:tc>
          <w:tcPr>
            <w:tcW w:w="8158" w:type="dxa"/>
          </w:tcPr>
          <w:p w14:paraId="1012657E" w14:textId="77777777" w:rsidR="00C30C92" w:rsidRPr="008A6671" w:rsidRDefault="00C30C92" w:rsidP="008B2964">
            <w:pPr>
              <w:rPr>
                <w:rFonts w:eastAsia="Calibri"/>
              </w:rPr>
            </w:pPr>
            <w:r w:rsidRPr="008A6671">
              <w:rPr>
                <w:rFonts w:eastAsia="Calibri"/>
              </w:rPr>
              <w:t>Outcome:</w:t>
            </w:r>
          </w:p>
          <w:p w14:paraId="2CCC4E6B" w14:textId="77777777" w:rsidR="00C30C92" w:rsidRPr="008A6671" w:rsidRDefault="00C30C92" w:rsidP="008B2964">
            <w:r w:rsidRPr="008A6671">
              <w:rPr>
                <w:rFonts w:eastAsia="Calibri"/>
              </w:rPr>
              <w:t>Fewer preventable hospitalisations in PHN region for older people</w:t>
            </w:r>
            <w:r>
              <w:rPr>
                <w:rFonts w:eastAsia="Calibri"/>
              </w:rPr>
              <w:t>.</w:t>
            </w:r>
          </w:p>
        </w:tc>
      </w:tr>
      <w:tr w:rsidR="00C30C92" w:rsidRPr="00F9458B" w14:paraId="1DD91C3F" w14:textId="77777777" w:rsidTr="008B2964">
        <w:trPr>
          <w:cantSplit/>
        </w:trPr>
        <w:tc>
          <w:tcPr>
            <w:tcW w:w="1569" w:type="dxa"/>
          </w:tcPr>
          <w:p w14:paraId="6FD00B34" w14:textId="77777777" w:rsidR="00C30C92" w:rsidRPr="008A6671" w:rsidRDefault="00C30C92" w:rsidP="008B2964">
            <w:r w:rsidRPr="008A6671">
              <w:lastRenderedPageBreak/>
              <w:t>Performance Criteria</w:t>
            </w:r>
          </w:p>
        </w:tc>
        <w:tc>
          <w:tcPr>
            <w:tcW w:w="8158" w:type="dxa"/>
          </w:tcPr>
          <w:p w14:paraId="1B4AC0F4" w14:textId="77777777" w:rsidR="00C30C92" w:rsidRPr="008A6671" w:rsidRDefault="00C30C92" w:rsidP="008B2964">
            <w:pPr>
              <w:rPr>
                <w:rFonts w:eastAsia="Calibri"/>
              </w:rPr>
            </w:pPr>
            <w:r w:rsidRPr="008A6671">
              <w:t>This item does not have performance criteria or a target. It provides context for other indicators and a reference to the healthcare landscape in which PHNs are operating.</w:t>
            </w:r>
          </w:p>
        </w:tc>
      </w:tr>
      <w:tr w:rsidR="00C30C92" w:rsidRPr="00F9458B" w14:paraId="6958A17A" w14:textId="77777777" w:rsidTr="008B2964">
        <w:trPr>
          <w:cantSplit/>
        </w:trPr>
        <w:tc>
          <w:tcPr>
            <w:tcW w:w="1569" w:type="dxa"/>
          </w:tcPr>
          <w:p w14:paraId="2D1D5AEE" w14:textId="77777777" w:rsidR="00C30C92" w:rsidRPr="008A6671" w:rsidRDefault="00C30C92" w:rsidP="008B2964">
            <w:r w:rsidRPr="008A6671">
              <w:t>Data Source</w:t>
            </w:r>
          </w:p>
        </w:tc>
        <w:tc>
          <w:tcPr>
            <w:tcW w:w="8158" w:type="dxa"/>
          </w:tcPr>
          <w:p w14:paraId="5A361F39" w14:textId="77777777" w:rsidR="00C30C92" w:rsidRPr="008A6671" w:rsidRDefault="00C30C92" w:rsidP="008B2964">
            <w:r w:rsidRPr="008A6671">
              <w:rPr>
                <w:rFonts w:eastAsia="Calibri"/>
              </w:rPr>
              <w:t>Australian Institute of Health and Welfare (AIHW</w:t>
            </w:r>
            <w:r w:rsidRPr="008E5D2E">
              <w:rPr>
                <w:rFonts w:eastAsia="Calibri"/>
              </w:rPr>
              <w:t>)</w:t>
            </w:r>
            <w:r>
              <w:rPr>
                <w:rFonts w:eastAsia="Calibri"/>
              </w:rPr>
              <w:t>.</w:t>
            </w:r>
          </w:p>
        </w:tc>
      </w:tr>
      <w:tr w:rsidR="00C30C92" w:rsidRPr="00F9458B" w14:paraId="60EABDD6" w14:textId="77777777" w:rsidTr="008B2964">
        <w:trPr>
          <w:cantSplit/>
        </w:trPr>
        <w:tc>
          <w:tcPr>
            <w:tcW w:w="1569" w:type="dxa"/>
          </w:tcPr>
          <w:p w14:paraId="0837A203" w14:textId="77777777" w:rsidR="00C30C92" w:rsidRPr="008A6671" w:rsidRDefault="00C30C92" w:rsidP="008B2964">
            <w:r w:rsidRPr="008A6671">
              <w:t>Calculation</w:t>
            </w:r>
          </w:p>
        </w:tc>
        <w:tc>
          <w:tcPr>
            <w:tcW w:w="8158" w:type="dxa"/>
          </w:tcPr>
          <w:p w14:paraId="594EF4A7" w14:textId="77777777" w:rsidR="00C30C92" w:rsidRPr="008A6671" w:rsidRDefault="00C30C92" w:rsidP="008B2964">
            <w:pPr>
              <w:rPr>
                <w:rFonts w:eastAsia="Calibri"/>
              </w:rPr>
            </w:pPr>
            <w:r w:rsidRPr="008A6671">
              <w:rPr>
                <w:rFonts w:eastAsia="Calibri"/>
              </w:rPr>
              <w:t>Numerator:</w:t>
            </w:r>
          </w:p>
          <w:p w14:paraId="450C80E9" w14:textId="77777777" w:rsidR="00C30C92" w:rsidRPr="008A6671" w:rsidRDefault="00C30C92" w:rsidP="008B2964">
            <w:pPr>
              <w:rPr>
                <w:rFonts w:eastAsia="Calibri"/>
              </w:rPr>
            </w:pPr>
            <w:r w:rsidRPr="008A6671">
              <w:rPr>
                <w:rFonts w:eastAsia="Calibri"/>
              </w:rPr>
              <w:t>Number of potentially preventable hospitalisations</w:t>
            </w:r>
            <w:r>
              <w:rPr>
                <w:rFonts w:eastAsia="Calibri"/>
              </w:rPr>
              <w:t>.</w:t>
            </w:r>
          </w:p>
          <w:p w14:paraId="0BBA471C" w14:textId="77777777" w:rsidR="00C30C92" w:rsidRPr="008A6671" w:rsidRDefault="00C30C92" w:rsidP="008B2964">
            <w:pPr>
              <w:rPr>
                <w:rFonts w:eastAsia="Calibri"/>
              </w:rPr>
            </w:pPr>
            <w:r w:rsidRPr="008A6671">
              <w:rPr>
                <w:rFonts w:eastAsia="Calibri"/>
              </w:rPr>
              <w:t>Denominator:</w:t>
            </w:r>
          </w:p>
          <w:p w14:paraId="0446B632" w14:textId="77777777" w:rsidR="00C30C92" w:rsidRPr="008A6671" w:rsidRDefault="00C30C92" w:rsidP="008B2964">
            <w:pPr>
              <w:rPr>
                <w:rFonts w:eastAsia="Calibri"/>
              </w:rPr>
            </w:pPr>
            <w:r w:rsidRPr="008A6671">
              <w:rPr>
                <w:rFonts w:eastAsia="Calibri"/>
              </w:rPr>
              <w:t>Resident population of PHN region</w:t>
            </w:r>
            <w:r>
              <w:rPr>
                <w:rFonts w:eastAsia="Calibri"/>
              </w:rPr>
              <w:t>.</w:t>
            </w:r>
          </w:p>
          <w:p w14:paraId="27C85869" w14:textId="77777777" w:rsidR="00C30C92" w:rsidRPr="008A6671" w:rsidRDefault="00C30C92" w:rsidP="008B2964">
            <w:pPr>
              <w:rPr>
                <w:rFonts w:eastAsia="Calibri"/>
              </w:rPr>
            </w:pPr>
            <w:r w:rsidRPr="008A6671">
              <w:rPr>
                <w:rFonts w:eastAsia="Calibri"/>
              </w:rPr>
              <w:t>Computation:</w:t>
            </w:r>
          </w:p>
          <w:p w14:paraId="4BF4691E" w14:textId="2ACC404C" w:rsidR="00C30C92" w:rsidRPr="008A6671" w:rsidRDefault="00C30C92" w:rsidP="008B2964">
            <w:pPr>
              <w:rPr>
                <w:rFonts w:eastAsia="Calibri"/>
              </w:rPr>
            </w:pPr>
            <w:r w:rsidRPr="008A6671">
              <w:rPr>
                <w:rFonts w:eastAsia="Calibri"/>
              </w:rPr>
              <w:t>100</w:t>
            </w:r>
            <w:r w:rsidR="007F3D61">
              <w:rPr>
                <w:rFonts w:eastAsia="Calibri"/>
              </w:rPr>
              <w:t>,000</w:t>
            </w:r>
            <w:r w:rsidRPr="008A6671">
              <w:rPr>
                <w:rFonts w:eastAsia="Calibri"/>
              </w:rPr>
              <w:t xml:space="preserve"> x (numerator / denominator) </w:t>
            </w:r>
            <w:r w:rsidR="000F7B64" w:rsidRPr="008A6671">
              <w:t xml:space="preserve">presented as a </w:t>
            </w:r>
            <w:r w:rsidR="000F7B64">
              <w:t xml:space="preserve">rate per 100,000 population in </w:t>
            </w:r>
            <w:r w:rsidR="000F7B64" w:rsidRPr="008A6671">
              <w:t>PHN region</w:t>
            </w:r>
            <w:r>
              <w:rPr>
                <w:rFonts w:eastAsia="Calibri"/>
              </w:rPr>
              <w:t>.</w:t>
            </w:r>
          </w:p>
          <w:p w14:paraId="7A718DD8" w14:textId="77777777" w:rsidR="00C30C92" w:rsidRPr="008A6671" w:rsidRDefault="00C30C92" w:rsidP="008B2964">
            <w:pPr>
              <w:rPr>
                <w:rFonts w:eastAsia="Calibri"/>
              </w:rPr>
            </w:pPr>
            <w:r w:rsidRPr="008A6671">
              <w:rPr>
                <w:rFonts w:eastAsia="Calibri"/>
              </w:rPr>
              <w:t>Disaggregation:</w:t>
            </w:r>
          </w:p>
          <w:p w14:paraId="715B9186" w14:textId="2DFAE018" w:rsidR="00C30C92" w:rsidRPr="008A6671" w:rsidRDefault="00990630" w:rsidP="008B2964">
            <w:r w:rsidRPr="008A6671">
              <w:rPr>
                <w:rFonts w:eastAsia="Calibri"/>
              </w:rPr>
              <w:t xml:space="preserve">People </w:t>
            </w:r>
            <w:r>
              <w:t>aged 0-64 and 65+</w:t>
            </w:r>
            <w:r w:rsidRPr="008A6671">
              <w:rPr>
                <w:rFonts w:eastAsia="Calibri"/>
              </w:rPr>
              <w:t>, vaccine preventable, acute conditions and chronic conditions</w:t>
            </w:r>
            <w:r>
              <w:rPr>
                <w:rFonts w:eastAsia="Calibri"/>
              </w:rPr>
              <w:t xml:space="preserve">. </w:t>
            </w:r>
            <w:r>
              <w:t>The age-standardised rate is used for AIHW-supplied PHN groups of national, metropolitan, and regional only; all other comparisons must use the crude rate.</w:t>
            </w:r>
          </w:p>
        </w:tc>
      </w:tr>
      <w:tr w:rsidR="00C30C92" w:rsidRPr="00F9458B" w14:paraId="07CD1941" w14:textId="77777777" w:rsidTr="008B2964">
        <w:trPr>
          <w:cantSplit/>
        </w:trPr>
        <w:tc>
          <w:tcPr>
            <w:tcW w:w="1569" w:type="dxa"/>
          </w:tcPr>
          <w:p w14:paraId="288193D5" w14:textId="77777777" w:rsidR="00C30C92" w:rsidRPr="008A6671" w:rsidRDefault="00C30C92" w:rsidP="008B2964">
            <w:r w:rsidRPr="008A6671">
              <w:t>Limitations</w:t>
            </w:r>
          </w:p>
        </w:tc>
        <w:tc>
          <w:tcPr>
            <w:tcW w:w="8158" w:type="dxa"/>
          </w:tcPr>
          <w:p w14:paraId="0E112B19" w14:textId="77777777" w:rsidR="00C30C92" w:rsidRPr="008A6671" w:rsidRDefault="00C30C92" w:rsidP="008B2964">
            <w:pPr>
              <w:rPr>
                <w:rFonts w:eastAsia="Calibri"/>
              </w:rPr>
            </w:pPr>
            <w:r w:rsidRPr="008A6671">
              <w:rPr>
                <w:rFonts w:eastAsia="Calibri"/>
              </w:rPr>
              <w:t>It may be difficult to readily measure changes in rates for categories of PPH, especially acute events that can be attributed to the effect of PHNs. PPHs are only one measure of potentially avoidable hospitalisations and exclude hospitalisations for injury and poisoning that may also be considered potentially avoidable</w:t>
            </w:r>
            <w:r>
              <w:rPr>
                <w:rFonts w:eastAsia="Calibri"/>
              </w:rPr>
              <w:t>.</w:t>
            </w:r>
          </w:p>
          <w:p w14:paraId="43AF13F5" w14:textId="77777777" w:rsidR="00C30C92" w:rsidRPr="008A6671" w:rsidRDefault="00C30C92" w:rsidP="008B2964">
            <w:pPr>
              <w:rPr>
                <w:rFonts w:eastAsia="Calibri"/>
              </w:rPr>
            </w:pPr>
            <w:r w:rsidRPr="008A6671">
              <w:rPr>
                <w:rFonts w:eastAsia="Calibri"/>
              </w:rPr>
              <w:t>PPHs exclude episodes of non-admitted patient care provided in outpatient clinics or emergency departments. Variations in admission practices and policies lead to variation among providers in the number of admissions for some conditions</w:t>
            </w:r>
            <w:r>
              <w:rPr>
                <w:rFonts w:eastAsia="Calibri"/>
              </w:rPr>
              <w:t>.</w:t>
            </w:r>
          </w:p>
          <w:p w14:paraId="2E9D687C" w14:textId="77777777" w:rsidR="00C30C92" w:rsidRPr="008A6671" w:rsidRDefault="00C30C92" w:rsidP="008B2964">
            <w:pPr>
              <w:rPr>
                <w:rFonts w:eastAsia="Calibri"/>
              </w:rPr>
            </w:pPr>
            <w:r w:rsidRPr="008A6671">
              <w:rPr>
                <w:rFonts w:eastAsia="Calibri"/>
              </w:rPr>
              <w:t>Reporting age-standardised rates at regional levels below state/territory depends on the availability of ABS population estimates, including age breakdowns, for the same geographical regions or for other regions that can be aggregated to align with the region of interest and PHN</w:t>
            </w:r>
            <w:r>
              <w:rPr>
                <w:rFonts w:eastAsia="Calibri"/>
              </w:rPr>
              <w:t>.</w:t>
            </w:r>
          </w:p>
          <w:p w14:paraId="67BE25A6" w14:textId="77777777" w:rsidR="00C30C92" w:rsidRPr="008A6671" w:rsidRDefault="00C30C92" w:rsidP="008B2964">
            <w:pPr>
              <w:rPr>
                <w:rFonts w:eastAsia="Calibri"/>
              </w:rPr>
            </w:pPr>
            <w:r w:rsidRPr="008A6671">
              <w:rPr>
                <w:rFonts w:eastAsia="Calibri"/>
              </w:rPr>
              <w:t>The data quality and/or definition of categories used to refine PPH reporting (for example SEIFA, First Nations status) can vary over time and therefore could cause PHN performance levels between different time periods to not be directly comparable</w:t>
            </w:r>
            <w:r>
              <w:rPr>
                <w:rFonts w:eastAsia="Calibri"/>
              </w:rPr>
              <w:t>.</w:t>
            </w:r>
          </w:p>
          <w:p w14:paraId="04B751E3" w14:textId="77777777" w:rsidR="00C30C92" w:rsidRPr="008A6671" w:rsidRDefault="00C30C92" w:rsidP="008B2964">
            <w:r w:rsidRPr="008A6671">
              <w:rPr>
                <w:rFonts w:eastAsia="Calibri"/>
              </w:rPr>
              <w:t>Changes in ICD-10-AM coding standards may affect the interpretation of PPH trends over time. This has been evident in previously published PPH statistics and has led to the refinement of PPH definitions to account for changes such as excluding counts for additional diagnoses of Diabetes mellitus in the definition of the PPH 'diabetes' category. After refinement, it is likely historical PPH performance would need to be backdated to maintain consistent definitions over time and to remove the presence of coding change affects</w:t>
            </w:r>
            <w:r>
              <w:rPr>
                <w:rFonts w:eastAsia="Calibri"/>
              </w:rPr>
              <w:t>.</w:t>
            </w:r>
          </w:p>
        </w:tc>
      </w:tr>
      <w:tr w:rsidR="00C30C92" w:rsidRPr="00F9458B" w14:paraId="7E2D5CAC" w14:textId="77777777" w:rsidTr="008B2964">
        <w:trPr>
          <w:cantSplit/>
        </w:trPr>
        <w:tc>
          <w:tcPr>
            <w:tcW w:w="1569" w:type="dxa"/>
          </w:tcPr>
          <w:p w14:paraId="624E9765" w14:textId="77777777" w:rsidR="00C30C92" w:rsidRPr="008A6671" w:rsidRDefault="00C30C92" w:rsidP="008B2964">
            <w:r w:rsidRPr="008A6671">
              <w:t>Additional information</w:t>
            </w:r>
          </w:p>
        </w:tc>
        <w:tc>
          <w:tcPr>
            <w:tcW w:w="8158" w:type="dxa"/>
          </w:tcPr>
          <w:p w14:paraId="7C12F426" w14:textId="77777777" w:rsidR="00C30C92" w:rsidRPr="008A6671" w:rsidRDefault="00C30C92" w:rsidP="008B2964">
            <w:r w:rsidRPr="008A6671">
              <w:rPr>
                <w:rFonts w:eastAsia="Calibri"/>
              </w:rPr>
              <w:t>-</w:t>
            </w:r>
          </w:p>
        </w:tc>
      </w:tr>
    </w:tbl>
    <w:p w14:paraId="241CA807" w14:textId="53FB6487" w:rsidR="00595F06" w:rsidRPr="00716651" w:rsidRDefault="00201AE8" w:rsidP="00665D8A">
      <w:pPr>
        <w:pStyle w:val="Heading2"/>
      </w:pPr>
      <w:bookmarkStart w:id="53" w:name="_Toc517194525"/>
      <w:bookmarkStart w:id="54" w:name="_Toc517267759"/>
      <w:bookmarkStart w:id="55" w:name="_Toc517767153"/>
      <w:bookmarkStart w:id="56" w:name="_Toc517769804"/>
      <w:r w:rsidRPr="00716651">
        <w:lastRenderedPageBreak/>
        <w:t>P13</w:t>
      </w:r>
      <w:r w:rsidR="00595F06" w:rsidRPr="00716651">
        <w:t>: Numbers of health professionals available</w:t>
      </w:r>
      <w:bookmarkEnd w:id="53"/>
      <w:bookmarkEnd w:id="54"/>
      <w:bookmarkEnd w:id="55"/>
      <w:bookmarkEnd w:id="56"/>
    </w:p>
    <w:tbl>
      <w:tblPr>
        <w:tblStyle w:val="PHNTealtable"/>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4A0" w:firstRow="1" w:lastRow="0" w:firstColumn="1" w:lastColumn="0" w:noHBand="0" w:noVBand="1"/>
        <w:tblDescription w:val="This table details indicator P13: Numbers of health professionals available. It is comprised of two columns, and 11 rows. Column one provides the Item of the indicator, and Column two outlines the corresponding description."/>
      </w:tblPr>
      <w:tblGrid>
        <w:gridCol w:w="1570"/>
        <w:gridCol w:w="8157"/>
      </w:tblGrid>
      <w:tr w:rsidR="00595F06" w:rsidRPr="00F9458B" w14:paraId="57D0CFA5" w14:textId="77777777">
        <w:trPr>
          <w:cnfStyle w:val="100000000000" w:firstRow="1" w:lastRow="0" w:firstColumn="0" w:lastColumn="0" w:oddVBand="0" w:evenVBand="0" w:oddHBand="0" w:evenHBand="0" w:firstRowFirstColumn="0" w:firstRowLastColumn="0" w:lastRowFirstColumn="0" w:lastRowLastColumn="0"/>
          <w:tblHeader/>
        </w:trPr>
        <w:tc>
          <w:tcPr>
            <w:tcW w:w="1574" w:type="dxa"/>
            <w:shd w:val="clear" w:color="auto" w:fill="153A6E"/>
          </w:tcPr>
          <w:p w14:paraId="7A66D5E1" w14:textId="77777777" w:rsidR="00595F06" w:rsidRPr="00716651" w:rsidRDefault="00595F06" w:rsidP="0082185D">
            <w:pPr>
              <w:pStyle w:val="TableHeaderWhite"/>
            </w:pPr>
            <w:r w:rsidRPr="00716651">
              <w:t>Item</w:t>
            </w:r>
          </w:p>
        </w:tc>
        <w:tc>
          <w:tcPr>
            <w:tcW w:w="8388" w:type="dxa"/>
            <w:shd w:val="clear" w:color="auto" w:fill="153A6E"/>
          </w:tcPr>
          <w:p w14:paraId="56280190" w14:textId="77777777" w:rsidR="00595F06" w:rsidRPr="00716651" w:rsidRDefault="00595F06" w:rsidP="0082185D">
            <w:pPr>
              <w:pStyle w:val="TableHeaderWhite"/>
            </w:pPr>
            <w:r w:rsidRPr="00716651">
              <w:t>Description</w:t>
            </w:r>
          </w:p>
        </w:tc>
      </w:tr>
      <w:tr w:rsidR="00595F06" w:rsidRPr="00F9458B" w14:paraId="36FF7788" w14:textId="77777777">
        <w:trPr>
          <w:cantSplit/>
        </w:trPr>
        <w:tc>
          <w:tcPr>
            <w:tcW w:w="1574" w:type="dxa"/>
          </w:tcPr>
          <w:p w14:paraId="00BAE116" w14:textId="77777777" w:rsidR="00595F06" w:rsidRPr="008A6671" w:rsidRDefault="00595F06">
            <w:r w:rsidRPr="008A6671">
              <w:t>Assessment</w:t>
            </w:r>
          </w:p>
        </w:tc>
        <w:tc>
          <w:tcPr>
            <w:tcW w:w="8388" w:type="dxa"/>
          </w:tcPr>
          <w:p w14:paraId="1C59AAF0" w14:textId="77777777" w:rsidR="00595F06" w:rsidRPr="008A6671" w:rsidRDefault="00595F06">
            <w:r w:rsidRPr="008A6671">
              <w:t>PHN Program</w:t>
            </w:r>
          </w:p>
        </w:tc>
      </w:tr>
      <w:tr w:rsidR="00595F06" w:rsidRPr="00F9458B" w14:paraId="5853BFAD" w14:textId="77777777">
        <w:trPr>
          <w:cantSplit/>
        </w:trPr>
        <w:tc>
          <w:tcPr>
            <w:tcW w:w="1574" w:type="dxa"/>
            <w:shd w:val="clear" w:color="auto" w:fill="D72F0D"/>
          </w:tcPr>
          <w:p w14:paraId="0199602F" w14:textId="77777777" w:rsidR="00595F06" w:rsidRPr="0082185D" w:rsidRDefault="00595F06" w:rsidP="00665D8A">
            <w:pPr>
              <w:pStyle w:val="TableTextwhite"/>
            </w:pPr>
            <w:r w:rsidRPr="0082185D">
              <w:t>Reporting</w:t>
            </w:r>
          </w:p>
        </w:tc>
        <w:tc>
          <w:tcPr>
            <w:tcW w:w="8388" w:type="dxa"/>
            <w:shd w:val="clear" w:color="auto" w:fill="D72F0D"/>
          </w:tcPr>
          <w:p w14:paraId="17E77994" w14:textId="77777777" w:rsidR="00F25AD7" w:rsidRPr="0082185D" w:rsidRDefault="00091D4D" w:rsidP="00665D8A">
            <w:pPr>
              <w:pStyle w:val="TableTextwhite"/>
            </w:pPr>
            <w:r w:rsidRPr="0082185D">
              <w:t xml:space="preserve">Twelve monthly by </w:t>
            </w:r>
            <w:r w:rsidR="00595F06" w:rsidRPr="0082185D">
              <w:t>PHN</w:t>
            </w:r>
            <w:r w:rsidR="00F25AD7" w:rsidRPr="0082185D">
              <w:t>.</w:t>
            </w:r>
          </w:p>
          <w:p w14:paraId="7BA08679" w14:textId="2504DB54" w:rsidR="00595F06" w:rsidRPr="00E51B37" w:rsidRDefault="00595F06" w:rsidP="00665D8A">
            <w:pPr>
              <w:pStyle w:val="TableTextwhite"/>
            </w:pPr>
            <w:r w:rsidRPr="0082185D">
              <w:t xml:space="preserve">Twelve monthly by Department </w:t>
            </w:r>
            <w:r w:rsidR="00B131F1" w:rsidRPr="0082185D">
              <w:t>from</w:t>
            </w:r>
            <w:r w:rsidRPr="0082185D">
              <w:t xml:space="preserve"> </w:t>
            </w:r>
            <w:proofErr w:type="spellStart"/>
            <w:r w:rsidRPr="0082185D">
              <w:t>healthdirect</w:t>
            </w:r>
            <w:proofErr w:type="spellEnd"/>
            <w:r w:rsidRPr="0082185D">
              <w:t xml:space="preserve"> and National Health Workforce Data Set (NHWDS)</w:t>
            </w:r>
            <w:r w:rsidR="000E7570" w:rsidRPr="0082185D">
              <w:t>.</w:t>
            </w:r>
            <w:r w:rsidR="001C3EC7" w:rsidRPr="0082185D">
              <w:t xml:space="preserve"> </w:t>
            </w:r>
          </w:p>
        </w:tc>
      </w:tr>
      <w:tr w:rsidR="00595F06" w:rsidRPr="00F9458B" w14:paraId="50E48CBA" w14:textId="77777777">
        <w:trPr>
          <w:cantSplit/>
        </w:trPr>
        <w:tc>
          <w:tcPr>
            <w:tcW w:w="1574" w:type="dxa"/>
          </w:tcPr>
          <w:p w14:paraId="1FED2318" w14:textId="77777777" w:rsidR="00595F06" w:rsidRPr="008A6671" w:rsidRDefault="00595F06">
            <w:r w:rsidRPr="008A6671">
              <w:t>Definition</w:t>
            </w:r>
          </w:p>
        </w:tc>
        <w:tc>
          <w:tcPr>
            <w:tcW w:w="8388" w:type="dxa"/>
          </w:tcPr>
          <w:p w14:paraId="676821FD" w14:textId="0776F29C" w:rsidR="00595F06" w:rsidRPr="008A6671" w:rsidRDefault="00595F06">
            <w:pPr>
              <w:rPr>
                <w:rFonts w:eastAsia="Calibri"/>
              </w:rPr>
            </w:pPr>
            <w:r w:rsidRPr="008A6671">
              <w:rPr>
                <w:rFonts w:eastAsia="Calibri"/>
              </w:rPr>
              <w:t xml:space="preserve">Numbers of primary health care professionals (GPs and </w:t>
            </w:r>
            <w:r w:rsidR="00E745F0">
              <w:rPr>
                <w:rFonts w:eastAsia="Calibri"/>
              </w:rPr>
              <w:t xml:space="preserve">selected </w:t>
            </w:r>
            <w:r w:rsidRPr="008A6671">
              <w:rPr>
                <w:rFonts w:eastAsia="Calibri"/>
              </w:rPr>
              <w:t xml:space="preserve">allied health </w:t>
            </w:r>
            <w:r w:rsidR="002B3B48">
              <w:rPr>
                <w:rFonts w:eastAsia="Calibri"/>
              </w:rPr>
              <w:t>professionals</w:t>
            </w:r>
            <w:r w:rsidRPr="008A6671">
              <w:rPr>
                <w:rFonts w:eastAsia="Calibri"/>
              </w:rPr>
              <w:t>) available within the PHN region</w:t>
            </w:r>
            <w:r w:rsidR="00F25AD7">
              <w:rPr>
                <w:rFonts w:eastAsia="Calibri"/>
              </w:rPr>
              <w:t>.</w:t>
            </w:r>
          </w:p>
          <w:p w14:paraId="3A33828E" w14:textId="77777777" w:rsidR="00595F06" w:rsidRPr="008A6671" w:rsidRDefault="00595F06">
            <w:r w:rsidRPr="008A6671">
              <w:rPr>
                <w:rFonts w:eastAsia="Calibri"/>
              </w:rPr>
              <w:t>These include:</w:t>
            </w:r>
          </w:p>
          <w:p w14:paraId="65246038" w14:textId="77777777" w:rsidR="00595F06" w:rsidRPr="008A6671" w:rsidRDefault="00595F06" w:rsidP="00716651">
            <w:pPr>
              <w:pStyle w:val="ListBullet"/>
            </w:pPr>
            <w:r w:rsidRPr="008A6671">
              <w:t>Number of general practices in region</w:t>
            </w:r>
          </w:p>
          <w:p w14:paraId="3F8C2DFE" w14:textId="77777777" w:rsidR="00595F06" w:rsidRPr="008A6671" w:rsidRDefault="00595F06" w:rsidP="00716651">
            <w:pPr>
              <w:pStyle w:val="ListBullet"/>
            </w:pPr>
            <w:r w:rsidRPr="008A6671">
              <w:t>Number of GPs</w:t>
            </w:r>
          </w:p>
          <w:p w14:paraId="7FCD4774" w14:textId="77777777" w:rsidR="00595F06" w:rsidRPr="008A6671" w:rsidRDefault="00595F06" w:rsidP="00716651">
            <w:pPr>
              <w:pStyle w:val="ListBullet"/>
            </w:pPr>
            <w:r w:rsidRPr="008A6671">
              <w:t>Number of GP full time equivalents</w:t>
            </w:r>
          </w:p>
          <w:p w14:paraId="013B39B6" w14:textId="77777777" w:rsidR="00595F06" w:rsidRPr="008A6671" w:rsidRDefault="00595F06" w:rsidP="00716651">
            <w:pPr>
              <w:pStyle w:val="ListBullet"/>
            </w:pPr>
            <w:r w:rsidRPr="008A6671">
              <w:t>Number of GP services</w:t>
            </w:r>
          </w:p>
          <w:p w14:paraId="5821A54D" w14:textId="77777777" w:rsidR="00595F06" w:rsidRPr="008A6671" w:rsidRDefault="00595F06" w:rsidP="00716651">
            <w:pPr>
              <w:pStyle w:val="ListBullet"/>
            </w:pPr>
            <w:r w:rsidRPr="008A6671">
              <w:t>Number of nurses working in general practice</w:t>
            </w:r>
          </w:p>
          <w:p w14:paraId="1DCF5EEE" w14:textId="77777777" w:rsidR="00595F06" w:rsidRPr="008A6671" w:rsidRDefault="00595F06" w:rsidP="00716651">
            <w:pPr>
              <w:pStyle w:val="ListBullet"/>
            </w:pPr>
            <w:r w:rsidRPr="008A6671">
              <w:t>Number of occupational therapists</w:t>
            </w:r>
          </w:p>
          <w:p w14:paraId="37799B3D" w14:textId="77777777" w:rsidR="00595F06" w:rsidRPr="008A6671" w:rsidRDefault="00595F06" w:rsidP="00716651">
            <w:pPr>
              <w:pStyle w:val="ListBullet"/>
            </w:pPr>
            <w:r w:rsidRPr="008A6671">
              <w:t>Number of optometrists</w:t>
            </w:r>
          </w:p>
          <w:p w14:paraId="4F4557A3" w14:textId="77777777" w:rsidR="00595F06" w:rsidRPr="008A6671" w:rsidRDefault="00595F06" w:rsidP="00716651">
            <w:pPr>
              <w:pStyle w:val="ListBullet"/>
            </w:pPr>
            <w:r w:rsidRPr="008A6671">
              <w:t>Number of pharmacists</w:t>
            </w:r>
          </w:p>
          <w:p w14:paraId="323FF84F" w14:textId="77777777" w:rsidR="00595F06" w:rsidRPr="008A6671" w:rsidRDefault="00595F06" w:rsidP="00716651">
            <w:pPr>
              <w:pStyle w:val="ListBullet"/>
            </w:pPr>
            <w:r w:rsidRPr="008A6671">
              <w:t>Number of physiotherapists</w:t>
            </w:r>
          </w:p>
          <w:p w14:paraId="52043964" w14:textId="77777777" w:rsidR="00595F06" w:rsidRPr="00DE1393" w:rsidRDefault="00595F06" w:rsidP="00716651">
            <w:pPr>
              <w:pStyle w:val="ListBullet"/>
            </w:pPr>
            <w:r w:rsidRPr="008A6671">
              <w:t>Number of podiatrists</w:t>
            </w:r>
            <w:r w:rsidR="00F25AD7">
              <w:t>, and</w:t>
            </w:r>
          </w:p>
          <w:p w14:paraId="1C35F98E" w14:textId="77777777" w:rsidR="00595F06" w:rsidRPr="00DE1393" w:rsidRDefault="00595F06" w:rsidP="00716651">
            <w:pPr>
              <w:pStyle w:val="ListBullet"/>
            </w:pPr>
            <w:r w:rsidRPr="008A6671">
              <w:t>Number of psychologists</w:t>
            </w:r>
            <w:r w:rsidR="00F25AD7">
              <w:t>.</w:t>
            </w:r>
          </w:p>
          <w:p w14:paraId="473B8184" w14:textId="601D92E0" w:rsidR="00595F06" w:rsidRPr="008A6671" w:rsidRDefault="00595F06" w:rsidP="00E51B37">
            <w:pPr>
              <w:rPr>
                <w:rFonts w:eastAsia="Calibri"/>
              </w:rPr>
            </w:pPr>
            <w:r w:rsidRPr="008A6671">
              <w:t xml:space="preserve">A general practice is defined by the Royal Australian College of General Practitioners as an entity which ‘provides person centred, continuing, comprehensive and coordinated </w:t>
            </w:r>
            <w:proofErr w:type="spellStart"/>
            <w:r w:rsidRPr="008A6671">
              <w:t>wholeperson</w:t>
            </w:r>
            <w:proofErr w:type="spellEnd"/>
            <w:r w:rsidRPr="008A6671">
              <w:t xml:space="preserve"> health care to individuals and families in their communities.’ Therefore, practices which do not provide ‘</w:t>
            </w:r>
            <w:proofErr w:type="spellStart"/>
            <w:r w:rsidRPr="008A6671">
              <w:t>wholeperson</w:t>
            </w:r>
            <w:proofErr w:type="spellEnd"/>
            <w:r w:rsidRPr="008A6671">
              <w:t>’ or mainstream health services should be excluded from the count. This would include skin clinics and travel doctors etc</w:t>
            </w:r>
            <w:r w:rsidR="004D3C46">
              <w:t>.</w:t>
            </w:r>
          </w:p>
        </w:tc>
      </w:tr>
      <w:tr w:rsidR="00595F06" w:rsidRPr="00F9458B" w14:paraId="5875935A" w14:textId="77777777">
        <w:trPr>
          <w:cantSplit/>
        </w:trPr>
        <w:tc>
          <w:tcPr>
            <w:tcW w:w="1574" w:type="dxa"/>
          </w:tcPr>
          <w:p w14:paraId="6AF7AB5C" w14:textId="77777777" w:rsidR="00595F06" w:rsidRPr="008A6671" w:rsidRDefault="00595F06">
            <w:r w:rsidRPr="008A6671">
              <w:t>Purpose</w:t>
            </w:r>
          </w:p>
        </w:tc>
        <w:tc>
          <w:tcPr>
            <w:tcW w:w="8388" w:type="dxa"/>
          </w:tcPr>
          <w:p w14:paraId="13EC61FA" w14:textId="1782BD9F" w:rsidR="00D56905" w:rsidRPr="008A6671" w:rsidRDefault="00D56905" w:rsidP="00D56905">
            <w:pPr>
              <w:rPr>
                <w:rFonts w:eastAsia="Calibri"/>
              </w:rPr>
            </w:pPr>
            <w:r w:rsidRPr="008A6671">
              <w:rPr>
                <w:rFonts w:eastAsia="Calibri"/>
              </w:rPr>
              <w:t>This indicator is required to provide d</w:t>
            </w:r>
            <w:r w:rsidR="00291128" w:rsidRPr="008A6671">
              <w:rPr>
                <w:rFonts w:eastAsia="Calibri"/>
              </w:rPr>
              <w:t>ata for other indicators</w:t>
            </w:r>
            <w:r w:rsidRPr="008A6671">
              <w:rPr>
                <w:rFonts w:eastAsia="Calibri"/>
              </w:rPr>
              <w:t>.</w:t>
            </w:r>
          </w:p>
          <w:p w14:paraId="7CED134D" w14:textId="77777777" w:rsidR="00595F06" w:rsidRPr="008A6671" w:rsidRDefault="00595F06">
            <w:pPr>
              <w:rPr>
                <w:rFonts w:eastAsia="Calibri"/>
              </w:rPr>
            </w:pPr>
            <w:r w:rsidRPr="008A6671">
              <w:rPr>
                <w:rFonts w:eastAsia="Calibri"/>
              </w:rPr>
              <w:t>Numbers of primary health care professionals is core information in assessing the capacity of a region to meet its primary health care needs, with improving trends over time providing indications of success in meeting potential service gaps</w:t>
            </w:r>
            <w:r w:rsidR="00291128" w:rsidRPr="008A6671">
              <w:rPr>
                <w:rFonts w:eastAsia="Calibri"/>
              </w:rPr>
              <w:t>.</w:t>
            </w:r>
          </w:p>
          <w:p w14:paraId="3A75E8ED" w14:textId="1658AB68" w:rsidR="00291128" w:rsidRPr="008A6671" w:rsidRDefault="00291128">
            <w:pPr>
              <w:rPr>
                <w:rFonts w:eastAsia="Calibri"/>
              </w:rPr>
            </w:pPr>
            <w:r w:rsidRPr="008A6671">
              <w:rPr>
                <w:rFonts w:eastAsia="Calibri"/>
              </w:rPr>
              <w:t xml:space="preserve">Findings will be used for individual performance assessments and to calculate other </w:t>
            </w:r>
            <w:proofErr w:type="gramStart"/>
            <w:r w:rsidRPr="008A6671">
              <w:rPr>
                <w:rFonts w:eastAsia="Calibri"/>
              </w:rPr>
              <w:t>indicators, but</w:t>
            </w:r>
            <w:proofErr w:type="gramEnd"/>
            <w:r w:rsidRPr="008A6671">
              <w:rPr>
                <w:rFonts w:eastAsia="Calibri"/>
              </w:rPr>
              <w:t xml:space="preserve"> will not be published separately in the PHN Program Annual Performance Report.</w:t>
            </w:r>
          </w:p>
        </w:tc>
      </w:tr>
      <w:tr w:rsidR="00595F06" w:rsidRPr="00F9458B" w14:paraId="7853B41F" w14:textId="77777777">
        <w:trPr>
          <w:cantSplit/>
        </w:trPr>
        <w:tc>
          <w:tcPr>
            <w:tcW w:w="1574" w:type="dxa"/>
          </w:tcPr>
          <w:p w14:paraId="31A2D9EF" w14:textId="77777777" w:rsidR="00595F06" w:rsidRPr="008A6671" w:rsidRDefault="00595F06">
            <w:r w:rsidRPr="008A6671">
              <w:t xml:space="preserve">Outcome Theme: Longer Term </w:t>
            </w:r>
          </w:p>
        </w:tc>
        <w:tc>
          <w:tcPr>
            <w:tcW w:w="8388" w:type="dxa"/>
          </w:tcPr>
          <w:p w14:paraId="4F8F716D" w14:textId="77777777" w:rsidR="00595F06" w:rsidRPr="008A6671" w:rsidRDefault="00595F06">
            <w:pPr>
              <w:rPr>
                <w:rFonts w:eastAsia="Calibri"/>
              </w:rPr>
            </w:pPr>
            <w:r w:rsidRPr="008A6671">
              <w:rPr>
                <w:rFonts w:eastAsia="Calibri"/>
              </w:rPr>
              <w:t>Outcome:</w:t>
            </w:r>
          </w:p>
          <w:p w14:paraId="4CFF4700" w14:textId="0F229E17" w:rsidR="00595F06" w:rsidRPr="008A6671" w:rsidRDefault="00595F06">
            <w:r w:rsidRPr="008A6671">
              <w:rPr>
                <w:rFonts w:eastAsia="Calibri"/>
              </w:rPr>
              <w:t>Patients in local region receive the right care in the right place at the right time</w:t>
            </w:r>
            <w:r w:rsidR="004D3C46">
              <w:rPr>
                <w:rFonts w:eastAsia="Calibri"/>
              </w:rPr>
              <w:t>.</w:t>
            </w:r>
          </w:p>
        </w:tc>
      </w:tr>
      <w:tr w:rsidR="00595F06" w:rsidRPr="00F9458B" w14:paraId="1AA214E8" w14:textId="77777777">
        <w:trPr>
          <w:cantSplit/>
        </w:trPr>
        <w:tc>
          <w:tcPr>
            <w:tcW w:w="1574" w:type="dxa"/>
          </w:tcPr>
          <w:p w14:paraId="3E320365" w14:textId="77777777" w:rsidR="00595F06" w:rsidRPr="008A6671" w:rsidRDefault="00595F06">
            <w:r w:rsidRPr="008A6671">
              <w:t>Performance Criteria</w:t>
            </w:r>
          </w:p>
        </w:tc>
        <w:tc>
          <w:tcPr>
            <w:tcW w:w="8388" w:type="dxa"/>
          </w:tcPr>
          <w:p w14:paraId="1FB91688" w14:textId="42E6864C" w:rsidR="00595F06" w:rsidRPr="008A6671" w:rsidRDefault="00D17579">
            <w:r w:rsidRPr="008A6671">
              <w:t>This item does not have performance criteria or a target. It provides context for other indicators and a reference to the healthcare landscape in which PHNs are operating.</w:t>
            </w:r>
          </w:p>
        </w:tc>
      </w:tr>
      <w:tr w:rsidR="00595F06" w:rsidRPr="00F9458B" w14:paraId="65AA76DA" w14:textId="77777777">
        <w:trPr>
          <w:cantSplit/>
        </w:trPr>
        <w:tc>
          <w:tcPr>
            <w:tcW w:w="1574" w:type="dxa"/>
          </w:tcPr>
          <w:p w14:paraId="5708D648" w14:textId="77777777" w:rsidR="00595F06" w:rsidRPr="008A6671" w:rsidRDefault="00595F06">
            <w:r w:rsidRPr="008A6671">
              <w:lastRenderedPageBreak/>
              <w:t>Data Source</w:t>
            </w:r>
          </w:p>
        </w:tc>
        <w:tc>
          <w:tcPr>
            <w:tcW w:w="8388" w:type="dxa"/>
          </w:tcPr>
          <w:p w14:paraId="3E178B3B" w14:textId="77777777" w:rsidR="00F25AD7" w:rsidRDefault="005851C2" w:rsidP="005851C2">
            <w:pPr>
              <w:rPr>
                <w:rFonts w:eastAsia="Calibri"/>
              </w:rPr>
            </w:pPr>
            <w:r w:rsidRPr="008E5D2E">
              <w:rPr>
                <w:rFonts w:eastAsia="Calibri"/>
              </w:rPr>
              <w:t xml:space="preserve">PHNs </w:t>
            </w:r>
            <w:r w:rsidR="008E75D0">
              <w:t>provid</w:t>
            </w:r>
            <w:r w:rsidR="00F837C7">
              <w:t>e the</w:t>
            </w:r>
            <w:r w:rsidRPr="008E5D2E">
              <w:t xml:space="preserve"> number of general practices, GPs</w:t>
            </w:r>
            <w:r w:rsidR="00F837C7">
              <w:t xml:space="preserve"> and</w:t>
            </w:r>
            <w:r w:rsidRPr="008E5D2E">
              <w:t xml:space="preserve"> nurses</w:t>
            </w:r>
            <w:r w:rsidR="00F25AD7">
              <w:rPr>
                <w:rFonts w:eastAsia="Calibri"/>
              </w:rPr>
              <w:t>.</w:t>
            </w:r>
          </w:p>
          <w:p w14:paraId="0911655F" w14:textId="5D902834" w:rsidR="00595F06" w:rsidRPr="008A6671" w:rsidRDefault="00F837C7">
            <w:pPr>
              <w:rPr>
                <w:rFonts w:eastAsia="Calibri"/>
              </w:rPr>
            </w:pPr>
            <w:r>
              <w:rPr>
                <w:rFonts w:eastAsia="Calibri"/>
              </w:rPr>
              <w:t>The Department provides</w:t>
            </w:r>
            <w:r w:rsidR="00595F06" w:rsidRPr="008A6671">
              <w:t xml:space="preserve"> number of occupational therapists, optometrists, pharmacists, physiotherapists, podiatrists, </w:t>
            </w:r>
            <w:r>
              <w:t xml:space="preserve">and </w:t>
            </w:r>
            <w:r w:rsidR="00595F06" w:rsidRPr="008A6671">
              <w:t>psychologists</w:t>
            </w:r>
            <w:r w:rsidRPr="008E5D2E">
              <w:rPr>
                <w:rFonts w:eastAsia="Calibri"/>
              </w:rPr>
              <w:t xml:space="preserve"> </w:t>
            </w:r>
            <w:r>
              <w:rPr>
                <w:rFonts w:eastAsia="Calibri"/>
              </w:rPr>
              <w:t xml:space="preserve">from </w:t>
            </w:r>
            <w:r w:rsidRPr="008E5D2E">
              <w:rPr>
                <w:rFonts w:eastAsia="Calibri"/>
              </w:rPr>
              <w:t>NHWDS</w:t>
            </w:r>
            <w:r w:rsidR="009F581F">
              <w:rPr>
                <w:rFonts w:eastAsia="Calibri"/>
              </w:rPr>
              <w:t>.</w:t>
            </w:r>
          </w:p>
          <w:p w14:paraId="44755E2B" w14:textId="0B745505" w:rsidR="00595F06" w:rsidRPr="008A6671" w:rsidRDefault="009F581F">
            <w:pPr>
              <w:rPr>
                <w:rFonts w:eastAsia="Calibri"/>
              </w:rPr>
            </w:pPr>
            <w:r>
              <w:rPr>
                <w:rFonts w:eastAsia="Calibri"/>
              </w:rPr>
              <w:t>The D</w:t>
            </w:r>
            <w:r w:rsidR="00EC07A1">
              <w:rPr>
                <w:rFonts w:eastAsia="Calibri"/>
              </w:rPr>
              <w:t>e</w:t>
            </w:r>
            <w:r>
              <w:rPr>
                <w:rFonts w:eastAsia="Calibri"/>
              </w:rPr>
              <w:t>partment also provide</w:t>
            </w:r>
            <w:r w:rsidR="00EC07A1">
              <w:rPr>
                <w:rFonts w:eastAsia="Calibri"/>
              </w:rPr>
              <w:t>s</w:t>
            </w:r>
            <w:r w:rsidR="00595F06" w:rsidRPr="008A6671">
              <w:t xml:space="preserve"> supplementary data</w:t>
            </w:r>
            <w:r w:rsidRPr="008E5D2E">
              <w:rPr>
                <w:rFonts w:eastAsia="Calibri"/>
              </w:rPr>
              <w:t xml:space="preserve"> </w:t>
            </w:r>
            <w:r>
              <w:rPr>
                <w:rFonts w:eastAsia="Calibri"/>
              </w:rPr>
              <w:t xml:space="preserve">from </w:t>
            </w:r>
            <w:proofErr w:type="spellStart"/>
            <w:r w:rsidRPr="008E5D2E">
              <w:rPr>
                <w:rFonts w:eastAsia="Calibri"/>
              </w:rPr>
              <w:t>healthdirect</w:t>
            </w:r>
            <w:proofErr w:type="spellEnd"/>
            <w:r w:rsidR="004D3C46">
              <w:rPr>
                <w:rFonts w:eastAsia="Calibri"/>
              </w:rPr>
              <w:t>.</w:t>
            </w:r>
          </w:p>
        </w:tc>
      </w:tr>
      <w:tr w:rsidR="00595F06" w:rsidRPr="00F9458B" w14:paraId="74DE3180" w14:textId="77777777">
        <w:trPr>
          <w:cantSplit/>
        </w:trPr>
        <w:tc>
          <w:tcPr>
            <w:tcW w:w="1574" w:type="dxa"/>
          </w:tcPr>
          <w:p w14:paraId="579E843A" w14:textId="77777777" w:rsidR="00595F06" w:rsidRPr="008A6671" w:rsidRDefault="00595F06">
            <w:r w:rsidRPr="008A6671">
              <w:t>Calculation</w:t>
            </w:r>
          </w:p>
        </w:tc>
        <w:tc>
          <w:tcPr>
            <w:tcW w:w="8388" w:type="dxa"/>
          </w:tcPr>
          <w:p w14:paraId="774388A6" w14:textId="6A32372E" w:rsidR="00595F06" w:rsidRPr="008A6671" w:rsidRDefault="00595F06">
            <w:r w:rsidRPr="008A6671">
              <w:rPr>
                <w:rFonts w:eastAsia="Calibri"/>
              </w:rPr>
              <w:t>Number of primary health care professionals in the PHN per 100,000 population</w:t>
            </w:r>
            <w:r w:rsidR="004D3C46">
              <w:rPr>
                <w:rFonts w:eastAsia="Calibri"/>
              </w:rPr>
              <w:t>.</w:t>
            </w:r>
          </w:p>
        </w:tc>
      </w:tr>
      <w:tr w:rsidR="00595F06" w:rsidRPr="00F9458B" w14:paraId="2DCEE7C3" w14:textId="77777777">
        <w:trPr>
          <w:cantSplit/>
        </w:trPr>
        <w:tc>
          <w:tcPr>
            <w:tcW w:w="1574" w:type="dxa"/>
          </w:tcPr>
          <w:p w14:paraId="0B1DFC9B" w14:textId="77777777" w:rsidR="00595F06" w:rsidRPr="008A6671" w:rsidRDefault="00595F06">
            <w:r w:rsidRPr="008A6671">
              <w:t>Limitations</w:t>
            </w:r>
          </w:p>
        </w:tc>
        <w:tc>
          <w:tcPr>
            <w:tcW w:w="8388" w:type="dxa"/>
          </w:tcPr>
          <w:p w14:paraId="18707897" w14:textId="77777777" w:rsidR="00595F06" w:rsidRPr="008A6671" w:rsidRDefault="00595F06">
            <w:r w:rsidRPr="008A6671">
              <w:t>-</w:t>
            </w:r>
          </w:p>
        </w:tc>
      </w:tr>
      <w:tr w:rsidR="00595F06" w:rsidRPr="00F9458B" w14:paraId="60262195" w14:textId="77777777">
        <w:trPr>
          <w:cantSplit/>
        </w:trPr>
        <w:tc>
          <w:tcPr>
            <w:tcW w:w="1574" w:type="dxa"/>
          </w:tcPr>
          <w:p w14:paraId="759DF270" w14:textId="77777777" w:rsidR="00595F06" w:rsidRPr="008A6671" w:rsidRDefault="00595F06">
            <w:r w:rsidRPr="008A6671">
              <w:t>Additional information</w:t>
            </w:r>
          </w:p>
        </w:tc>
        <w:tc>
          <w:tcPr>
            <w:tcW w:w="8388" w:type="dxa"/>
          </w:tcPr>
          <w:p w14:paraId="476AA148" w14:textId="77777777" w:rsidR="00595F06" w:rsidRPr="008A6671" w:rsidRDefault="00595F06">
            <w:pPr>
              <w:rPr>
                <w:rFonts w:eastAsia="Calibri"/>
              </w:rPr>
            </w:pPr>
            <w:r w:rsidRPr="008A6671">
              <w:rPr>
                <w:rFonts w:eastAsia="Calibri"/>
              </w:rPr>
              <w:t>Data from this indicator will be used to interpret and provide context to other indicators including:</w:t>
            </w:r>
          </w:p>
          <w:p w14:paraId="60BA24E4" w14:textId="237BD5CD" w:rsidR="00595F06" w:rsidRPr="008A6671" w:rsidRDefault="00595F06">
            <w:r w:rsidRPr="008A6671">
              <w:rPr>
                <w:rFonts w:eastAsia="Calibri"/>
              </w:rPr>
              <w:t>P3, P5, P6, DH2 and DH3</w:t>
            </w:r>
            <w:r w:rsidR="004D3C46">
              <w:rPr>
                <w:rFonts w:eastAsia="Calibri"/>
              </w:rPr>
              <w:t>.</w:t>
            </w:r>
          </w:p>
        </w:tc>
      </w:tr>
    </w:tbl>
    <w:p w14:paraId="5EB9A572" w14:textId="77777777" w:rsidR="00595F06" w:rsidRPr="00016E85" w:rsidRDefault="00595F06">
      <w:r w:rsidRPr="008A6671">
        <w:br w:type="page"/>
      </w:r>
    </w:p>
    <w:p w14:paraId="049C5FB6" w14:textId="77777777" w:rsidR="00F9458B" w:rsidRPr="00F9458B" w:rsidRDefault="00F9458B" w:rsidP="00034E43">
      <w:pPr>
        <w:pStyle w:val="Heading1Orange"/>
      </w:pPr>
      <w:bookmarkStart w:id="57" w:name="_Toc176250622"/>
      <w:bookmarkStart w:id="58" w:name="_Toc522013916"/>
      <w:bookmarkStart w:id="59" w:name="_Toc197069396"/>
      <w:r w:rsidRPr="00F9458B">
        <w:lastRenderedPageBreak/>
        <w:t>Mental Health indicators</w:t>
      </w:r>
      <w:bookmarkEnd w:id="57"/>
      <w:bookmarkEnd w:id="58"/>
      <w:bookmarkEnd w:id="59"/>
    </w:p>
    <w:p w14:paraId="7E106E47" w14:textId="470CACCA" w:rsidR="00F9458B" w:rsidRPr="00716651" w:rsidRDefault="00F9458B" w:rsidP="00665D8A">
      <w:pPr>
        <w:pStyle w:val="Heading2"/>
      </w:pPr>
      <w:bookmarkStart w:id="60" w:name="_Toc517334521"/>
      <w:bookmarkStart w:id="61" w:name="_Toc517769806"/>
      <w:r w:rsidRPr="00716651">
        <w:t>MH</w:t>
      </w:r>
      <w:r w:rsidR="00201AE8" w:rsidRPr="00716651">
        <w:t>1</w:t>
      </w:r>
      <w:r w:rsidRPr="00716651">
        <w:t>:</w:t>
      </w:r>
      <w:bookmarkStart w:id="62" w:name="_Toc517194526"/>
      <w:bookmarkStart w:id="63" w:name="_Toc517267760"/>
      <w:r w:rsidRPr="00716651">
        <w:t xml:space="preserve"> Rate of regional population receiving PHN commissioned low intensity psychological interventions</w:t>
      </w:r>
      <w:bookmarkEnd w:id="60"/>
      <w:bookmarkEnd w:id="61"/>
      <w:bookmarkEnd w:id="62"/>
      <w:bookmarkEnd w:id="63"/>
    </w:p>
    <w:tbl>
      <w:tblPr>
        <w:tblStyle w:val="PHNTealtable"/>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4A0" w:firstRow="1" w:lastRow="0" w:firstColumn="1" w:lastColumn="0" w:noHBand="0" w:noVBand="1"/>
        <w:tblDescription w:val="This table details indicator MH1: Rate of regional population receiving PHN commissioned low intensity psychological interventions. It is comprised of two columns, and 11 rows. Column one provides the Item of the indicator, and Column two outlines the corresponding description."/>
      </w:tblPr>
      <w:tblGrid>
        <w:gridCol w:w="1571"/>
        <w:gridCol w:w="8156"/>
      </w:tblGrid>
      <w:tr w:rsidR="00F9458B" w:rsidRPr="00F9458B" w14:paraId="093173B7" w14:textId="77777777" w:rsidTr="00016E85">
        <w:trPr>
          <w:cnfStyle w:val="100000000000" w:firstRow="1" w:lastRow="0" w:firstColumn="0" w:lastColumn="0" w:oddVBand="0" w:evenVBand="0" w:oddHBand="0" w:evenHBand="0" w:firstRowFirstColumn="0" w:firstRowLastColumn="0" w:lastRowFirstColumn="0" w:lastRowLastColumn="0"/>
          <w:tblHeader/>
        </w:trPr>
        <w:tc>
          <w:tcPr>
            <w:tcW w:w="1571" w:type="dxa"/>
            <w:shd w:val="clear" w:color="auto" w:fill="153A6E"/>
          </w:tcPr>
          <w:p w14:paraId="57639D97" w14:textId="77777777" w:rsidR="00F9458B" w:rsidRPr="00716651" w:rsidRDefault="00F9458B" w:rsidP="00665D8A">
            <w:pPr>
              <w:pStyle w:val="TableHeaderWhite"/>
            </w:pPr>
            <w:r w:rsidRPr="00716651">
              <w:t>Item</w:t>
            </w:r>
          </w:p>
        </w:tc>
        <w:tc>
          <w:tcPr>
            <w:tcW w:w="8162" w:type="dxa"/>
            <w:shd w:val="clear" w:color="auto" w:fill="153A6E"/>
          </w:tcPr>
          <w:p w14:paraId="23A1972E" w14:textId="77777777" w:rsidR="00F9458B" w:rsidRPr="00716651" w:rsidRDefault="00F9458B" w:rsidP="00665D8A">
            <w:pPr>
              <w:pStyle w:val="TableHeaderWhite"/>
            </w:pPr>
            <w:r w:rsidRPr="00716651">
              <w:t>Description</w:t>
            </w:r>
          </w:p>
        </w:tc>
      </w:tr>
      <w:tr w:rsidR="00F9458B" w:rsidRPr="00F9458B" w14:paraId="6DC82CF4" w14:textId="77777777" w:rsidTr="00016E85">
        <w:trPr>
          <w:cantSplit/>
        </w:trPr>
        <w:tc>
          <w:tcPr>
            <w:tcW w:w="1571" w:type="dxa"/>
          </w:tcPr>
          <w:p w14:paraId="4930E934" w14:textId="77777777" w:rsidR="00F9458B" w:rsidRPr="008A6671" w:rsidRDefault="00F9458B" w:rsidP="00F9458B">
            <w:r w:rsidRPr="008A6671">
              <w:t>Assessment</w:t>
            </w:r>
          </w:p>
        </w:tc>
        <w:tc>
          <w:tcPr>
            <w:tcW w:w="8162" w:type="dxa"/>
          </w:tcPr>
          <w:p w14:paraId="746F52CB" w14:textId="60C5E29A" w:rsidR="00F9458B" w:rsidRPr="008A6671" w:rsidRDefault="00F9458B" w:rsidP="00F9458B">
            <w:r w:rsidRPr="008A6671">
              <w:t>Individual PHN</w:t>
            </w:r>
            <w:r w:rsidR="004D3C46">
              <w:t>.</w:t>
            </w:r>
          </w:p>
        </w:tc>
      </w:tr>
      <w:tr w:rsidR="00F9458B" w:rsidRPr="00F9458B" w14:paraId="2308D2C7" w14:textId="77777777" w:rsidTr="00016E85">
        <w:trPr>
          <w:cantSplit/>
        </w:trPr>
        <w:tc>
          <w:tcPr>
            <w:tcW w:w="1571" w:type="dxa"/>
          </w:tcPr>
          <w:p w14:paraId="33718C8B" w14:textId="77777777" w:rsidR="00F9458B" w:rsidRPr="008A6671" w:rsidRDefault="00F9458B" w:rsidP="00F9458B">
            <w:r w:rsidRPr="008A6671">
              <w:t>Reporting</w:t>
            </w:r>
          </w:p>
        </w:tc>
        <w:tc>
          <w:tcPr>
            <w:tcW w:w="8162" w:type="dxa"/>
          </w:tcPr>
          <w:p w14:paraId="26298CBC" w14:textId="4C006546" w:rsidR="00F9458B" w:rsidRPr="008A6671" w:rsidRDefault="00F9458B" w:rsidP="00F9458B">
            <w:r w:rsidRPr="008A6671">
              <w:rPr>
                <w:rFonts w:eastAsia="Calibri"/>
              </w:rPr>
              <w:t xml:space="preserve">Twelve monthly </w:t>
            </w:r>
            <w:r w:rsidR="00091D4D">
              <w:rPr>
                <w:rFonts w:eastAsia="Calibri"/>
              </w:rPr>
              <w:t xml:space="preserve">by </w:t>
            </w:r>
            <w:r w:rsidR="001E05C5">
              <w:rPr>
                <w:rFonts w:eastAsia="Calibri"/>
              </w:rPr>
              <w:t>Department</w:t>
            </w:r>
            <w:r w:rsidRPr="008A6671">
              <w:rPr>
                <w:rFonts w:eastAsia="Calibri"/>
              </w:rPr>
              <w:t xml:space="preserve"> from Primary Mental Health Care (PMHC) Minimum Data Set (MDS) Standard Reports accessed by PHNs</w:t>
            </w:r>
            <w:r w:rsidR="004D3C46">
              <w:rPr>
                <w:rFonts w:eastAsia="Calibri"/>
              </w:rPr>
              <w:t>.</w:t>
            </w:r>
          </w:p>
        </w:tc>
      </w:tr>
      <w:tr w:rsidR="00F9458B" w:rsidRPr="00F9458B" w14:paraId="0E4517E5" w14:textId="77777777" w:rsidTr="00016E85">
        <w:trPr>
          <w:cantSplit/>
        </w:trPr>
        <w:tc>
          <w:tcPr>
            <w:tcW w:w="1571" w:type="dxa"/>
          </w:tcPr>
          <w:p w14:paraId="248AE4E7" w14:textId="77777777" w:rsidR="00F9458B" w:rsidRPr="008A6671" w:rsidRDefault="00F9458B" w:rsidP="00F9458B">
            <w:r w:rsidRPr="008A6671">
              <w:t>Definition</w:t>
            </w:r>
          </w:p>
        </w:tc>
        <w:tc>
          <w:tcPr>
            <w:tcW w:w="8162" w:type="dxa"/>
          </w:tcPr>
          <w:p w14:paraId="7F7C25C4" w14:textId="4B979EF2" w:rsidR="00F9458B" w:rsidRPr="008A6671" w:rsidRDefault="00F9458B" w:rsidP="00F9458B">
            <w:pPr>
              <w:rPr>
                <w:rFonts w:eastAsia="Calibri"/>
              </w:rPr>
            </w:pPr>
            <w:r w:rsidRPr="008A6671">
              <w:rPr>
                <w:rFonts w:eastAsia="Calibri"/>
              </w:rPr>
              <w:t>Percentage of the regional population who received one or more low intensity episodes of care provided by an organisation or an individual service provider commissioned by the PHN</w:t>
            </w:r>
            <w:r w:rsidR="00F25AD7">
              <w:rPr>
                <w:rFonts w:eastAsia="Calibri"/>
              </w:rPr>
              <w:t>.</w:t>
            </w:r>
          </w:p>
          <w:p w14:paraId="58C1C4B7" w14:textId="22973DDE" w:rsidR="00F9458B" w:rsidRPr="008A6671" w:rsidRDefault="00F9458B" w:rsidP="00F9458B">
            <w:pPr>
              <w:rPr>
                <w:rFonts w:eastAsia="Calibri"/>
              </w:rPr>
            </w:pPr>
            <w:r w:rsidRPr="008A6671">
              <w:rPr>
                <w:rFonts w:eastAsia="Calibri"/>
              </w:rPr>
              <w:t>Low intensity services include cognitive behavioural therapy and other evidence</w:t>
            </w:r>
            <w:r w:rsidR="00946DB0">
              <w:rPr>
                <w:rFonts w:eastAsia="Calibri"/>
              </w:rPr>
              <w:t>-</w:t>
            </w:r>
            <w:r w:rsidRPr="008A6671">
              <w:rPr>
                <w:rFonts w:eastAsia="Calibri"/>
              </w:rPr>
              <w:t>based interventions that may be delivered by health professionals or non-mental health workers who have received specific training and work in a supervised arrangement with a qualified mental health professional. These services should be easy to access, high quality services that people can access directly, with or without needing a referral, and are generally provided at a lower cost than more traditional forms of mental health treatment</w:t>
            </w:r>
            <w:r w:rsidR="00F25AD7">
              <w:rPr>
                <w:rFonts w:eastAsia="Calibri"/>
              </w:rPr>
              <w:t>.</w:t>
            </w:r>
          </w:p>
          <w:p w14:paraId="1CA48BB5" w14:textId="549BD281" w:rsidR="00F9458B" w:rsidRPr="008A6671" w:rsidRDefault="00F9458B" w:rsidP="00F9458B">
            <w:pPr>
              <w:rPr>
                <w:rFonts w:eastAsia="Calibri"/>
              </w:rPr>
            </w:pPr>
            <w:r w:rsidRPr="008A6671">
              <w:rPr>
                <w:rFonts w:eastAsia="Calibri"/>
              </w:rPr>
              <w:t>Services can be provided individually or in groups either face-to-face, by telephone or online</w:t>
            </w:r>
            <w:r w:rsidR="00F25AD7">
              <w:rPr>
                <w:rFonts w:eastAsia="Calibri"/>
              </w:rPr>
              <w:t>.</w:t>
            </w:r>
          </w:p>
          <w:p w14:paraId="6F904F74" w14:textId="78E78164" w:rsidR="00F9458B" w:rsidRPr="008A6671" w:rsidRDefault="00F9458B" w:rsidP="00F9458B">
            <w:pPr>
              <w:rPr>
                <w:rFonts w:eastAsia="Calibri"/>
              </w:rPr>
            </w:pPr>
            <w:proofErr w:type="gramStart"/>
            <w:r w:rsidRPr="008A6671">
              <w:rPr>
                <w:rFonts w:eastAsia="Calibri"/>
              </w:rPr>
              <w:t>Particular groups</w:t>
            </w:r>
            <w:proofErr w:type="gramEnd"/>
            <w:r w:rsidRPr="008A6671">
              <w:rPr>
                <w:rFonts w:eastAsia="Calibri"/>
              </w:rPr>
              <w:t xml:space="preserve"> in the region may be targeted for low intensity services</w:t>
            </w:r>
            <w:r w:rsidR="00974738">
              <w:rPr>
                <w:rFonts w:eastAsia="Calibri"/>
              </w:rPr>
              <w:t>.</w:t>
            </w:r>
          </w:p>
        </w:tc>
      </w:tr>
      <w:tr w:rsidR="00F9458B" w:rsidRPr="00F9458B" w14:paraId="2C24771B" w14:textId="77777777" w:rsidTr="00016E85">
        <w:trPr>
          <w:cantSplit/>
        </w:trPr>
        <w:tc>
          <w:tcPr>
            <w:tcW w:w="1571" w:type="dxa"/>
          </w:tcPr>
          <w:p w14:paraId="0BB25E52" w14:textId="77777777" w:rsidR="00F9458B" w:rsidRPr="008A6671" w:rsidRDefault="00F9458B" w:rsidP="00F9458B">
            <w:r w:rsidRPr="008A6671">
              <w:t>Purpose</w:t>
            </w:r>
          </w:p>
        </w:tc>
        <w:tc>
          <w:tcPr>
            <w:tcW w:w="8162" w:type="dxa"/>
          </w:tcPr>
          <w:p w14:paraId="54D9371F" w14:textId="645BD40F" w:rsidR="00F9458B" w:rsidRPr="008A6671" w:rsidRDefault="00F9458B" w:rsidP="00F9458B">
            <w:pPr>
              <w:rPr>
                <w:rFonts w:eastAsia="Calibri"/>
              </w:rPr>
            </w:pPr>
            <w:r w:rsidRPr="008A6671">
              <w:rPr>
                <w:rFonts w:eastAsia="Calibri"/>
              </w:rPr>
              <w:t>A driving factor underpinning the development of low intensity mental health services is to increase overall community access to evidence based psychological interventions for people with, or at risk of, mild mental illness who do not require traditional services. Increasing access to low intensity services is fundamental to building a stepped care model of mental health service delivery</w:t>
            </w:r>
            <w:r w:rsidR="00974738">
              <w:rPr>
                <w:rFonts w:eastAsia="Calibri"/>
              </w:rPr>
              <w:t>.</w:t>
            </w:r>
          </w:p>
        </w:tc>
      </w:tr>
      <w:tr w:rsidR="00F9458B" w:rsidRPr="00F9458B" w14:paraId="0E5ACD2B" w14:textId="77777777" w:rsidTr="00016E85">
        <w:trPr>
          <w:cantSplit/>
        </w:trPr>
        <w:tc>
          <w:tcPr>
            <w:tcW w:w="1571" w:type="dxa"/>
          </w:tcPr>
          <w:p w14:paraId="0DFA0E4B" w14:textId="77777777" w:rsidR="00F9458B" w:rsidRPr="008A6671" w:rsidRDefault="00F9458B" w:rsidP="00F9458B">
            <w:r w:rsidRPr="008A6671">
              <w:t>Outcome Theme: Improving Access</w:t>
            </w:r>
          </w:p>
        </w:tc>
        <w:tc>
          <w:tcPr>
            <w:tcW w:w="8162" w:type="dxa"/>
          </w:tcPr>
          <w:p w14:paraId="4D0311A9" w14:textId="77777777" w:rsidR="00F9458B" w:rsidRPr="008A6671" w:rsidRDefault="00F9458B" w:rsidP="00F9458B">
            <w:pPr>
              <w:rPr>
                <w:rFonts w:eastAsia="Calibri"/>
              </w:rPr>
            </w:pPr>
            <w:r w:rsidRPr="008A6671">
              <w:rPr>
                <w:rFonts w:eastAsia="Calibri"/>
              </w:rPr>
              <w:t>Outcome:</w:t>
            </w:r>
          </w:p>
          <w:p w14:paraId="09C96600" w14:textId="31E331AB" w:rsidR="00F9458B" w:rsidRPr="008A6671" w:rsidRDefault="00F9458B" w:rsidP="00F9458B">
            <w:pPr>
              <w:rPr>
                <w:rFonts w:eastAsia="Calibri"/>
              </w:rPr>
            </w:pPr>
            <w:r w:rsidRPr="008A6671">
              <w:rPr>
                <w:rFonts w:eastAsia="Calibri"/>
              </w:rPr>
              <w:t>People in PHN region access mental health services appropriate to their individual needs</w:t>
            </w:r>
            <w:r w:rsidR="00974738">
              <w:rPr>
                <w:rFonts w:eastAsia="Calibri"/>
              </w:rPr>
              <w:t>.</w:t>
            </w:r>
          </w:p>
        </w:tc>
      </w:tr>
      <w:tr w:rsidR="00F9458B" w:rsidRPr="00F9458B" w14:paraId="3729329E" w14:textId="77777777" w:rsidTr="00016E85">
        <w:trPr>
          <w:cantSplit/>
        </w:trPr>
        <w:tc>
          <w:tcPr>
            <w:tcW w:w="1571" w:type="dxa"/>
          </w:tcPr>
          <w:p w14:paraId="4C7DA2D1" w14:textId="77777777" w:rsidR="00F9458B" w:rsidRPr="008A6671" w:rsidRDefault="00F9458B" w:rsidP="00F9458B">
            <w:r w:rsidRPr="008A6671">
              <w:t>Performance Criteria</w:t>
            </w:r>
          </w:p>
        </w:tc>
        <w:tc>
          <w:tcPr>
            <w:tcW w:w="8162" w:type="dxa"/>
          </w:tcPr>
          <w:p w14:paraId="0ADC0E9C" w14:textId="42CEAC1B" w:rsidR="00F9458B" w:rsidRPr="008A6671" w:rsidRDefault="00A6174B" w:rsidP="56ADF044">
            <w:pPr>
              <w:rPr>
                <w:rFonts w:eastAsia="Calibri"/>
              </w:rPr>
            </w:pPr>
            <w:r w:rsidRPr="008A6671">
              <w:rPr>
                <w:rFonts w:eastAsia="Calibri"/>
              </w:rPr>
              <w:t xml:space="preserve">At least 5% growth in number of people accessing </w:t>
            </w:r>
            <w:r w:rsidR="002B3B48">
              <w:rPr>
                <w:rFonts w:eastAsia="Calibri"/>
              </w:rPr>
              <w:t>l</w:t>
            </w:r>
            <w:r w:rsidRPr="008A6671">
              <w:rPr>
                <w:rFonts w:eastAsia="Calibri"/>
              </w:rPr>
              <w:t xml:space="preserve">ow </w:t>
            </w:r>
            <w:r w:rsidR="002B3B48">
              <w:rPr>
                <w:rFonts w:eastAsia="Calibri"/>
              </w:rPr>
              <w:t>i</w:t>
            </w:r>
            <w:r w:rsidRPr="008A6671">
              <w:rPr>
                <w:rFonts w:eastAsia="Calibri"/>
              </w:rPr>
              <w:t>ntensity episodes compared with previous year, or where service capacity has been reached, a maintenance of the previous year's rate</w:t>
            </w:r>
            <w:r w:rsidR="00974738">
              <w:rPr>
                <w:rFonts w:eastAsia="Calibri"/>
              </w:rPr>
              <w:t>.</w:t>
            </w:r>
          </w:p>
        </w:tc>
      </w:tr>
      <w:tr w:rsidR="00F9458B" w:rsidRPr="00F9458B" w14:paraId="0DA4126C" w14:textId="77777777" w:rsidTr="00016E85">
        <w:trPr>
          <w:cantSplit/>
        </w:trPr>
        <w:tc>
          <w:tcPr>
            <w:tcW w:w="1571" w:type="dxa"/>
          </w:tcPr>
          <w:p w14:paraId="428796DD" w14:textId="77777777" w:rsidR="00F9458B" w:rsidRPr="008A6671" w:rsidRDefault="00F9458B" w:rsidP="00F9458B">
            <w:r w:rsidRPr="008A6671">
              <w:t>Data Source</w:t>
            </w:r>
          </w:p>
        </w:tc>
        <w:tc>
          <w:tcPr>
            <w:tcW w:w="8162" w:type="dxa"/>
          </w:tcPr>
          <w:p w14:paraId="66B3705A" w14:textId="24CCB03D" w:rsidR="00F9458B" w:rsidRPr="008A6671" w:rsidRDefault="00F9458B" w:rsidP="00F9458B">
            <w:pPr>
              <w:rPr>
                <w:rFonts w:eastAsia="Calibri"/>
              </w:rPr>
            </w:pPr>
            <w:r w:rsidRPr="008A6671">
              <w:rPr>
                <w:rFonts w:eastAsia="Calibri"/>
              </w:rPr>
              <w:t>MH Schedule reporting – Indicator Acc-1</w:t>
            </w:r>
            <w:r w:rsidR="00F25AD7">
              <w:rPr>
                <w:rFonts w:eastAsia="Calibri"/>
              </w:rPr>
              <w:t>.</w:t>
            </w:r>
          </w:p>
          <w:p w14:paraId="0CEA2542" w14:textId="6F1710B3" w:rsidR="00F9458B" w:rsidRPr="008A6671" w:rsidRDefault="00F9458B" w:rsidP="00F9458B">
            <w:pPr>
              <w:rPr>
                <w:rFonts w:eastAsia="Calibri"/>
              </w:rPr>
            </w:pPr>
            <w:r w:rsidRPr="008A6671">
              <w:rPr>
                <w:rFonts w:eastAsia="Calibri"/>
              </w:rPr>
              <w:t>Constructed from PMHC MDS (numerator) and ABS Estimated Resident Population (denominator</w:t>
            </w:r>
            <w:r w:rsidRPr="008E5D2E">
              <w:rPr>
                <w:rFonts w:eastAsia="Calibri"/>
              </w:rPr>
              <w:t>)</w:t>
            </w:r>
            <w:r w:rsidR="00974738">
              <w:rPr>
                <w:rFonts w:eastAsia="Calibri"/>
              </w:rPr>
              <w:t>.</w:t>
            </w:r>
          </w:p>
        </w:tc>
      </w:tr>
      <w:tr w:rsidR="00F9458B" w:rsidRPr="00F9458B" w14:paraId="584AD6D4" w14:textId="77777777" w:rsidTr="00016E85">
        <w:trPr>
          <w:cantSplit/>
        </w:trPr>
        <w:tc>
          <w:tcPr>
            <w:tcW w:w="1571" w:type="dxa"/>
          </w:tcPr>
          <w:p w14:paraId="6A636A9C" w14:textId="77777777" w:rsidR="00F9458B" w:rsidRPr="008A6671" w:rsidRDefault="00F9458B" w:rsidP="00F9458B">
            <w:r w:rsidRPr="008A6671">
              <w:lastRenderedPageBreak/>
              <w:t>Calculation</w:t>
            </w:r>
          </w:p>
        </w:tc>
        <w:tc>
          <w:tcPr>
            <w:tcW w:w="8162" w:type="dxa"/>
          </w:tcPr>
          <w:p w14:paraId="02FDD76A" w14:textId="77777777" w:rsidR="00F9458B" w:rsidRPr="008A6671" w:rsidRDefault="00F9458B" w:rsidP="00F9458B">
            <w:pPr>
              <w:rPr>
                <w:rFonts w:eastAsia="Calibri"/>
              </w:rPr>
            </w:pPr>
            <w:r w:rsidRPr="008A6671">
              <w:rPr>
                <w:rFonts w:eastAsia="Calibri"/>
              </w:rPr>
              <w:t>Numerator:</w:t>
            </w:r>
          </w:p>
          <w:p w14:paraId="5F3DB0D5" w14:textId="04AFB25A" w:rsidR="00F9458B" w:rsidRPr="008A6671" w:rsidRDefault="00F9458B" w:rsidP="00F9458B">
            <w:pPr>
              <w:rPr>
                <w:rFonts w:eastAsia="Calibri"/>
              </w:rPr>
            </w:pPr>
            <w:r w:rsidRPr="008A6671">
              <w:rPr>
                <w:rFonts w:eastAsia="Calibri"/>
              </w:rPr>
              <w:t>Number of people who received one or more episodes of care classified as low intensity from a PHN commissioned organisation or individual service provider</w:t>
            </w:r>
            <w:r w:rsidR="00F25AD7">
              <w:rPr>
                <w:rFonts w:eastAsia="Calibri"/>
              </w:rPr>
              <w:t>.</w:t>
            </w:r>
          </w:p>
          <w:p w14:paraId="5CB5C57A" w14:textId="77777777" w:rsidR="00F9458B" w:rsidRPr="008A6671" w:rsidRDefault="00F9458B" w:rsidP="00F9458B">
            <w:pPr>
              <w:rPr>
                <w:rFonts w:eastAsia="Calibri"/>
              </w:rPr>
            </w:pPr>
            <w:r w:rsidRPr="008A6671">
              <w:rPr>
                <w:rFonts w:eastAsia="Calibri"/>
              </w:rPr>
              <w:t>Denominator:</w:t>
            </w:r>
          </w:p>
          <w:p w14:paraId="4465D1F4" w14:textId="6359EAF4" w:rsidR="00F9458B" w:rsidRPr="008A6671" w:rsidRDefault="00F9458B" w:rsidP="00F9458B">
            <w:pPr>
              <w:rPr>
                <w:rFonts w:eastAsia="Calibri"/>
              </w:rPr>
            </w:pPr>
            <w:r w:rsidRPr="008A6671">
              <w:rPr>
                <w:rFonts w:eastAsia="Calibri"/>
              </w:rPr>
              <w:t>Total population residing in the region in the reporting period</w:t>
            </w:r>
            <w:r w:rsidR="00F25AD7">
              <w:rPr>
                <w:rFonts w:eastAsia="Calibri"/>
              </w:rPr>
              <w:t>.</w:t>
            </w:r>
          </w:p>
          <w:p w14:paraId="1134686B" w14:textId="77777777" w:rsidR="00F9458B" w:rsidRPr="008A6671" w:rsidRDefault="00F9458B" w:rsidP="00F9458B">
            <w:pPr>
              <w:rPr>
                <w:rFonts w:eastAsia="Calibri"/>
              </w:rPr>
            </w:pPr>
            <w:r w:rsidRPr="008A6671">
              <w:rPr>
                <w:rFonts w:eastAsia="Calibri"/>
              </w:rPr>
              <w:t>Computation:</w:t>
            </w:r>
          </w:p>
          <w:p w14:paraId="22967E21" w14:textId="31F9B304" w:rsidR="00F9458B" w:rsidRPr="008A6671" w:rsidRDefault="00F9458B" w:rsidP="00F9458B">
            <w:pPr>
              <w:rPr>
                <w:rFonts w:eastAsia="Calibri"/>
              </w:rPr>
            </w:pPr>
            <w:r w:rsidRPr="008A6671">
              <w:rPr>
                <w:rFonts w:eastAsia="Calibri"/>
              </w:rPr>
              <w:t>100 x (numerator / denominator</w:t>
            </w:r>
            <w:r w:rsidRPr="008E5D2E">
              <w:rPr>
                <w:rFonts w:eastAsia="Calibri"/>
              </w:rPr>
              <w:t>)</w:t>
            </w:r>
            <w:r w:rsidR="00F25AD7">
              <w:rPr>
                <w:rFonts w:eastAsia="Calibri"/>
              </w:rPr>
              <w:t>.</w:t>
            </w:r>
          </w:p>
          <w:p w14:paraId="027186BE" w14:textId="4DE3FCEE" w:rsidR="00F9458B" w:rsidRPr="008A6671" w:rsidRDefault="00F9458B" w:rsidP="00F9458B">
            <w:pPr>
              <w:rPr>
                <w:rFonts w:eastAsia="Calibri"/>
              </w:rPr>
            </w:pPr>
            <w:r w:rsidRPr="008A6671">
              <w:rPr>
                <w:rFonts w:eastAsia="Calibri"/>
              </w:rPr>
              <w:t>*May be presented as a rate per targeted age cohort in PHN region</w:t>
            </w:r>
            <w:r w:rsidR="00974738">
              <w:rPr>
                <w:rFonts w:eastAsia="Calibri"/>
              </w:rPr>
              <w:t>.</w:t>
            </w:r>
          </w:p>
        </w:tc>
      </w:tr>
      <w:tr w:rsidR="00F9458B" w:rsidRPr="00F9458B" w14:paraId="2F0F9D57" w14:textId="77777777" w:rsidTr="00016E85">
        <w:trPr>
          <w:cantSplit/>
        </w:trPr>
        <w:tc>
          <w:tcPr>
            <w:tcW w:w="1571" w:type="dxa"/>
          </w:tcPr>
          <w:p w14:paraId="4A205883" w14:textId="77777777" w:rsidR="00F9458B" w:rsidRPr="008A6671" w:rsidRDefault="00F9458B" w:rsidP="00F9458B">
            <w:r w:rsidRPr="008A6671">
              <w:t>Limitations</w:t>
            </w:r>
          </w:p>
        </w:tc>
        <w:tc>
          <w:tcPr>
            <w:tcW w:w="8162" w:type="dxa"/>
          </w:tcPr>
          <w:p w14:paraId="55F06DBC" w14:textId="3E6B0BE1" w:rsidR="00F9458B" w:rsidRPr="008A6671" w:rsidRDefault="00F9458B" w:rsidP="00F9458B">
            <w:pPr>
              <w:rPr>
                <w:rFonts w:eastAsia="Calibri"/>
              </w:rPr>
            </w:pPr>
            <w:r w:rsidRPr="008A6671">
              <w:rPr>
                <w:rFonts w:eastAsia="Calibri"/>
              </w:rPr>
              <w:t>Unique counting of persons and episodes is at the Provider Organisation level, not region. It is possible therefore that a person receiving an episode of care by more than one organisation within the region, or from another PHN region, will be counted more than once</w:t>
            </w:r>
            <w:r w:rsidR="00F25AD7">
              <w:rPr>
                <w:rFonts w:eastAsia="Calibri"/>
              </w:rPr>
              <w:t>.</w:t>
            </w:r>
          </w:p>
          <w:p w14:paraId="03AE9E77" w14:textId="2BB39347" w:rsidR="00F9458B" w:rsidRPr="008A6671" w:rsidRDefault="00F9458B" w:rsidP="00D369DA">
            <w:pPr>
              <w:rPr>
                <w:rFonts w:eastAsia="Calibri"/>
              </w:rPr>
            </w:pPr>
            <w:r w:rsidRPr="008A6671">
              <w:rPr>
                <w:rFonts w:eastAsia="Calibri"/>
              </w:rPr>
              <w:t>PHNs may fund services for individuals who live in other regions. The indicator specification does not adjust for this</w:t>
            </w:r>
            <w:r w:rsidR="00F25AD7">
              <w:rPr>
                <w:rFonts w:eastAsia="Calibri"/>
              </w:rPr>
              <w:t>.</w:t>
            </w:r>
          </w:p>
          <w:p w14:paraId="5D01F48D" w14:textId="2325CAC9" w:rsidR="00F9458B" w:rsidRPr="008A6671" w:rsidRDefault="00F9458B" w:rsidP="00D369DA">
            <w:r w:rsidRPr="008A6671">
              <w:rPr>
                <w:rFonts w:eastAsia="Calibri"/>
              </w:rPr>
              <w:t>This indicator looks only at service provision funded by the PHN and does not take account of the role of other primary care funding streams in overall service delivery to the regional population. The role of mental health treatment accessed through the MBS is the most significant, and to a lesser extent, service delivery by specialist mental health services funded by state and territory governments</w:t>
            </w:r>
            <w:r w:rsidR="00974738">
              <w:rPr>
                <w:rFonts w:eastAsia="Calibri"/>
              </w:rPr>
              <w:t>.</w:t>
            </w:r>
          </w:p>
        </w:tc>
      </w:tr>
      <w:tr w:rsidR="00F9458B" w:rsidRPr="00F9458B" w14:paraId="0414A241" w14:textId="77777777" w:rsidTr="00016E85">
        <w:trPr>
          <w:cantSplit/>
        </w:trPr>
        <w:tc>
          <w:tcPr>
            <w:tcW w:w="1571" w:type="dxa"/>
          </w:tcPr>
          <w:p w14:paraId="0513DD76" w14:textId="77777777" w:rsidR="00F9458B" w:rsidRPr="008A6671" w:rsidRDefault="00F9458B" w:rsidP="00F9458B">
            <w:r w:rsidRPr="008A6671">
              <w:t>Additional information</w:t>
            </w:r>
          </w:p>
        </w:tc>
        <w:tc>
          <w:tcPr>
            <w:tcW w:w="8162" w:type="dxa"/>
          </w:tcPr>
          <w:p w14:paraId="6623BCF3" w14:textId="0524A225" w:rsidR="00F9458B" w:rsidRPr="008A6671" w:rsidRDefault="00F9458B" w:rsidP="00F9458B">
            <w:r w:rsidRPr="008A6671">
              <w:rPr>
                <w:rFonts w:eastAsia="Calibri"/>
              </w:rPr>
              <w:t xml:space="preserve">See </w:t>
            </w:r>
            <w:hyperlink r:id="rId14" w:history="1">
              <w:r w:rsidR="00ED59AA" w:rsidRPr="006C1F64">
                <w:rPr>
                  <w:rStyle w:val="Hyperlink"/>
                </w:rPr>
                <w:t>PMHC-MDS Data Specification</w:t>
              </w:r>
            </w:hyperlink>
            <w:r w:rsidR="00974738" w:rsidRPr="00665D8A">
              <w:rPr>
                <w:rStyle w:val="Hyperlink"/>
              </w:rPr>
              <w:t>.</w:t>
            </w:r>
          </w:p>
        </w:tc>
      </w:tr>
    </w:tbl>
    <w:p w14:paraId="1351F3F9" w14:textId="1298F7B4" w:rsidR="00F9458B" w:rsidRPr="00716651" w:rsidRDefault="00F9458B" w:rsidP="00665D8A">
      <w:pPr>
        <w:pStyle w:val="Heading2"/>
      </w:pPr>
      <w:bookmarkStart w:id="64" w:name="_Toc517194527"/>
      <w:bookmarkStart w:id="65" w:name="_Toc517267761"/>
      <w:bookmarkStart w:id="66" w:name="_Toc517334522"/>
      <w:bookmarkStart w:id="67" w:name="_Toc517769807"/>
      <w:r w:rsidRPr="00716651">
        <w:t>MH</w:t>
      </w:r>
      <w:r w:rsidR="003D7A77" w:rsidRPr="00716651">
        <w:t>2</w:t>
      </w:r>
      <w:r w:rsidRPr="00716651">
        <w:t>: Rate of regional population receiving PHN commissioned psychological therapies delivered by mental health professionals</w:t>
      </w:r>
      <w:bookmarkEnd w:id="64"/>
      <w:bookmarkEnd w:id="65"/>
      <w:bookmarkEnd w:id="66"/>
      <w:bookmarkEnd w:id="67"/>
    </w:p>
    <w:tbl>
      <w:tblPr>
        <w:tblStyle w:val="PHNTealtable"/>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4A0" w:firstRow="1" w:lastRow="0" w:firstColumn="1" w:lastColumn="0" w:noHBand="0" w:noVBand="1"/>
        <w:tblDescription w:val="This table details indicator MH2: Rate of regional population reciving PHN commissionined psychological therapies delivered by mental health professionals. It is comprised of two columns, and 11 rows. Column one provides the Item of the indicator, and Column two outlines the corresponding description."/>
      </w:tblPr>
      <w:tblGrid>
        <w:gridCol w:w="1571"/>
        <w:gridCol w:w="8156"/>
      </w:tblGrid>
      <w:tr w:rsidR="00F9458B" w:rsidRPr="00F9458B" w14:paraId="414AA823" w14:textId="77777777" w:rsidTr="003A35E2">
        <w:trPr>
          <w:cnfStyle w:val="100000000000" w:firstRow="1" w:lastRow="0" w:firstColumn="0" w:lastColumn="0" w:oddVBand="0" w:evenVBand="0" w:oddHBand="0" w:evenHBand="0" w:firstRowFirstColumn="0" w:firstRowLastColumn="0" w:lastRowFirstColumn="0" w:lastRowLastColumn="0"/>
          <w:tblHeader/>
        </w:trPr>
        <w:tc>
          <w:tcPr>
            <w:tcW w:w="1571" w:type="dxa"/>
            <w:shd w:val="clear" w:color="auto" w:fill="153A6E"/>
          </w:tcPr>
          <w:p w14:paraId="4A094D41" w14:textId="77777777" w:rsidR="00F9458B" w:rsidRPr="00716651" w:rsidRDefault="00F9458B" w:rsidP="00665D8A">
            <w:pPr>
              <w:pStyle w:val="TableHeaderWhite"/>
            </w:pPr>
            <w:r w:rsidRPr="00716651">
              <w:t>Item</w:t>
            </w:r>
          </w:p>
        </w:tc>
        <w:tc>
          <w:tcPr>
            <w:tcW w:w="8162" w:type="dxa"/>
            <w:shd w:val="clear" w:color="auto" w:fill="153A6E"/>
          </w:tcPr>
          <w:p w14:paraId="61E5A07C" w14:textId="77777777" w:rsidR="00F9458B" w:rsidRPr="00716651" w:rsidRDefault="00F9458B" w:rsidP="00665D8A">
            <w:pPr>
              <w:pStyle w:val="TableHeaderWhite"/>
            </w:pPr>
            <w:r w:rsidRPr="00716651">
              <w:t>Description</w:t>
            </w:r>
          </w:p>
        </w:tc>
      </w:tr>
      <w:tr w:rsidR="00F9458B" w:rsidRPr="00F9458B" w14:paraId="1CD1F25E" w14:textId="77777777" w:rsidTr="003A35E2">
        <w:trPr>
          <w:cantSplit/>
        </w:trPr>
        <w:tc>
          <w:tcPr>
            <w:tcW w:w="1571" w:type="dxa"/>
          </w:tcPr>
          <w:p w14:paraId="6821208D" w14:textId="77777777" w:rsidR="00F9458B" w:rsidRPr="008A6671" w:rsidRDefault="00F9458B" w:rsidP="00F9458B">
            <w:r w:rsidRPr="008A6671">
              <w:t>Assessment</w:t>
            </w:r>
          </w:p>
        </w:tc>
        <w:tc>
          <w:tcPr>
            <w:tcW w:w="8162" w:type="dxa"/>
          </w:tcPr>
          <w:p w14:paraId="59EAB942" w14:textId="0A59F5CB" w:rsidR="00F9458B" w:rsidRPr="008A6671" w:rsidRDefault="00F9458B" w:rsidP="00F9458B">
            <w:r w:rsidRPr="008A6671">
              <w:t>Individual PHN</w:t>
            </w:r>
            <w:r w:rsidR="00974738">
              <w:t>.</w:t>
            </w:r>
          </w:p>
        </w:tc>
      </w:tr>
      <w:tr w:rsidR="00F9458B" w:rsidRPr="00F9458B" w14:paraId="46736077" w14:textId="77777777" w:rsidTr="003A35E2">
        <w:trPr>
          <w:cantSplit/>
        </w:trPr>
        <w:tc>
          <w:tcPr>
            <w:tcW w:w="1571" w:type="dxa"/>
          </w:tcPr>
          <w:p w14:paraId="3D4BCE60" w14:textId="77777777" w:rsidR="00F9458B" w:rsidRPr="008A6671" w:rsidRDefault="00F9458B" w:rsidP="00F9458B">
            <w:r w:rsidRPr="008A6671">
              <w:t>Reporting</w:t>
            </w:r>
          </w:p>
        </w:tc>
        <w:tc>
          <w:tcPr>
            <w:tcW w:w="8162" w:type="dxa"/>
          </w:tcPr>
          <w:p w14:paraId="203904A1" w14:textId="7F18A0E1" w:rsidR="00F9458B" w:rsidRPr="008A6671" w:rsidRDefault="00F9458B" w:rsidP="00F9458B">
            <w:r w:rsidRPr="008A6671">
              <w:rPr>
                <w:rFonts w:eastAsia="Calibri"/>
              </w:rPr>
              <w:t xml:space="preserve">Twelve monthly </w:t>
            </w:r>
            <w:r w:rsidR="00091D4D">
              <w:rPr>
                <w:rFonts w:eastAsia="Calibri"/>
              </w:rPr>
              <w:t xml:space="preserve">by </w:t>
            </w:r>
            <w:r w:rsidR="001E05C5">
              <w:rPr>
                <w:rFonts w:eastAsia="Calibri"/>
              </w:rPr>
              <w:t>Department</w:t>
            </w:r>
            <w:r w:rsidRPr="008A6671">
              <w:rPr>
                <w:rFonts w:eastAsia="Calibri"/>
              </w:rPr>
              <w:t xml:space="preserve"> from Primary Mental Health Care (PMHC) Minimum Data Set (MDS) Standard Reports accessed by PHNs</w:t>
            </w:r>
            <w:r w:rsidR="00974738">
              <w:rPr>
                <w:rFonts w:eastAsia="Calibri"/>
              </w:rPr>
              <w:t>.</w:t>
            </w:r>
          </w:p>
        </w:tc>
      </w:tr>
      <w:tr w:rsidR="00F9458B" w:rsidRPr="00F9458B" w14:paraId="20398A04" w14:textId="77777777" w:rsidTr="003A35E2">
        <w:trPr>
          <w:cantSplit/>
        </w:trPr>
        <w:tc>
          <w:tcPr>
            <w:tcW w:w="1571" w:type="dxa"/>
          </w:tcPr>
          <w:p w14:paraId="5348961D" w14:textId="77777777" w:rsidR="00F9458B" w:rsidRPr="008A6671" w:rsidRDefault="00F9458B" w:rsidP="00F9458B">
            <w:r w:rsidRPr="008A6671">
              <w:t>Definition</w:t>
            </w:r>
          </w:p>
        </w:tc>
        <w:tc>
          <w:tcPr>
            <w:tcW w:w="8162" w:type="dxa"/>
          </w:tcPr>
          <w:p w14:paraId="22B3AB0E" w14:textId="31A36C43" w:rsidR="00F9458B" w:rsidRPr="008A6671" w:rsidRDefault="00F9458B" w:rsidP="00F9458B">
            <w:pPr>
              <w:rPr>
                <w:rFonts w:eastAsia="Calibri"/>
              </w:rPr>
            </w:pPr>
            <w:r w:rsidRPr="008A6671">
              <w:rPr>
                <w:rFonts w:eastAsia="Calibri"/>
              </w:rPr>
              <w:t>Percentage of the regional population who received one or more psychological therapy episodes of care provided by an organisation or an individual service provider commissioned by the PHN</w:t>
            </w:r>
            <w:r w:rsidR="00F25AD7">
              <w:rPr>
                <w:rFonts w:eastAsia="Calibri"/>
              </w:rPr>
              <w:t>.</w:t>
            </w:r>
          </w:p>
          <w:p w14:paraId="61B60DBA" w14:textId="657D06C7" w:rsidR="00F9458B" w:rsidRPr="008A6671" w:rsidRDefault="00F9458B" w:rsidP="00F9458B">
            <w:r w:rsidRPr="008A6671">
              <w:rPr>
                <w:rFonts w:eastAsia="Calibri"/>
              </w:rPr>
              <w:t>Psychological therapies are delivered by qualified mental health professionals. Referral from a GP, psychiatrist or paediatrician is usually required, but service provision may commence with a provisional referral. These may have been provided face-to-face (either individually or in a group), by telephone or online on the proviso that this was a personalised service</w:t>
            </w:r>
            <w:r w:rsidR="00974738">
              <w:rPr>
                <w:rFonts w:eastAsia="Calibri"/>
              </w:rPr>
              <w:t>.</w:t>
            </w:r>
          </w:p>
        </w:tc>
      </w:tr>
      <w:tr w:rsidR="00F9458B" w:rsidRPr="00F9458B" w14:paraId="64C24FBD" w14:textId="77777777" w:rsidTr="003A35E2">
        <w:trPr>
          <w:cantSplit/>
        </w:trPr>
        <w:tc>
          <w:tcPr>
            <w:tcW w:w="1571" w:type="dxa"/>
          </w:tcPr>
          <w:p w14:paraId="5A706F14" w14:textId="77777777" w:rsidR="00F9458B" w:rsidRPr="008A6671" w:rsidRDefault="00F9458B" w:rsidP="00F9458B">
            <w:r w:rsidRPr="008A6671">
              <w:lastRenderedPageBreak/>
              <w:t>Purpose</w:t>
            </w:r>
          </w:p>
        </w:tc>
        <w:tc>
          <w:tcPr>
            <w:tcW w:w="8162" w:type="dxa"/>
          </w:tcPr>
          <w:p w14:paraId="266231E0" w14:textId="0879E23A" w:rsidR="00F9458B" w:rsidRPr="008A6671" w:rsidRDefault="00F9458B" w:rsidP="00F9458B">
            <w:pPr>
              <w:rPr>
                <w:rFonts w:eastAsia="Calibri"/>
              </w:rPr>
            </w:pPr>
            <w:r w:rsidRPr="008A6671">
              <w:rPr>
                <w:rFonts w:eastAsia="Calibri"/>
              </w:rPr>
              <w:t xml:space="preserve">Flexible funding has been provided to allow PHNs to reduce service gaps and inequities across the region by commissioning mental health services targeting selected underserviced populations. These services are to be provided both where there are </w:t>
            </w:r>
            <w:proofErr w:type="gramStart"/>
            <w:r w:rsidRPr="008A6671">
              <w:rPr>
                <w:rFonts w:eastAsia="Calibri"/>
              </w:rPr>
              <w:t>limited</w:t>
            </w:r>
            <w:proofErr w:type="gramEnd"/>
            <w:r w:rsidRPr="008A6671">
              <w:rPr>
                <w:rFonts w:eastAsia="Calibri"/>
              </w:rPr>
              <w:t xml:space="preserve"> or not easily accessible Medicare Benefits Schedule subsidised psychological services or to </w:t>
            </w:r>
            <w:proofErr w:type="gramStart"/>
            <w:r w:rsidRPr="008A6671">
              <w:rPr>
                <w:rFonts w:eastAsia="Calibri"/>
              </w:rPr>
              <w:t>particular subpopulations</w:t>
            </w:r>
            <w:proofErr w:type="gramEnd"/>
            <w:r w:rsidRPr="008A6671">
              <w:rPr>
                <w:rFonts w:eastAsia="Calibri"/>
              </w:rPr>
              <w:t xml:space="preserve"> that are not accessing available services to the same extent as the general population</w:t>
            </w:r>
            <w:r w:rsidR="00F25AD7">
              <w:rPr>
                <w:rFonts w:eastAsia="Calibri"/>
              </w:rPr>
              <w:t>.</w:t>
            </w:r>
          </w:p>
          <w:p w14:paraId="20202F86" w14:textId="6D4E9FA3" w:rsidR="00F9458B" w:rsidRPr="008A6671" w:rsidRDefault="00F9458B" w:rsidP="00F9458B">
            <w:pPr>
              <w:rPr>
                <w:rFonts w:eastAsia="Calibri"/>
              </w:rPr>
            </w:pPr>
            <w:r w:rsidRPr="008A6671">
              <w:rPr>
                <w:rFonts w:eastAsia="Calibri"/>
              </w:rPr>
              <w:t xml:space="preserve">These services are primarily focussed on people with mild and moderate mental illness, who are not clinically suited to lower intensity services, </w:t>
            </w:r>
            <w:proofErr w:type="gramStart"/>
            <w:r w:rsidRPr="008A6671">
              <w:rPr>
                <w:rFonts w:eastAsia="Calibri"/>
              </w:rPr>
              <w:t>and also</w:t>
            </w:r>
            <w:proofErr w:type="gramEnd"/>
            <w:r w:rsidRPr="008A6671">
              <w:rPr>
                <w:rFonts w:eastAsia="Calibri"/>
              </w:rPr>
              <w:t xml:space="preserve"> people with severe mental illness </w:t>
            </w:r>
            <w:r w:rsidR="002B3B48">
              <w:rPr>
                <w:rFonts w:eastAsia="Calibri"/>
              </w:rPr>
              <w:t xml:space="preserve">who </w:t>
            </w:r>
            <w:r w:rsidRPr="008A6671">
              <w:rPr>
                <w:rFonts w:eastAsia="Calibri"/>
              </w:rPr>
              <w:t>may benefit from psychological therapy as part of their care</w:t>
            </w:r>
            <w:r w:rsidR="00F25AD7">
              <w:rPr>
                <w:rFonts w:eastAsia="Calibri"/>
              </w:rPr>
              <w:t>.</w:t>
            </w:r>
          </w:p>
          <w:p w14:paraId="0DCBF6A8" w14:textId="78AD44CD" w:rsidR="00F9458B" w:rsidRPr="008A6671" w:rsidRDefault="00F9458B" w:rsidP="00F9458B">
            <w:pPr>
              <w:rPr>
                <w:rFonts w:eastAsia="Calibri"/>
              </w:rPr>
            </w:pPr>
            <w:r w:rsidRPr="008A6671">
              <w:rPr>
                <w:rFonts w:eastAsia="Calibri"/>
              </w:rPr>
              <w:t>Groups that may be targeted include traditionally hard-to-reach subpopulations, such as people experiencing or at risk of homelessness, people living in more remote communities</w:t>
            </w:r>
            <w:r w:rsidR="0056629A">
              <w:rPr>
                <w:rFonts w:eastAsia="Calibri"/>
              </w:rPr>
              <w:t>,</w:t>
            </w:r>
            <w:r w:rsidRPr="008A6671">
              <w:rPr>
                <w:rFonts w:eastAsia="Calibri"/>
              </w:rPr>
              <w:t xml:space="preserve"> </w:t>
            </w:r>
            <w:r w:rsidR="009D5C3D" w:rsidRPr="008A6671">
              <w:rPr>
                <w:rFonts w:eastAsia="Calibri"/>
              </w:rPr>
              <w:t>First Nations</w:t>
            </w:r>
            <w:r w:rsidRPr="008A6671">
              <w:rPr>
                <w:rFonts w:eastAsia="Calibri"/>
              </w:rPr>
              <w:t xml:space="preserve"> people, Culturally and Linguistically Diverse (CALD) people, those who have experienced trauma or abuse, and women experiencing perinatal depression. Determination of target groups will depend upon local needs and prioritisation of activity within regions</w:t>
            </w:r>
            <w:r w:rsidR="00974738">
              <w:rPr>
                <w:rFonts w:eastAsia="Calibri"/>
              </w:rPr>
              <w:t>.</w:t>
            </w:r>
          </w:p>
        </w:tc>
      </w:tr>
      <w:tr w:rsidR="00F9458B" w:rsidRPr="00F9458B" w14:paraId="3FD123B3" w14:textId="77777777" w:rsidTr="003A35E2">
        <w:trPr>
          <w:cantSplit/>
        </w:trPr>
        <w:tc>
          <w:tcPr>
            <w:tcW w:w="1571" w:type="dxa"/>
          </w:tcPr>
          <w:p w14:paraId="0D79F528" w14:textId="77777777" w:rsidR="00F9458B" w:rsidRPr="008A6671" w:rsidRDefault="00F9458B" w:rsidP="00F9458B">
            <w:r w:rsidRPr="008A6671">
              <w:t>Outcome Theme: Improving Access</w:t>
            </w:r>
          </w:p>
        </w:tc>
        <w:tc>
          <w:tcPr>
            <w:tcW w:w="8162" w:type="dxa"/>
          </w:tcPr>
          <w:p w14:paraId="1ABEBDCD" w14:textId="77777777" w:rsidR="00F9458B" w:rsidRPr="008A6671" w:rsidRDefault="00F9458B" w:rsidP="00F9458B">
            <w:pPr>
              <w:rPr>
                <w:rFonts w:eastAsia="Calibri"/>
              </w:rPr>
            </w:pPr>
            <w:r w:rsidRPr="008A6671">
              <w:rPr>
                <w:rFonts w:eastAsia="Calibri"/>
              </w:rPr>
              <w:t>Outcome:</w:t>
            </w:r>
          </w:p>
          <w:p w14:paraId="228412C7" w14:textId="7930E429" w:rsidR="00F9458B" w:rsidRPr="008A6671" w:rsidRDefault="00F9458B" w:rsidP="00F9458B">
            <w:r w:rsidRPr="008A6671">
              <w:rPr>
                <w:rFonts w:eastAsia="Calibri"/>
              </w:rPr>
              <w:t>People in PHN region access mental health services appropriate to their individual needs</w:t>
            </w:r>
            <w:r w:rsidR="00974738">
              <w:rPr>
                <w:rFonts w:eastAsia="Calibri"/>
              </w:rPr>
              <w:t>.</w:t>
            </w:r>
          </w:p>
        </w:tc>
      </w:tr>
      <w:tr w:rsidR="00455A8C" w:rsidRPr="00F9458B" w14:paraId="123EC863" w14:textId="77777777" w:rsidTr="003A35E2">
        <w:trPr>
          <w:cantSplit/>
        </w:trPr>
        <w:tc>
          <w:tcPr>
            <w:tcW w:w="1571" w:type="dxa"/>
          </w:tcPr>
          <w:p w14:paraId="555367D6" w14:textId="77777777" w:rsidR="00455A8C" w:rsidRPr="008A6671" w:rsidRDefault="00455A8C" w:rsidP="00F9458B">
            <w:r w:rsidRPr="008A6671">
              <w:t>Performance Criteria</w:t>
            </w:r>
          </w:p>
        </w:tc>
        <w:tc>
          <w:tcPr>
            <w:tcW w:w="8162" w:type="dxa"/>
          </w:tcPr>
          <w:p w14:paraId="7BC36676" w14:textId="1F667624" w:rsidR="00455A8C" w:rsidRPr="008A6671" w:rsidRDefault="00455A8C" w:rsidP="00A94182">
            <w:r w:rsidRPr="008A6671">
              <w:rPr>
                <w:rFonts w:eastAsia="Calibri"/>
              </w:rPr>
              <w:t xml:space="preserve">At least 5% growth in number of people accessing </w:t>
            </w:r>
            <w:r w:rsidR="0056629A">
              <w:rPr>
                <w:rFonts w:eastAsia="Calibri"/>
              </w:rPr>
              <w:t>p</w:t>
            </w:r>
            <w:r w:rsidRPr="008A6671">
              <w:rPr>
                <w:rFonts w:eastAsia="Calibri"/>
              </w:rPr>
              <w:t xml:space="preserve">sychological </w:t>
            </w:r>
            <w:r w:rsidR="0056629A">
              <w:rPr>
                <w:rFonts w:eastAsia="Calibri"/>
              </w:rPr>
              <w:t>t</w:t>
            </w:r>
            <w:r w:rsidRPr="008A6671">
              <w:rPr>
                <w:rFonts w:eastAsia="Calibri"/>
              </w:rPr>
              <w:t>herapy episodes compared with previous year,</w:t>
            </w:r>
            <w:r w:rsidRPr="008A6671">
              <w:t xml:space="preserve"> or where service capacity has been reached, a maintenance of the previous year's rate</w:t>
            </w:r>
            <w:r w:rsidR="00974738">
              <w:t>.</w:t>
            </w:r>
          </w:p>
        </w:tc>
      </w:tr>
      <w:tr w:rsidR="00F9458B" w:rsidRPr="00F9458B" w14:paraId="0E569198" w14:textId="77777777" w:rsidTr="003A35E2">
        <w:trPr>
          <w:cantSplit/>
        </w:trPr>
        <w:tc>
          <w:tcPr>
            <w:tcW w:w="1571" w:type="dxa"/>
          </w:tcPr>
          <w:p w14:paraId="0D9A39D6" w14:textId="77777777" w:rsidR="00F9458B" w:rsidRPr="008A6671" w:rsidRDefault="00F9458B" w:rsidP="00F9458B">
            <w:r w:rsidRPr="008A6671">
              <w:t>Data Source</w:t>
            </w:r>
          </w:p>
        </w:tc>
        <w:tc>
          <w:tcPr>
            <w:tcW w:w="8162" w:type="dxa"/>
          </w:tcPr>
          <w:p w14:paraId="70A97F3C" w14:textId="229C1874" w:rsidR="00F9458B" w:rsidRPr="008A6671" w:rsidRDefault="00F9458B" w:rsidP="00F9458B">
            <w:pPr>
              <w:rPr>
                <w:rFonts w:eastAsia="Calibri"/>
              </w:rPr>
            </w:pPr>
            <w:r w:rsidRPr="008A6671">
              <w:rPr>
                <w:rFonts w:eastAsia="Calibri"/>
              </w:rPr>
              <w:t>MH Schedule reporting – Indicator Acc-2</w:t>
            </w:r>
            <w:r w:rsidR="00F25AD7">
              <w:rPr>
                <w:rFonts w:eastAsia="Calibri"/>
              </w:rPr>
              <w:t>.</w:t>
            </w:r>
          </w:p>
          <w:p w14:paraId="31831F5A" w14:textId="23659AA3" w:rsidR="00F9458B" w:rsidRPr="008A6671" w:rsidRDefault="00F9458B" w:rsidP="00F9458B">
            <w:r w:rsidRPr="008A6671">
              <w:rPr>
                <w:rFonts w:eastAsia="Calibri"/>
              </w:rPr>
              <w:t>Constructed from PMHC MDS (numerator) and ABS Estimated Resident Population (denominator</w:t>
            </w:r>
            <w:r w:rsidRPr="008E5D2E">
              <w:rPr>
                <w:rFonts w:eastAsia="Calibri"/>
              </w:rPr>
              <w:t>)</w:t>
            </w:r>
            <w:r w:rsidR="00974738">
              <w:rPr>
                <w:rFonts w:eastAsia="Calibri"/>
              </w:rPr>
              <w:t>.</w:t>
            </w:r>
          </w:p>
        </w:tc>
      </w:tr>
      <w:tr w:rsidR="00F9458B" w:rsidRPr="00F9458B" w14:paraId="6536C503" w14:textId="77777777" w:rsidTr="003A35E2">
        <w:trPr>
          <w:cantSplit/>
        </w:trPr>
        <w:tc>
          <w:tcPr>
            <w:tcW w:w="1571" w:type="dxa"/>
          </w:tcPr>
          <w:p w14:paraId="2A1C3C27" w14:textId="77777777" w:rsidR="00F9458B" w:rsidRPr="008A6671" w:rsidRDefault="00F9458B" w:rsidP="00F9458B">
            <w:r w:rsidRPr="008A6671">
              <w:t>Calculation</w:t>
            </w:r>
          </w:p>
        </w:tc>
        <w:tc>
          <w:tcPr>
            <w:tcW w:w="8162" w:type="dxa"/>
          </w:tcPr>
          <w:p w14:paraId="183C6608" w14:textId="77777777" w:rsidR="00F9458B" w:rsidRPr="008A6671" w:rsidRDefault="00F9458B" w:rsidP="00F9458B">
            <w:pPr>
              <w:rPr>
                <w:rFonts w:eastAsia="Calibri"/>
              </w:rPr>
            </w:pPr>
            <w:r w:rsidRPr="008A6671">
              <w:rPr>
                <w:rFonts w:eastAsia="Calibri"/>
              </w:rPr>
              <w:t>Numerator:</w:t>
            </w:r>
          </w:p>
          <w:p w14:paraId="60230DC8" w14:textId="4222EDC8" w:rsidR="00F9458B" w:rsidRPr="008A6671" w:rsidRDefault="00F9458B" w:rsidP="00F9458B">
            <w:pPr>
              <w:rPr>
                <w:rFonts w:eastAsia="Calibri"/>
              </w:rPr>
            </w:pPr>
            <w:r w:rsidRPr="008A6671">
              <w:rPr>
                <w:rFonts w:eastAsia="Calibri"/>
              </w:rPr>
              <w:t>Number of people who received one or more episodes of care classified as psychological therapy from a PHN commissioned organisation or individual service provider</w:t>
            </w:r>
            <w:r w:rsidR="00F25AD7">
              <w:rPr>
                <w:rFonts w:eastAsia="Calibri"/>
              </w:rPr>
              <w:t>.</w:t>
            </w:r>
          </w:p>
          <w:p w14:paraId="3BD4996F" w14:textId="77777777" w:rsidR="00F9458B" w:rsidRPr="008A6671" w:rsidRDefault="00F9458B" w:rsidP="00F9458B">
            <w:pPr>
              <w:rPr>
                <w:rFonts w:eastAsia="Calibri"/>
              </w:rPr>
            </w:pPr>
            <w:r w:rsidRPr="008A6671">
              <w:rPr>
                <w:rFonts w:eastAsia="Calibri"/>
              </w:rPr>
              <w:t>Denominator:</w:t>
            </w:r>
          </w:p>
          <w:p w14:paraId="660F00C0" w14:textId="5108E62D" w:rsidR="00F9458B" w:rsidRPr="008A6671" w:rsidRDefault="00F9458B" w:rsidP="00F9458B">
            <w:pPr>
              <w:rPr>
                <w:rFonts w:eastAsia="Calibri"/>
              </w:rPr>
            </w:pPr>
            <w:r w:rsidRPr="008A6671">
              <w:rPr>
                <w:rFonts w:eastAsia="Calibri"/>
              </w:rPr>
              <w:t>Total population residing in the region in the reporting period</w:t>
            </w:r>
            <w:r w:rsidR="00F25AD7">
              <w:rPr>
                <w:rFonts w:eastAsia="Calibri"/>
              </w:rPr>
              <w:t>.</w:t>
            </w:r>
          </w:p>
          <w:p w14:paraId="689CC640" w14:textId="77777777" w:rsidR="00F9458B" w:rsidRPr="008A6671" w:rsidRDefault="00F9458B" w:rsidP="00F9458B">
            <w:pPr>
              <w:rPr>
                <w:rFonts w:eastAsia="Calibri"/>
              </w:rPr>
            </w:pPr>
            <w:r w:rsidRPr="008A6671">
              <w:rPr>
                <w:rFonts w:eastAsia="Calibri"/>
              </w:rPr>
              <w:t>Computation:</w:t>
            </w:r>
          </w:p>
          <w:p w14:paraId="616E72CB" w14:textId="03DF3138" w:rsidR="00F9458B" w:rsidRPr="008A6671" w:rsidRDefault="00F9458B" w:rsidP="00F9458B">
            <w:pPr>
              <w:rPr>
                <w:rFonts w:eastAsia="Calibri"/>
              </w:rPr>
            </w:pPr>
            <w:r w:rsidRPr="008A6671">
              <w:rPr>
                <w:rFonts w:eastAsia="Calibri"/>
              </w:rPr>
              <w:t>100 x (numerator / denominator</w:t>
            </w:r>
            <w:r w:rsidRPr="008E5D2E">
              <w:rPr>
                <w:rFonts w:eastAsia="Calibri"/>
              </w:rPr>
              <w:t>)</w:t>
            </w:r>
            <w:r w:rsidR="00974738">
              <w:rPr>
                <w:rFonts w:eastAsia="Calibri"/>
              </w:rPr>
              <w:t>.</w:t>
            </w:r>
          </w:p>
        </w:tc>
      </w:tr>
      <w:tr w:rsidR="00F9458B" w:rsidRPr="00F9458B" w14:paraId="0BD9367B" w14:textId="77777777" w:rsidTr="003A35E2">
        <w:trPr>
          <w:cantSplit/>
        </w:trPr>
        <w:tc>
          <w:tcPr>
            <w:tcW w:w="1571" w:type="dxa"/>
          </w:tcPr>
          <w:p w14:paraId="0130FA2E" w14:textId="77777777" w:rsidR="00F9458B" w:rsidRPr="008A6671" w:rsidRDefault="00F9458B" w:rsidP="00F9458B">
            <w:r w:rsidRPr="008A6671">
              <w:lastRenderedPageBreak/>
              <w:t>Limitations</w:t>
            </w:r>
          </w:p>
        </w:tc>
        <w:tc>
          <w:tcPr>
            <w:tcW w:w="8162" w:type="dxa"/>
          </w:tcPr>
          <w:p w14:paraId="4EFA7460" w14:textId="24EBD85B" w:rsidR="00F9458B" w:rsidRPr="008A6671" w:rsidRDefault="00F9458B" w:rsidP="00F9458B">
            <w:pPr>
              <w:rPr>
                <w:rFonts w:eastAsia="Calibri"/>
              </w:rPr>
            </w:pPr>
            <w:r w:rsidRPr="008A6671">
              <w:rPr>
                <w:rFonts w:eastAsia="Calibri"/>
              </w:rPr>
              <w:t>Unique counting of persons and episodes is at the Provider Organisation level, not region. It is possible therefore that a person receiving an episode of care by more than one organisation within the region, or from another PHN region, will be counted more than once</w:t>
            </w:r>
            <w:r w:rsidR="00F25AD7">
              <w:rPr>
                <w:rFonts w:eastAsia="Calibri"/>
              </w:rPr>
              <w:t>.</w:t>
            </w:r>
          </w:p>
          <w:p w14:paraId="794F7385" w14:textId="06D7CEB0" w:rsidR="00F9458B" w:rsidRPr="008A6671" w:rsidRDefault="00F9458B" w:rsidP="00D369DA">
            <w:pPr>
              <w:rPr>
                <w:rFonts w:eastAsia="Calibri"/>
              </w:rPr>
            </w:pPr>
            <w:r w:rsidRPr="008A6671">
              <w:rPr>
                <w:rFonts w:eastAsia="Calibri"/>
              </w:rPr>
              <w:t>PHNs may fund services for individuals who live in other regions. The indicator specification does not adjust for this</w:t>
            </w:r>
            <w:r w:rsidR="00F25AD7">
              <w:rPr>
                <w:rFonts w:eastAsia="Calibri"/>
              </w:rPr>
              <w:t>.</w:t>
            </w:r>
          </w:p>
          <w:p w14:paraId="780FA927" w14:textId="2020EF2F" w:rsidR="00F9458B" w:rsidRPr="008A6671" w:rsidRDefault="00F9458B" w:rsidP="00D369DA">
            <w:pPr>
              <w:rPr>
                <w:rFonts w:eastAsia="Calibri"/>
              </w:rPr>
            </w:pPr>
            <w:r w:rsidRPr="008A6671">
              <w:rPr>
                <w:rFonts w:eastAsia="Calibri"/>
              </w:rPr>
              <w:t>This indicator looks only at service provision funded by the PHN and does not take account of the role of other primary care funding streams in overall service delivery to the regional population. The role of mental health treatment accessed through the MBS is the most significant, and to a lesser extent, service delivery by specialist mental health services funded by state and territory governments</w:t>
            </w:r>
            <w:r w:rsidR="00974738">
              <w:rPr>
                <w:rFonts w:eastAsia="Calibri"/>
              </w:rPr>
              <w:t>.</w:t>
            </w:r>
          </w:p>
        </w:tc>
      </w:tr>
      <w:tr w:rsidR="00F9458B" w:rsidRPr="00F9458B" w14:paraId="11843DB2" w14:textId="77777777" w:rsidTr="003A35E2">
        <w:trPr>
          <w:cantSplit/>
        </w:trPr>
        <w:tc>
          <w:tcPr>
            <w:tcW w:w="1571" w:type="dxa"/>
          </w:tcPr>
          <w:p w14:paraId="270BC329" w14:textId="77777777" w:rsidR="00F9458B" w:rsidRPr="008A6671" w:rsidRDefault="00F9458B" w:rsidP="00F9458B">
            <w:r w:rsidRPr="008A6671">
              <w:t>Additional information</w:t>
            </w:r>
          </w:p>
        </w:tc>
        <w:tc>
          <w:tcPr>
            <w:tcW w:w="8162" w:type="dxa"/>
          </w:tcPr>
          <w:p w14:paraId="094AB166" w14:textId="3713810F" w:rsidR="00F9458B" w:rsidRPr="008A6671" w:rsidRDefault="0045703F" w:rsidP="00F9458B">
            <w:r w:rsidRPr="008A6671">
              <w:rPr>
                <w:rFonts w:eastAsia="Calibri"/>
              </w:rPr>
              <w:t xml:space="preserve">See </w:t>
            </w:r>
            <w:hyperlink r:id="rId15" w:history="1">
              <w:r w:rsidRPr="006C1F64">
                <w:rPr>
                  <w:rStyle w:val="Hyperlink"/>
                </w:rPr>
                <w:t>PMHC-MDS Data Specification</w:t>
              </w:r>
            </w:hyperlink>
            <w:r w:rsidR="00974738" w:rsidRPr="00665D8A">
              <w:rPr>
                <w:rStyle w:val="Hyperlink"/>
              </w:rPr>
              <w:t>.</w:t>
            </w:r>
          </w:p>
        </w:tc>
      </w:tr>
    </w:tbl>
    <w:p w14:paraId="35FE55EE" w14:textId="2BF693F2" w:rsidR="00F9458B" w:rsidRPr="00716651" w:rsidRDefault="00F9458B" w:rsidP="00665D8A">
      <w:pPr>
        <w:pStyle w:val="Heading2"/>
      </w:pPr>
      <w:bookmarkStart w:id="68" w:name="_Toc517194528"/>
      <w:bookmarkStart w:id="69" w:name="_Toc517267762"/>
      <w:bookmarkStart w:id="70" w:name="_Toc517334523"/>
      <w:bookmarkStart w:id="71" w:name="_Toc517769808"/>
      <w:r w:rsidRPr="00716651">
        <w:t>MH</w:t>
      </w:r>
      <w:r w:rsidR="003D7A77" w:rsidRPr="00716651">
        <w:t>3</w:t>
      </w:r>
      <w:r w:rsidRPr="00716651">
        <w:t>: Rate of regional population receiving PHN commissioned clinical care coordination services for people with severe and complex mental illness</w:t>
      </w:r>
      <w:bookmarkEnd w:id="68"/>
      <w:bookmarkEnd w:id="69"/>
      <w:bookmarkEnd w:id="70"/>
      <w:bookmarkEnd w:id="71"/>
    </w:p>
    <w:tbl>
      <w:tblPr>
        <w:tblStyle w:val="PHNTealtable"/>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4A0" w:firstRow="1" w:lastRow="0" w:firstColumn="1" w:lastColumn="0" w:noHBand="0" w:noVBand="1"/>
        <w:tblDescription w:val="This table details indicator MH3: Rate of regional population receiving PHN commissioned clinical care coordination services for people with severe and complex mental illness. It is comprised of two columns, and 11 rows. Column one provides the Item of the indicator, and Column two outlines the corresponding description."/>
      </w:tblPr>
      <w:tblGrid>
        <w:gridCol w:w="1571"/>
        <w:gridCol w:w="8156"/>
      </w:tblGrid>
      <w:tr w:rsidR="00F9458B" w:rsidRPr="00F9458B" w14:paraId="0E269CC6" w14:textId="77777777" w:rsidTr="003A35E2">
        <w:trPr>
          <w:cnfStyle w:val="100000000000" w:firstRow="1" w:lastRow="0" w:firstColumn="0" w:lastColumn="0" w:oddVBand="0" w:evenVBand="0" w:oddHBand="0" w:evenHBand="0" w:firstRowFirstColumn="0" w:firstRowLastColumn="0" w:lastRowFirstColumn="0" w:lastRowLastColumn="0"/>
          <w:tblHeader/>
        </w:trPr>
        <w:tc>
          <w:tcPr>
            <w:tcW w:w="1571" w:type="dxa"/>
            <w:shd w:val="clear" w:color="auto" w:fill="153A6E"/>
          </w:tcPr>
          <w:p w14:paraId="79336B37" w14:textId="77777777" w:rsidR="00F9458B" w:rsidRPr="00716651" w:rsidRDefault="00F9458B" w:rsidP="00665D8A">
            <w:pPr>
              <w:pStyle w:val="TableHeaderWhite"/>
            </w:pPr>
            <w:r w:rsidRPr="00716651">
              <w:t>Item</w:t>
            </w:r>
          </w:p>
        </w:tc>
        <w:tc>
          <w:tcPr>
            <w:tcW w:w="8162" w:type="dxa"/>
            <w:shd w:val="clear" w:color="auto" w:fill="153A6E"/>
          </w:tcPr>
          <w:p w14:paraId="44A5226E" w14:textId="77777777" w:rsidR="00F9458B" w:rsidRPr="00716651" w:rsidRDefault="00F9458B" w:rsidP="00665D8A">
            <w:pPr>
              <w:pStyle w:val="TableHeaderWhite"/>
            </w:pPr>
            <w:r w:rsidRPr="00716651">
              <w:t>Description</w:t>
            </w:r>
          </w:p>
        </w:tc>
      </w:tr>
      <w:tr w:rsidR="00F9458B" w:rsidRPr="00F9458B" w14:paraId="12863F2E" w14:textId="77777777" w:rsidTr="003A35E2">
        <w:trPr>
          <w:cantSplit/>
        </w:trPr>
        <w:tc>
          <w:tcPr>
            <w:tcW w:w="1571" w:type="dxa"/>
          </w:tcPr>
          <w:p w14:paraId="7A58FDFD" w14:textId="77777777" w:rsidR="00F9458B" w:rsidRPr="008A6671" w:rsidRDefault="00F9458B" w:rsidP="00F9458B">
            <w:r w:rsidRPr="008A6671">
              <w:t>Assessment</w:t>
            </w:r>
          </w:p>
        </w:tc>
        <w:tc>
          <w:tcPr>
            <w:tcW w:w="8162" w:type="dxa"/>
          </w:tcPr>
          <w:p w14:paraId="4314DD9A" w14:textId="3F42ECAF" w:rsidR="00F9458B" w:rsidRPr="008A6671" w:rsidRDefault="00F9458B" w:rsidP="00F9458B">
            <w:r w:rsidRPr="008A6671">
              <w:t>Individual PHN</w:t>
            </w:r>
            <w:r w:rsidR="00974738">
              <w:t>.</w:t>
            </w:r>
          </w:p>
        </w:tc>
      </w:tr>
      <w:tr w:rsidR="00F9458B" w:rsidRPr="00F9458B" w14:paraId="12A76C3D" w14:textId="77777777" w:rsidTr="003A35E2">
        <w:trPr>
          <w:cantSplit/>
        </w:trPr>
        <w:tc>
          <w:tcPr>
            <w:tcW w:w="1571" w:type="dxa"/>
          </w:tcPr>
          <w:p w14:paraId="43328035" w14:textId="77777777" w:rsidR="00F9458B" w:rsidRPr="008A6671" w:rsidRDefault="00F9458B" w:rsidP="00F9458B">
            <w:r w:rsidRPr="008A6671">
              <w:t>Reporting</w:t>
            </w:r>
          </w:p>
        </w:tc>
        <w:tc>
          <w:tcPr>
            <w:tcW w:w="8162" w:type="dxa"/>
          </w:tcPr>
          <w:p w14:paraId="036D4973" w14:textId="1DDC6C80" w:rsidR="00F9458B" w:rsidRPr="008A6671" w:rsidRDefault="00F9458B" w:rsidP="00F9458B">
            <w:r w:rsidRPr="008A6671">
              <w:rPr>
                <w:rFonts w:eastAsia="Calibri"/>
              </w:rPr>
              <w:t xml:space="preserve">Twelve monthly </w:t>
            </w:r>
            <w:r w:rsidR="00091D4D">
              <w:rPr>
                <w:rFonts w:eastAsia="Calibri"/>
              </w:rPr>
              <w:t xml:space="preserve">by </w:t>
            </w:r>
            <w:r w:rsidR="00657B60">
              <w:rPr>
                <w:rFonts w:eastAsia="Calibri"/>
              </w:rPr>
              <w:t>Department</w:t>
            </w:r>
            <w:r w:rsidRPr="008A6671">
              <w:rPr>
                <w:rFonts w:eastAsia="Calibri"/>
              </w:rPr>
              <w:t xml:space="preserve"> from Primary Mental Health Care (PMHC) Minimum Data Set (MDS) Standard Reports accessed by PHNs</w:t>
            </w:r>
            <w:r w:rsidR="00974738">
              <w:rPr>
                <w:rFonts w:eastAsia="Calibri"/>
              </w:rPr>
              <w:t>.</w:t>
            </w:r>
          </w:p>
        </w:tc>
      </w:tr>
      <w:tr w:rsidR="00F9458B" w:rsidRPr="00F9458B" w14:paraId="36365A48" w14:textId="77777777" w:rsidTr="003A35E2">
        <w:trPr>
          <w:cantSplit/>
        </w:trPr>
        <w:tc>
          <w:tcPr>
            <w:tcW w:w="1571" w:type="dxa"/>
          </w:tcPr>
          <w:p w14:paraId="3BF02120" w14:textId="77777777" w:rsidR="00F9458B" w:rsidRPr="008A6671" w:rsidRDefault="00F9458B" w:rsidP="00F9458B">
            <w:r w:rsidRPr="008A6671">
              <w:t>Definition</w:t>
            </w:r>
          </w:p>
        </w:tc>
        <w:tc>
          <w:tcPr>
            <w:tcW w:w="8162" w:type="dxa"/>
          </w:tcPr>
          <w:p w14:paraId="06338E9D" w14:textId="1E0C03F0" w:rsidR="00F9458B" w:rsidRPr="008A6671" w:rsidRDefault="00F9458B" w:rsidP="00F9458B">
            <w:pPr>
              <w:rPr>
                <w:rFonts w:eastAsia="Calibri"/>
              </w:rPr>
            </w:pPr>
            <w:r w:rsidRPr="008A6671">
              <w:rPr>
                <w:rFonts w:eastAsia="Calibri"/>
              </w:rPr>
              <w:t>Percentage of the regional population who received one or more clinical care coordination episodes of care provided by an organisation or an individual service provider commissioned by the PHN</w:t>
            </w:r>
            <w:r w:rsidR="00F25AD7">
              <w:rPr>
                <w:rFonts w:eastAsia="Calibri"/>
              </w:rPr>
              <w:t>.</w:t>
            </w:r>
          </w:p>
          <w:p w14:paraId="02F2C32D" w14:textId="4DFFBF7D" w:rsidR="00F9458B" w:rsidRPr="008A6671" w:rsidRDefault="00F9458B" w:rsidP="00F9458B">
            <w:r w:rsidRPr="008A6671">
              <w:rPr>
                <w:rFonts w:eastAsia="Calibri"/>
              </w:rPr>
              <w:t xml:space="preserve">Services provided may include direct client contact, either face-to-face or by telephone, </w:t>
            </w:r>
            <w:proofErr w:type="gramStart"/>
            <w:r w:rsidRPr="008A6671">
              <w:rPr>
                <w:rFonts w:eastAsia="Calibri"/>
              </w:rPr>
              <w:t>and also</w:t>
            </w:r>
            <w:proofErr w:type="gramEnd"/>
            <w:r w:rsidRPr="008A6671">
              <w:rPr>
                <w:rFonts w:eastAsia="Calibri"/>
              </w:rPr>
              <w:t xml:space="preserve"> contact with families and carers, other service providers and agencies on the consumer’s behalf</w:t>
            </w:r>
            <w:r w:rsidR="00974738">
              <w:rPr>
                <w:rFonts w:eastAsia="Calibri"/>
              </w:rPr>
              <w:t>.</w:t>
            </w:r>
          </w:p>
        </w:tc>
      </w:tr>
      <w:tr w:rsidR="00F9458B" w:rsidRPr="00F9458B" w14:paraId="4CA7A95E" w14:textId="77777777" w:rsidTr="003A35E2">
        <w:trPr>
          <w:cantSplit/>
        </w:trPr>
        <w:tc>
          <w:tcPr>
            <w:tcW w:w="1571" w:type="dxa"/>
          </w:tcPr>
          <w:p w14:paraId="5E325A31" w14:textId="77777777" w:rsidR="00F9458B" w:rsidRPr="008A6671" w:rsidRDefault="00F9458B" w:rsidP="00F9458B">
            <w:r w:rsidRPr="008A6671">
              <w:t>Purpose</w:t>
            </w:r>
          </w:p>
        </w:tc>
        <w:tc>
          <w:tcPr>
            <w:tcW w:w="8162" w:type="dxa"/>
          </w:tcPr>
          <w:p w14:paraId="4CBAF912" w14:textId="67620C2E" w:rsidR="00F9458B" w:rsidRPr="008A6671" w:rsidRDefault="00F9458B" w:rsidP="00F9458B">
            <w:pPr>
              <w:rPr>
                <w:rFonts w:eastAsia="Calibri"/>
              </w:rPr>
            </w:pPr>
            <w:r w:rsidRPr="008A6671">
              <w:rPr>
                <w:rFonts w:eastAsia="Calibri"/>
              </w:rPr>
              <w:t>PHNs are required to commission clinical mental health services to meet the needs of people with severe mental illness, whose care can be appropriately managed in a primary care setting. This will include making optimal use of the available and new mental health nursing services funding to support clinical coordination</w:t>
            </w:r>
            <w:r w:rsidR="00F25AD7">
              <w:rPr>
                <w:rFonts w:eastAsia="Calibri"/>
              </w:rPr>
              <w:t>.</w:t>
            </w:r>
          </w:p>
          <w:p w14:paraId="3BF1F743" w14:textId="377A1E86" w:rsidR="00F9458B" w:rsidRPr="008A6671" w:rsidRDefault="00F9458B" w:rsidP="00F9458B">
            <w:pPr>
              <w:rPr>
                <w:rFonts w:eastAsia="Calibri"/>
              </w:rPr>
            </w:pPr>
            <w:r w:rsidRPr="008A6671">
              <w:rPr>
                <w:rFonts w:eastAsia="Calibri"/>
              </w:rPr>
              <w:t>Fragmentation of care is particularly problematic for people with severe and complex mental illness who require services from multiple agencies</w:t>
            </w:r>
            <w:r w:rsidR="00974738">
              <w:rPr>
                <w:rFonts w:eastAsia="Calibri"/>
              </w:rPr>
              <w:t>.</w:t>
            </w:r>
          </w:p>
        </w:tc>
      </w:tr>
      <w:tr w:rsidR="00F9458B" w:rsidRPr="00F9458B" w14:paraId="786B2F6F" w14:textId="77777777" w:rsidTr="003A35E2">
        <w:trPr>
          <w:cantSplit/>
        </w:trPr>
        <w:tc>
          <w:tcPr>
            <w:tcW w:w="1571" w:type="dxa"/>
          </w:tcPr>
          <w:p w14:paraId="571967CB" w14:textId="77777777" w:rsidR="00F9458B" w:rsidRPr="008A6671" w:rsidRDefault="00F9458B" w:rsidP="00F9458B">
            <w:r w:rsidRPr="008A6671">
              <w:t>Outcome Theme: Coordinated Care</w:t>
            </w:r>
          </w:p>
        </w:tc>
        <w:tc>
          <w:tcPr>
            <w:tcW w:w="8162" w:type="dxa"/>
          </w:tcPr>
          <w:p w14:paraId="04AFBF20" w14:textId="77777777" w:rsidR="00F9458B" w:rsidRPr="008A6671" w:rsidRDefault="00F9458B" w:rsidP="00F9458B">
            <w:pPr>
              <w:rPr>
                <w:rFonts w:eastAsia="Calibri"/>
              </w:rPr>
            </w:pPr>
            <w:r w:rsidRPr="008A6671">
              <w:rPr>
                <w:rFonts w:eastAsia="Calibri"/>
              </w:rPr>
              <w:t>Outcome:</w:t>
            </w:r>
          </w:p>
          <w:p w14:paraId="6543E313" w14:textId="62F1BE0A" w:rsidR="00F9458B" w:rsidRPr="008A6671" w:rsidRDefault="00F9458B" w:rsidP="00F9458B">
            <w:r w:rsidRPr="008A6671">
              <w:rPr>
                <w:rFonts w:eastAsia="Calibri"/>
              </w:rPr>
              <w:t>Health care providers in PHN region have an integrated approach to mental health care and suicide prevention</w:t>
            </w:r>
            <w:r w:rsidR="00974738">
              <w:rPr>
                <w:rFonts w:eastAsia="Calibri"/>
              </w:rPr>
              <w:t>.</w:t>
            </w:r>
          </w:p>
        </w:tc>
      </w:tr>
      <w:tr w:rsidR="00F9458B" w:rsidRPr="00F9458B" w14:paraId="33290B77" w14:textId="77777777" w:rsidTr="003A35E2">
        <w:trPr>
          <w:cantSplit/>
        </w:trPr>
        <w:tc>
          <w:tcPr>
            <w:tcW w:w="1571" w:type="dxa"/>
          </w:tcPr>
          <w:p w14:paraId="4307A5DE" w14:textId="77777777" w:rsidR="00F9458B" w:rsidRPr="008A6671" w:rsidRDefault="00F9458B" w:rsidP="00F9458B">
            <w:r w:rsidRPr="008A6671">
              <w:t>Performance Criteria</w:t>
            </w:r>
          </w:p>
        </w:tc>
        <w:tc>
          <w:tcPr>
            <w:tcW w:w="8162" w:type="dxa"/>
          </w:tcPr>
          <w:p w14:paraId="177308E6" w14:textId="4D9D8835" w:rsidR="00F9458B" w:rsidRPr="008A6671" w:rsidRDefault="00455A8C" w:rsidP="00F9458B">
            <w:r w:rsidRPr="008A6671">
              <w:rPr>
                <w:rFonts w:eastAsia="Calibri"/>
              </w:rPr>
              <w:t xml:space="preserve">At least 5% growth in number of people accessing </w:t>
            </w:r>
            <w:r w:rsidR="00F8438F">
              <w:rPr>
                <w:rFonts w:eastAsia="Calibri"/>
              </w:rPr>
              <w:t>c</w:t>
            </w:r>
            <w:r w:rsidRPr="008A6671">
              <w:rPr>
                <w:rFonts w:eastAsia="Calibri"/>
              </w:rPr>
              <w:t xml:space="preserve">are </w:t>
            </w:r>
            <w:r w:rsidR="00F8438F">
              <w:rPr>
                <w:rFonts w:eastAsia="Calibri"/>
              </w:rPr>
              <w:t>c</w:t>
            </w:r>
            <w:r w:rsidRPr="008A6671">
              <w:rPr>
                <w:rFonts w:eastAsia="Calibri"/>
              </w:rPr>
              <w:t>oordination episodes compared with previous year,</w:t>
            </w:r>
            <w:r w:rsidRPr="008A6671">
              <w:t xml:space="preserve"> or where service capacity has been reached, a maintenance of the previous year's rate</w:t>
            </w:r>
            <w:r w:rsidR="00974738">
              <w:t>.</w:t>
            </w:r>
          </w:p>
        </w:tc>
      </w:tr>
      <w:tr w:rsidR="00F9458B" w:rsidRPr="00F9458B" w14:paraId="731017F5" w14:textId="77777777" w:rsidTr="003A35E2">
        <w:trPr>
          <w:cantSplit/>
        </w:trPr>
        <w:tc>
          <w:tcPr>
            <w:tcW w:w="1571" w:type="dxa"/>
          </w:tcPr>
          <w:p w14:paraId="48A998A4" w14:textId="77777777" w:rsidR="00F9458B" w:rsidRPr="008A6671" w:rsidRDefault="00F9458B" w:rsidP="00F9458B">
            <w:r w:rsidRPr="008A6671">
              <w:lastRenderedPageBreak/>
              <w:t>Data Source</w:t>
            </w:r>
          </w:p>
        </w:tc>
        <w:tc>
          <w:tcPr>
            <w:tcW w:w="8162" w:type="dxa"/>
          </w:tcPr>
          <w:p w14:paraId="2D519F33" w14:textId="7D518319" w:rsidR="00F9458B" w:rsidRPr="008A6671" w:rsidRDefault="00F9458B" w:rsidP="00F9458B">
            <w:pPr>
              <w:rPr>
                <w:rFonts w:eastAsia="Calibri"/>
              </w:rPr>
            </w:pPr>
            <w:r w:rsidRPr="008A6671">
              <w:rPr>
                <w:rFonts w:eastAsia="Calibri"/>
              </w:rPr>
              <w:t>MH Schedule reporting – Indicator Acc-3</w:t>
            </w:r>
            <w:r w:rsidR="00F25AD7">
              <w:rPr>
                <w:rFonts w:eastAsia="Calibri"/>
              </w:rPr>
              <w:t>.</w:t>
            </w:r>
          </w:p>
          <w:p w14:paraId="2F553647" w14:textId="5818BAC7" w:rsidR="00F9458B" w:rsidRPr="008A6671" w:rsidRDefault="00F9458B" w:rsidP="00F9458B">
            <w:r w:rsidRPr="008A6671">
              <w:rPr>
                <w:rFonts w:eastAsia="Calibri"/>
              </w:rPr>
              <w:t>Constructed from PMHC MDS (numerator) and ABS Estimated Resident Population (denominator</w:t>
            </w:r>
            <w:r w:rsidRPr="008E5D2E">
              <w:rPr>
                <w:rFonts w:eastAsia="Calibri"/>
              </w:rPr>
              <w:t>)</w:t>
            </w:r>
            <w:r w:rsidR="00974738">
              <w:rPr>
                <w:rFonts w:eastAsia="Calibri"/>
              </w:rPr>
              <w:t>.</w:t>
            </w:r>
          </w:p>
        </w:tc>
      </w:tr>
      <w:tr w:rsidR="00F9458B" w:rsidRPr="00F9458B" w14:paraId="6D1B995E" w14:textId="77777777" w:rsidTr="003A35E2">
        <w:trPr>
          <w:cantSplit/>
        </w:trPr>
        <w:tc>
          <w:tcPr>
            <w:tcW w:w="1571" w:type="dxa"/>
          </w:tcPr>
          <w:p w14:paraId="4B740DDC" w14:textId="77777777" w:rsidR="00F9458B" w:rsidRPr="008A6671" w:rsidRDefault="00F9458B" w:rsidP="00F9458B">
            <w:r w:rsidRPr="008A6671">
              <w:t>Calculation</w:t>
            </w:r>
          </w:p>
        </w:tc>
        <w:tc>
          <w:tcPr>
            <w:tcW w:w="8162" w:type="dxa"/>
          </w:tcPr>
          <w:p w14:paraId="3E449481" w14:textId="77777777" w:rsidR="00F9458B" w:rsidRPr="008A6671" w:rsidRDefault="00F9458B" w:rsidP="00F9458B">
            <w:pPr>
              <w:rPr>
                <w:rFonts w:eastAsia="Calibri"/>
              </w:rPr>
            </w:pPr>
            <w:r w:rsidRPr="008A6671">
              <w:rPr>
                <w:rFonts w:eastAsia="Calibri"/>
              </w:rPr>
              <w:t>Numerator:</w:t>
            </w:r>
          </w:p>
          <w:p w14:paraId="6801DBB2" w14:textId="3AEACF87" w:rsidR="00F9458B" w:rsidRPr="008A6671" w:rsidRDefault="00F9458B" w:rsidP="00F9458B">
            <w:pPr>
              <w:rPr>
                <w:rFonts w:eastAsia="Calibri"/>
              </w:rPr>
            </w:pPr>
            <w:r w:rsidRPr="008A6671">
              <w:rPr>
                <w:rFonts w:eastAsia="Calibri"/>
              </w:rPr>
              <w:t>Number of people who received one or more episodes of care classified as clinical care coordination from a PHN commissioned organisation or individual service provider</w:t>
            </w:r>
            <w:r w:rsidR="00F25AD7">
              <w:rPr>
                <w:rFonts w:eastAsia="Calibri"/>
              </w:rPr>
              <w:t>.</w:t>
            </w:r>
          </w:p>
          <w:p w14:paraId="2A563CC4" w14:textId="77777777" w:rsidR="00F9458B" w:rsidRPr="008A6671" w:rsidRDefault="00F9458B" w:rsidP="00F9458B">
            <w:pPr>
              <w:rPr>
                <w:rFonts w:eastAsia="Calibri"/>
              </w:rPr>
            </w:pPr>
            <w:r w:rsidRPr="008A6671">
              <w:rPr>
                <w:rFonts w:eastAsia="Calibri"/>
              </w:rPr>
              <w:t>Denominator:</w:t>
            </w:r>
          </w:p>
          <w:p w14:paraId="496603C5" w14:textId="5D2841F6" w:rsidR="00F9458B" w:rsidRPr="008A6671" w:rsidRDefault="00F9458B" w:rsidP="00F9458B">
            <w:pPr>
              <w:rPr>
                <w:rFonts w:eastAsia="Calibri"/>
              </w:rPr>
            </w:pPr>
            <w:r w:rsidRPr="008A6671">
              <w:rPr>
                <w:rFonts w:eastAsia="Calibri"/>
              </w:rPr>
              <w:t>Total population residing in the region in the reporting period</w:t>
            </w:r>
            <w:r w:rsidR="00F25AD7">
              <w:rPr>
                <w:rFonts w:eastAsia="Calibri"/>
              </w:rPr>
              <w:t>.</w:t>
            </w:r>
          </w:p>
          <w:p w14:paraId="69AB6ADD" w14:textId="77777777" w:rsidR="00F9458B" w:rsidRPr="008A6671" w:rsidRDefault="00F9458B" w:rsidP="00F9458B">
            <w:pPr>
              <w:rPr>
                <w:rFonts w:eastAsia="Calibri"/>
              </w:rPr>
            </w:pPr>
            <w:r w:rsidRPr="008A6671">
              <w:rPr>
                <w:rFonts w:eastAsia="Calibri"/>
              </w:rPr>
              <w:t>Computation:</w:t>
            </w:r>
          </w:p>
          <w:p w14:paraId="702F995E" w14:textId="20D99DAE" w:rsidR="00F9458B" w:rsidRPr="008A6671" w:rsidRDefault="00F9458B" w:rsidP="00F9458B">
            <w:pPr>
              <w:rPr>
                <w:rFonts w:eastAsia="Calibri"/>
              </w:rPr>
            </w:pPr>
            <w:r w:rsidRPr="008A6671">
              <w:rPr>
                <w:rFonts w:eastAsia="Calibri"/>
              </w:rPr>
              <w:t>100 x (numerator / denominator</w:t>
            </w:r>
            <w:r w:rsidRPr="008E5D2E">
              <w:rPr>
                <w:rFonts w:eastAsia="Calibri"/>
              </w:rPr>
              <w:t>)</w:t>
            </w:r>
            <w:r w:rsidR="00974738">
              <w:rPr>
                <w:rFonts w:eastAsia="Calibri"/>
              </w:rPr>
              <w:t>.</w:t>
            </w:r>
          </w:p>
        </w:tc>
      </w:tr>
      <w:tr w:rsidR="00F9458B" w:rsidRPr="00F9458B" w14:paraId="7814D93D" w14:textId="77777777" w:rsidTr="003A35E2">
        <w:trPr>
          <w:cantSplit/>
        </w:trPr>
        <w:tc>
          <w:tcPr>
            <w:tcW w:w="1571" w:type="dxa"/>
          </w:tcPr>
          <w:p w14:paraId="56D78C7B" w14:textId="77777777" w:rsidR="00F9458B" w:rsidRPr="008A6671" w:rsidRDefault="00F9458B" w:rsidP="00F9458B">
            <w:r w:rsidRPr="008A6671">
              <w:t>Limitations</w:t>
            </w:r>
          </w:p>
        </w:tc>
        <w:tc>
          <w:tcPr>
            <w:tcW w:w="8162" w:type="dxa"/>
          </w:tcPr>
          <w:p w14:paraId="263522BA" w14:textId="3B6A29F5" w:rsidR="00F9458B" w:rsidRPr="008A6671" w:rsidRDefault="00F9458B" w:rsidP="00F9458B">
            <w:pPr>
              <w:rPr>
                <w:rFonts w:eastAsia="Calibri"/>
              </w:rPr>
            </w:pPr>
            <w:r w:rsidRPr="008A6671">
              <w:rPr>
                <w:rFonts w:eastAsia="Calibri"/>
              </w:rPr>
              <w:t>Estimates of the number of people in the region with severe and complex mental illness and those that could be managed in a primary care setting are required to better gauge access to these services. Numbers using care coordination services will, however, provide an indication of activity and changes over time</w:t>
            </w:r>
            <w:r w:rsidR="00F25AD7">
              <w:rPr>
                <w:rFonts w:eastAsia="Calibri"/>
              </w:rPr>
              <w:t>.</w:t>
            </w:r>
          </w:p>
          <w:p w14:paraId="5F81FD74" w14:textId="72D87325" w:rsidR="00F9458B" w:rsidRPr="008A6671" w:rsidRDefault="00F9458B" w:rsidP="00D369DA">
            <w:pPr>
              <w:rPr>
                <w:rFonts w:eastAsia="Calibri"/>
              </w:rPr>
            </w:pPr>
            <w:r w:rsidRPr="008A6671">
              <w:rPr>
                <w:rFonts w:eastAsia="Calibri"/>
              </w:rPr>
              <w:t>Unique counting of persons and episodes is at the Provider Organisation level, not region. It is possible therefore that a person receiving an episode of care by more than one organisation within the region, or from another PHN region, will be counted more than once</w:t>
            </w:r>
            <w:r w:rsidR="00F25AD7">
              <w:rPr>
                <w:rFonts w:eastAsia="Calibri"/>
              </w:rPr>
              <w:t>.</w:t>
            </w:r>
          </w:p>
          <w:p w14:paraId="18E53AB6" w14:textId="74C635CB" w:rsidR="00F9458B" w:rsidRPr="008A6671" w:rsidRDefault="00F9458B" w:rsidP="00D369DA">
            <w:pPr>
              <w:rPr>
                <w:rFonts w:eastAsia="Calibri"/>
              </w:rPr>
            </w:pPr>
            <w:r w:rsidRPr="008A6671">
              <w:rPr>
                <w:rFonts w:eastAsia="Calibri"/>
              </w:rPr>
              <w:t>PHNs may fund services for individuals who live in other regions. The indicator specification does not adjust for this</w:t>
            </w:r>
            <w:r w:rsidR="00F25AD7">
              <w:rPr>
                <w:rFonts w:eastAsia="Calibri"/>
              </w:rPr>
              <w:t>.</w:t>
            </w:r>
          </w:p>
          <w:p w14:paraId="2D0A1D5A" w14:textId="730AA78D" w:rsidR="00F9458B" w:rsidRPr="008A6671" w:rsidRDefault="00F9458B" w:rsidP="00D369DA">
            <w:r w:rsidRPr="008A6671">
              <w:rPr>
                <w:rFonts w:eastAsia="Calibri"/>
              </w:rPr>
              <w:t>This indicator looks only at service provision funded by the PHN and does not take account of the role of other primary care funding streams in overall service delivery to the regional population. The role of mental health treatment accessed through the MBS is the most significant, and to a lesser extent, service delivery by specialist mental health services funded by state and territory governments</w:t>
            </w:r>
            <w:r w:rsidR="00974738">
              <w:rPr>
                <w:rFonts w:eastAsia="Calibri"/>
              </w:rPr>
              <w:t>.</w:t>
            </w:r>
          </w:p>
        </w:tc>
      </w:tr>
      <w:tr w:rsidR="00F9458B" w:rsidRPr="00F9458B" w14:paraId="121F0FFD" w14:textId="77777777" w:rsidTr="003A35E2">
        <w:trPr>
          <w:cantSplit/>
        </w:trPr>
        <w:tc>
          <w:tcPr>
            <w:tcW w:w="1571" w:type="dxa"/>
          </w:tcPr>
          <w:p w14:paraId="52DEE74E" w14:textId="77777777" w:rsidR="00F9458B" w:rsidRPr="008A6671" w:rsidRDefault="00F9458B" w:rsidP="00F9458B">
            <w:r w:rsidRPr="008A6671">
              <w:t>Additional information</w:t>
            </w:r>
          </w:p>
        </w:tc>
        <w:tc>
          <w:tcPr>
            <w:tcW w:w="8162" w:type="dxa"/>
          </w:tcPr>
          <w:p w14:paraId="4C5C75C6" w14:textId="4A40826C" w:rsidR="00F9458B" w:rsidRPr="008A6671" w:rsidRDefault="005C35FF" w:rsidP="00F9458B">
            <w:r w:rsidRPr="008A6671">
              <w:rPr>
                <w:rFonts w:eastAsia="Calibri"/>
              </w:rPr>
              <w:t xml:space="preserve">See </w:t>
            </w:r>
            <w:hyperlink r:id="rId16" w:history="1">
              <w:r w:rsidRPr="006C1F64">
                <w:rPr>
                  <w:rStyle w:val="Hyperlink"/>
                </w:rPr>
                <w:t>PMHC-MDS Data Specification</w:t>
              </w:r>
            </w:hyperlink>
            <w:r w:rsidR="00974738" w:rsidRPr="00665D8A">
              <w:rPr>
                <w:rStyle w:val="Hyperlink"/>
              </w:rPr>
              <w:t>.</w:t>
            </w:r>
          </w:p>
        </w:tc>
      </w:tr>
    </w:tbl>
    <w:p w14:paraId="5A002F1A" w14:textId="7F5095BC" w:rsidR="00F9458B" w:rsidRPr="00716651" w:rsidRDefault="00F9458B" w:rsidP="00665D8A">
      <w:pPr>
        <w:pStyle w:val="Heading2"/>
      </w:pPr>
      <w:bookmarkStart w:id="72" w:name="_Toc517194529"/>
      <w:bookmarkStart w:id="73" w:name="_Toc517267763"/>
      <w:bookmarkStart w:id="74" w:name="_Toc517334524"/>
      <w:bookmarkStart w:id="75" w:name="_Toc517769809"/>
      <w:r w:rsidRPr="00716651">
        <w:t>MH</w:t>
      </w:r>
      <w:r w:rsidR="003D7A77" w:rsidRPr="00716651">
        <w:t>4</w:t>
      </w:r>
      <w:r w:rsidRPr="00716651">
        <w:t>: Formalised partnerships with other regional service providers to support integrated regional planning and service delivery</w:t>
      </w:r>
      <w:bookmarkEnd w:id="72"/>
      <w:bookmarkEnd w:id="73"/>
      <w:bookmarkEnd w:id="74"/>
      <w:bookmarkEnd w:id="75"/>
    </w:p>
    <w:tbl>
      <w:tblPr>
        <w:tblStyle w:val="PHNTealtable"/>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4A0" w:firstRow="1" w:lastRow="0" w:firstColumn="1" w:lastColumn="0" w:noHBand="0" w:noVBand="1"/>
        <w:tblDescription w:val="This table details indicator MH4: Formalised partnerships with other regional service providers to support integrated regional planning and service delivery. It is comprised of two columns, and 11 rows. Column one provides the Item of the indicator, and Column two outlines the corresponding description."/>
      </w:tblPr>
      <w:tblGrid>
        <w:gridCol w:w="1571"/>
        <w:gridCol w:w="8156"/>
      </w:tblGrid>
      <w:tr w:rsidR="00F9458B" w:rsidRPr="00F9458B" w14:paraId="55160AE0" w14:textId="77777777" w:rsidTr="009038CB">
        <w:trPr>
          <w:cnfStyle w:val="100000000000" w:firstRow="1" w:lastRow="0" w:firstColumn="0" w:lastColumn="0" w:oddVBand="0" w:evenVBand="0" w:oddHBand="0" w:evenHBand="0" w:firstRowFirstColumn="0" w:firstRowLastColumn="0" w:lastRowFirstColumn="0" w:lastRowLastColumn="0"/>
          <w:tblHeader/>
        </w:trPr>
        <w:tc>
          <w:tcPr>
            <w:tcW w:w="1574" w:type="dxa"/>
            <w:shd w:val="clear" w:color="auto" w:fill="153A6E"/>
          </w:tcPr>
          <w:p w14:paraId="541BCE63" w14:textId="77777777" w:rsidR="00F9458B" w:rsidRPr="00716651" w:rsidRDefault="00F9458B" w:rsidP="00665D8A">
            <w:pPr>
              <w:pStyle w:val="TableHeaderWhite"/>
            </w:pPr>
            <w:r w:rsidRPr="00716651">
              <w:t>Item</w:t>
            </w:r>
          </w:p>
        </w:tc>
        <w:tc>
          <w:tcPr>
            <w:tcW w:w="8388" w:type="dxa"/>
            <w:shd w:val="clear" w:color="auto" w:fill="153A6E"/>
          </w:tcPr>
          <w:p w14:paraId="49C992EB" w14:textId="77777777" w:rsidR="00F9458B" w:rsidRPr="00716651" w:rsidRDefault="00F9458B" w:rsidP="00665D8A">
            <w:pPr>
              <w:pStyle w:val="TableHeaderWhite"/>
            </w:pPr>
            <w:r w:rsidRPr="00716651">
              <w:t>Description</w:t>
            </w:r>
          </w:p>
        </w:tc>
      </w:tr>
      <w:tr w:rsidR="00F9458B" w:rsidRPr="00F9458B" w14:paraId="6B63A773" w14:textId="77777777" w:rsidTr="00405F47">
        <w:trPr>
          <w:cantSplit/>
        </w:trPr>
        <w:tc>
          <w:tcPr>
            <w:tcW w:w="1574" w:type="dxa"/>
          </w:tcPr>
          <w:p w14:paraId="49AC147B" w14:textId="77777777" w:rsidR="00F9458B" w:rsidRPr="008A6671" w:rsidRDefault="00F9458B" w:rsidP="00F9458B">
            <w:r w:rsidRPr="008A6671">
              <w:t>Assessment</w:t>
            </w:r>
          </w:p>
        </w:tc>
        <w:tc>
          <w:tcPr>
            <w:tcW w:w="8388" w:type="dxa"/>
          </w:tcPr>
          <w:p w14:paraId="699A9C1B" w14:textId="4F67D67C" w:rsidR="00F9458B" w:rsidRPr="008A6671" w:rsidRDefault="00F9458B" w:rsidP="00F9458B">
            <w:r w:rsidRPr="008A6671">
              <w:t>Individual PHN</w:t>
            </w:r>
            <w:r w:rsidR="00974738">
              <w:t>.</w:t>
            </w:r>
          </w:p>
        </w:tc>
      </w:tr>
      <w:tr w:rsidR="00F9458B" w:rsidRPr="00F9458B" w14:paraId="4C7CCEB8" w14:textId="77777777" w:rsidTr="00405F47">
        <w:trPr>
          <w:cantSplit/>
        </w:trPr>
        <w:tc>
          <w:tcPr>
            <w:tcW w:w="1574" w:type="dxa"/>
          </w:tcPr>
          <w:p w14:paraId="691BD957" w14:textId="77777777" w:rsidR="00F9458B" w:rsidRPr="008A6671" w:rsidRDefault="00F9458B" w:rsidP="00F9458B">
            <w:r w:rsidRPr="008A6671">
              <w:t>Reporting</w:t>
            </w:r>
          </w:p>
        </w:tc>
        <w:tc>
          <w:tcPr>
            <w:tcW w:w="8388" w:type="dxa"/>
          </w:tcPr>
          <w:p w14:paraId="6C6DD477" w14:textId="1C802ADD" w:rsidR="00F9458B" w:rsidRPr="008A6671" w:rsidRDefault="00355B8A" w:rsidP="00F9458B">
            <w:r w:rsidRPr="008A6671">
              <w:t>Twelve monthly by Department.</w:t>
            </w:r>
          </w:p>
        </w:tc>
      </w:tr>
      <w:tr w:rsidR="00F9458B" w:rsidRPr="00F9458B" w14:paraId="715865EB" w14:textId="77777777" w:rsidTr="00405F47">
        <w:trPr>
          <w:cantSplit/>
        </w:trPr>
        <w:tc>
          <w:tcPr>
            <w:tcW w:w="1574" w:type="dxa"/>
          </w:tcPr>
          <w:p w14:paraId="6B133B7D" w14:textId="77777777" w:rsidR="00F9458B" w:rsidRPr="008A6671" w:rsidRDefault="00F9458B" w:rsidP="00F9458B">
            <w:r w:rsidRPr="008A6671">
              <w:t>Definition</w:t>
            </w:r>
          </w:p>
        </w:tc>
        <w:tc>
          <w:tcPr>
            <w:tcW w:w="8388" w:type="dxa"/>
          </w:tcPr>
          <w:p w14:paraId="5BDE11A9" w14:textId="5D9C2F95" w:rsidR="00F9458B" w:rsidRPr="008A6671" w:rsidRDefault="00F9458B" w:rsidP="00F9458B">
            <w:r w:rsidRPr="008A6671">
              <w:rPr>
                <w:rFonts w:eastAsia="Calibri"/>
              </w:rPr>
              <w:t>Agreements (both formal and informal) with other regional entities that support integrated regional planning and service delivery, including delineation of the role of services, referral pathways and other processes related to the access to PHN commissioned services and the transition of consumers according to their needs between different levels of care and service types</w:t>
            </w:r>
            <w:r w:rsidR="00974738">
              <w:rPr>
                <w:rFonts w:eastAsia="Calibri"/>
              </w:rPr>
              <w:t>.</w:t>
            </w:r>
          </w:p>
        </w:tc>
      </w:tr>
      <w:tr w:rsidR="00F9458B" w:rsidRPr="00F9458B" w14:paraId="641CF45C" w14:textId="77777777" w:rsidTr="00405F47">
        <w:trPr>
          <w:cantSplit/>
        </w:trPr>
        <w:tc>
          <w:tcPr>
            <w:tcW w:w="1574" w:type="dxa"/>
          </w:tcPr>
          <w:p w14:paraId="674AED4B" w14:textId="77777777" w:rsidR="00F9458B" w:rsidRPr="008A6671" w:rsidRDefault="00F9458B" w:rsidP="00F9458B">
            <w:r w:rsidRPr="008A6671">
              <w:lastRenderedPageBreak/>
              <w:t>Purpose</w:t>
            </w:r>
          </w:p>
        </w:tc>
        <w:tc>
          <w:tcPr>
            <w:tcW w:w="8388" w:type="dxa"/>
          </w:tcPr>
          <w:p w14:paraId="407E3914" w14:textId="0767FA35" w:rsidR="00F9458B" w:rsidRPr="008A6671" w:rsidRDefault="00F9458B" w:rsidP="00F9458B">
            <w:pPr>
              <w:rPr>
                <w:rFonts w:eastAsia="Calibri"/>
              </w:rPr>
            </w:pPr>
            <w:r w:rsidRPr="008A6671">
              <w:rPr>
                <w:rFonts w:eastAsia="Calibri"/>
              </w:rPr>
              <w:t>PHNs are undertaking a broader role in the provision of mental health and suicide prevention service delivery by assessing regional needs and planning services, as well as commissioning services in identified regions of need. Services commissioned by PHNs must fit within a complex framework of current mental health</w:t>
            </w:r>
            <w:r w:rsidR="00103F3B" w:rsidRPr="00103F3B">
              <w:rPr>
                <w:rFonts w:eastAsia="Calibri"/>
              </w:rPr>
              <w:t>, suicide prevention</w:t>
            </w:r>
            <w:r w:rsidRPr="008A6671">
              <w:rPr>
                <w:rFonts w:eastAsia="Calibri"/>
              </w:rPr>
              <w:t xml:space="preserve"> and related services, supplementing services provided by a broad variety of other service providers</w:t>
            </w:r>
            <w:r w:rsidR="00103F3B" w:rsidRPr="00103F3B">
              <w:rPr>
                <w:rFonts w:eastAsia="Calibri"/>
              </w:rPr>
              <w:t xml:space="preserve"> including those delivered by states and territories.</w:t>
            </w:r>
          </w:p>
          <w:p w14:paraId="45607E25" w14:textId="05773375" w:rsidR="00F9458B" w:rsidRPr="008A6671" w:rsidRDefault="00F9458B" w:rsidP="00F9458B">
            <w:pPr>
              <w:rPr>
                <w:rFonts w:eastAsia="Calibri"/>
              </w:rPr>
            </w:pPr>
            <w:r w:rsidRPr="008A6671">
              <w:rPr>
                <w:rFonts w:eastAsia="Calibri"/>
              </w:rPr>
              <w:t xml:space="preserve">Coordinated service delivery by multiple agencies is also essential to </w:t>
            </w:r>
            <w:r w:rsidR="00103F3B" w:rsidRPr="00103F3B">
              <w:rPr>
                <w:rFonts w:eastAsia="Calibri"/>
              </w:rPr>
              <w:t>identify</w:t>
            </w:r>
            <w:r w:rsidR="00103F3B" w:rsidRPr="008E5D2E">
              <w:rPr>
                <w:rFonts w:eastAsia="Calibri"/>
              </w:rPr>
              <w:t xml:space="preserve"> </w:t>
            </w:r>
            <w:r w:rsidRPr="008A6671">
              <w:rPr>
                <w:rFonts w:eastAsia="Calibri"/>
              </w:rPr>
              <w:t xml:space="preserve">needs </w:t>
            </w:r>
            <w:r w:rsidR="00103F3B" w:rsidRPr="008E5D2E">
              <w:rPr>
                <w:rFonts w:eastAsia="Calibri"/>
              </w:rPr>
              <w:t>and</w:t>
            </w:r>
            <w:r w:rsidR="00103F3B" w:rsidRPr="00103F3B">
              <w:rPr>
                <w:rFonts w:eastAsia="Calibri"/>
              </w:rPr>
              <w:t xml:space="preserve"> gaps and reduce duplication and inefficiencies.  </w:t>
            </w:r>
          </w:p>
          <w:p w14:paraId="71C50F63" w14:textId="419E4383" w:rsidR="00103F3B" w:rsidRPr="00103F3B" w:rsidRDefault="00F9458B" w:rsidP="00103F3B">
            <w:pPr>
              <w:rPr>
                <w:rFonts w:eastAsia="Calibri"/>
              </w:rPr>
            </w:pPr>
            <w:r w:rsidRPr="008A6671">
              <w:rPr>
                <w:rFonts w:eastAsia="Calibri"/>
              </w:rPr>
              <w:t xml:space="preserve">PHNs are required under the </w:t>
            </w:r>
            <w:r w:rsidR="00103F3B" w:rsidRPr="00103F3B">
              <w:rPr>
                <w:rFonts w:eastAsia="Calibri"/>
              </w:rPr>
              <w:t>Primary Mental Health Care (PM</w:t>
            </w:r>
            <w:r w:rsidR="002554DC">
              <w:rPr>
                <w:rFonts w:eastAsia="Calibri"/>
              </w:rPr>
              <w:t>H</w:t>
            </w:r>
            <w:r w:rsidR="00103F3B" w:rsidRPr="00103F3B">
              <w:rPr>
                <w:rFonts w:eastAsia="Calibri"/>
              </w:rPr>
              <w:t>C) Schedule and National Mental Health and Suicide Prevention Agreement and Bilateral PHN Program Schedule</w:t>
            </w:r>
            <w:r w:rsidRPr="008A6671">
              <w:rPr>
                <w:rFonts w:eastAsia="Calibri"/>
              </w:rPr>
              <w:t xml:space="preserve"> to develop </w:t>
            </w:r>
            <w:r w:rsidR="00103F3B" w:rsidRPr="00103F3B">
              <w:rPr>
                <w:rFonts w:eastAsia="Calibri"/>
              </w:rPr>
              <w:t xml:space="preserve">a </w:t>
            </w:r>
            <w:r w:rsidRPr="008A6671">
              <w:rPr>
                <w:rFonts w:eastAsia="Calibri"/>
              </w:rPr>
              <w:t xml:space="preserve">comprehensive </w:t>
            </w:r>
            <w:r w:rsidR="00103F3B" w:rsidRPr="00103F3B">
              <w:rPr>
                <w:rFonts w:eastAsia="Calibri"/>
              </w:rPr>
              <w:t xml:space="preserve">and evidence based Joint Regional Mental Health and Suicide Prevention Plan. New or updated joint </w:t>
            </w:r>
            <w:r w:rsidRPr="008A6671">
              <w:rPr>
                <w:rFonts w:eastAsia="Calibri"/>
              </w:rPr>
              <w:t xml:space="preserve">regional plans </w:t>
            </w:r>
            <w:r w:rsidR="00103F3B" w:rsidRPr="00103F3B">
              <w:rPr>
                <w:rFonts w:eastAsia="Calibri"/>
              </w:rPr>
              <w:t>will build on, and strengthen, the work already undertaken by PHNs under</w:t>
            </w:r>
            <w:r w:rsidRPr="008A6671">
              <w:rPr>
                <w:rFonts w:eastAsia="Calibri"/>
              </w:rPr>
              <w:t xml:space="preserve"> the </w:t>
            </w:r>
            <w:r w:rsidR="00103F3B" w:rsidRPr="00103F3B">
              <w:rPr>
                <w:rFonts w:eastAsia="Calibri"/>
              </w:rPr>
              <w:t>PMHC Schedule and the Fifth</w:t>
            </w:r>
            <w:r w:rsidRPr="008A6671">
              <w:rPr>
                <w:rFonts w:eastAsia="Calibri"/>
              </w:rPr>
              <w:t xml:space="preserve"> National Mental Health </w:t>
            </w:r>
            <w:r w:rsidR="00103F3B" w:rsidRPr="00103F3B">
              <w:rPr>
                <w:rFonts w:eastAsia="Calibri"/>
              </w:rPr>
              <w:t xml:space="preserve">and Suicide Prevention </w:t>
            </w:r>
            <w:r w:rsidRPr="008A6671">
              <w:rPr>
                <w:rFonts w:eastAsia="Calibri"/>
              </w:rPr>
              <w:t>Plan</w:t>
            </w:r>
            <w:r w:rsidR="00103F3B" w:rsidRPr="00103F3B">
              <w:rPr>
                <w:rFonts w:eastAsia="Calibri"/>
              </w:rPr>
              <w:t>. It is intended that the joint</w:t>
            </w:r>
            <w:r w:rsidRPr="008A6671">
              <w:rPr>
                <w:rFonts w:eastAsia="Calibri"/>
              </w:rPr>
              <w:t xml:space="preserve"> regional plans </w:t>
            </w:r>
            <w:r w:rsidR="00103F3B" w:rsidRPr="00103F3B">
              <w:rPr>
                <w:rFonts w:eastAsia="Calibri"/>
              </w:rPr>
              <w:t>will be iterative documents,</w:t>
            </w:r>
            <w:r w:rsidRPr="008A6671">
              <w:rPr>
                <w:rFonts w:eastAsia="Calibri"/>
              </w:rPr>
              <w:t xml:space="preserve"> to be </w:t>
            </w:r>
            <w:r w:rsidR="00103F3B" w:rsidRPr="00103F3B">
              <w:rPr>
                <w:rFonts w:eastAsia="Calibri"/>
              </w:rPr>
              <w:t>reviewed at intervals and updated as needed.</w:t>
            </w:r>
          </w:p>
          <w:p w14:paraId="21D42F07" w14:textId="5A3DAC0E" w:rsidR="00F9458B" w:rsidRPr="008A6671" w:rsidRDefault="00103F3B" w:rsidP="00F9458B">
            <w:r w:rsidRPr="00103F3B">
              <w:rPr>
                <w:rFonts w:eastAsia="Calibri"/>
              </w:rPr>
              <w:t xml:space="preserve">When reporting, PHNs are to provide detail on the work undertaken to develop, implement and review either the foundational regional plan or a new regional plan </w:t>
            </w:r>
            <w:proofErr w:type="gramStart"/>
            <w:r w:rsidRPr="00103F3B">
              <w:rPr>
                <w:rFonts w:eastAsia="Calibri"/>
              </w:rPr>
              <w:t>including:</w:t>
            </w:r>
            <w:proofErr w:type="gramEnd"/>
            <w:r w:rsidRPr="00103F3B">
              <w:rPr>
                <w:rFonts w:eastAsia="Calibri"/>
              </w:rPr>
              <w:t xml:space="preserve"> collaboration with stakeholders including the relevant state or territory local hospital networks (LHNs</w:t>
            </w:r>
            <w:r w:rsidR="00BD19A4">
              <w:rPr>
                <w:rFonts w:eastAsia="Calibri"/>
              </w:rPr>
              <w:t>)</w:t>
            </w:r>
            <w:r w:rsidRPr="00103F3B">
              <w:rPr>
                <w:rFonts w:eastAsia="Calibri"/>
              </w:rPr>
              <w:t xml:space="preserve"> or equivalent; governance arrangements; monitoring or evaluation activities; and implementation of initiatives under the Bilateral Agreement.</w:t>
            </w:r>
          </w:p>
        </w:tc>
      </w:tr>
      <w:tr w:rsidR="00F9458B" w:rsidRPr="00F9458B" w14:paraId="5579F80F" w14:textId="77777777" w:rsidTr="00405F47">
        <w:trPr>
          <w:cantSplit/>
        </w:trPr>
        <w:tc>
          <w:tcPr>
            <w:tcW w:w="1574" w:type="dxa"/>
          </w:tcPr>
          <w:p w14:paraId="45D75EF0" w14:textId="77777777" w:rsidR="00F9458B" w:rsidRPr="008A6671" w:rsidRDefault="00F9458B" w:rsidP="00F9458B">
            <w:r w:rsidRPr="008A6671">
              <w:t>Outcome Theme: Coordinated Care</w:t>
            </w:r>
          </w:p>
        </w:tc>
        <w:tc>
          <w:tcPr>
            <w:tcW w:w="8388" w:type="dxa"/>
          </w:tcPr>
          <w:p w14:paraId="7261FE24" w14:textId="77777777" w:rsidR="00F9458B" w:rsidRPr="008A6671" w:rsidRDefault="00F9458B" w:rsidP="00F9458B">
            <w:pPr>
              <w:rPr>
                <w:rFonts w:eastAsia="Calibri"/>
              </w:rPr>
            </w:pPr>
            <w:r w:rsidRPr="008A6671">
              <w:rPr>
                <w:rFonts w:eastAsia="Calibri"/>
              </w:rPr>
              <w:t>Outcome:</w:t>
            </w:r>
          </w:p>
          <w:p w14:paraId="345FACEE" w14:textId="13A0AC53" w:rsidR="00F9458B" w:rsidRPr="008A6671" w:rsidRDefault="00F9458B" w:rsidP="00F9458B">
            <w:r w:rsidRPr="008A6671">
              <w:rPr>
                <w:rFonts w:eastAsia="Calibri"/>
              </w:rPr>
              <w:t>Health care providers in PHN region have an integrated approach to mental health care and suicide prevention</w:t>
            </w:r>
            <w:r w:rsidR="00974738">
              <w:rPr>
                <w:rFonts w:eastAsia="Calibri"/>
              </w:rPr>
              <w:t>.</w:t>
            </w:r>
          </w:p>
        </w:tc>
      </w:tr>
      <w:tr w:rsidR="00F9458B" w:rsidRPr="00F9458B" w14:paraId="4277EECD" w14:textId="77777777" w:rsidTr="00405F47">
        <w:trPr>
          <w:cantSplit/>
        </w:trPr>
        <w:tc>
          <w:tcPr>
            <w:tcW w:w="1574" w:type="dxa"/>
          </w:tcPr>
          <w:p w14:paraId="432E29DF" w14:textId="77777777" w:rsidR="00F9458B" w:rsidRPr="008A6671" w:rsidRDefault="00F9458B" w:rsidP="00F9458B">
            <w:r w:rsidRPr="008A6671">
              <w:t>Performance Criteria</w:t>
            </w:r>
          </w:p>
        </w:tc>
        <w:tc>
          <w:tcPr>
            <w:tcW w:w="8388" w:type="dxa"/>
          </w:tcPr>
          <w:p w14:paraId="5D09225B" w14:textId="3559785B" w:rsidR="00F9458B" w:rsidRPr="008A6671" w:rsidRDefault="00F9458B" w:rsidP="00F9458B">
            <w:r w:rsidRPr="008A6671">
              <w:rPr>
                <w:rFonts w:eastAsia="Calibri"/>
              </w:rPr>
              <w:t>Comprehensive regional mental health and suicide prevention plans to be jointly developed with local hospital networks (LHN</w:t>
            </w:r>
            <w:r w:rsidRPr="008E5D2E">
              <w:rPr>
                <w:rFonts w:eastAsia="Calibri"/>
              </w:rPr>
              <w:t>)</w:t>
            </w:r>
            <w:r w:rsidR="00974738">
              <w:rPr>
                <w:rFonts w:eastAsia="Calibri"/>
              </w:rPr>
              <w:t>.</w:t>
            </w:r>
          </w:p>
        </w:tc>
      </w:tr>
      <w:tr w:rsidR="00F9458B" w:rsidRPr="00F9458B" w14:paraId="46120EC6" w14:textId="77777777" w:rsidTr="00405F47">
        <w:trPr>
          <w:cantSplit/>
        </w:trPr>
        <w:tc>
          <w:tcPr>
            <w:tcW w:w="1574" w:type="dxa"/>
          </w:tcPr>
          <w:p w14:paraId="0E10FDFA" w14:textId="77777777" w:rsidR="00F9458B" w:rsidRPr="008A6671" w:rsidRDefault="00F9458B" w:rsidP="00F9458B">
            <w:r w:rsidRPr="008A6671">
              <w:t>Data Source</w:t>
            </w:r>
          </w:p>
        </w:tc>
        <w:tc>
          <w:tcPr>
            <w:tcW w:w="8388" w:type="dxa"/>
          </w:tcPr>
          <w:p w14:paraId="3CEC0895" w14:textId="0ACC92F7" w:rsidR="00F9458B" w:rsidRPr="008A6671" w:rsidRDefault="00F9458B" w:rsidP="00F9458B">
            <w:r w:rsidRPr="008A6671">
              <w:rPr>
                <w:rFonts w:eastAsia="Calibri"/>
              </w:rPr>
              <w:t>MH Schedule reporting – Indicator Regional Integration</w:t>
            </w:r>
            <w:r w:rsidR="00974738">
              <w:rPr>
                <w:rFonts w:eastAsia="Calibri"/>
              </w:rPr>
              <w:t>.</w:t>
            </w:r>
          </w:p>
        </w:tc>
      </w:tr>
      <w:tr w:rsidR="00F9458B" w:rsidRPr="00F9458B" w14:paraId="547B55FA" w14:textId="77777777" w:rsidTr="00405F47">
        <w:trPr>
          <w:cantSplit/>
        </w:trPr>
        <w:tc>
          <w:tcPr>
            <w:tcW w:w="1574" w:type="dxa"/>
          </w:tcPr>
          <w:p w14:paraId="3DCDA92E" w14:textId="77777777" w:rsidR="00F9458B" w:rsidRPr="008A6671" w:rsidRDefault="00F9458B" w:rsidP="00F9458B">
            <w:r w:rsidRPr="008A6671">
              <w:t>Calculation</w:t>
            </w:r>
          </w:p>
        </w:tc>
        <w:tc>
          <w:tcPr>
            <w:tcW w:w="8388" w:type="dxa"/>
          </w:tcPr>
          <w:p w14:paraId="15E02F18" w14:textId="652EC76C" w:rsidR="00F9458B" w:rsidRPr="008A6671" w:rsidRDefault="00370D32" w:rsidP="00F9458B">
            <w:pPr>
              <w:rPr>
                <w:rFonts w:eastAsia="Calibri"/>
              </w:rPr>
            </w:pPr>
            <w:r w:rsidRPr="008A6671">
              <w:rPr>
                <w:rFonts w:eastAsia="Calibri"/>
              </w:rPr>
              <w:t>Department of Health and Aged Care</w:t>
            </w:r>
            <w:r w:rsidR="00F9458B" w:rsidRPr="008A6671">
              <w:rPr>
                <w:rFonts w:eastAsia="Calibri"/>
              </w:rPr>
              <w:t xml:space="preserve"> will assess the qualitative information provided by the PHN</w:t>
            </w:r>
            <w:r w:rsidR="00974738">
              <w:rPr>
                <w:rFonts w:eastAsia="Calibri"/>
              </w:rPr>
              <w:t>.</w:t>
            </w:r>
          </w:p>
        </w:tc>
      </w:tr>
      <w:tr w:rsidR="00F9458B" w:rsidRPr="00F9458B" w14:paraId="17809EA4" w14:textId="77777777" w:rsidTr="00405F47">
        <w:trPr>
          <w:cantSplit/>
        </w:trPr>
        <w:tc>
          <w:tcPr>
            <w:tcW w:w="1574" w:type="dxa"/>
          </w:tcPr>
          <w:p w14:paraId="1A9E42BF" w14:textId="77777777" w:rsidR="00F9458B" w:rsidRPr="008A6671" w:rsidRDefault="00F9458B" w:rsidP="00F9458B">
            <w:r w:rsidRPr="008A6671">
              <w:t>Limitations</w:t>
            </w:r>
          </w:p>
        </w:tc>
        <w:tc>
          <w:tcPr>
            <w:tcW w:w="8388" w:type="dxa"/>
          </w:tcPr>
          <w:p w14:paraId="44735495" w14:textId="77777777" w:rsidR="00F9458B" w:rsidRPr="008A6671" w:rsidRDefault="00F9458B" w:rsidP="00F9458B">
            <w:r w:rsidRPr="008A6671">
              <w:t>-</w:t>
            </w:r>
          </w:p>
        </w:tc>
      </w:tr>
      <w:tr w:rsidR="00F9458B" w:rsidRPr="00F9458B" w14:paraId="5339A121" w14:textId="77777777" w:rsidTr="00405F47">
        <w:trPr>
          <w:cantSplit/>
        </w:trPr>
        <w:tc>
          <w:tcPr>
            <w:tcW w:w="1574" w:type="dxa"/>
          </w:tcPr>
          <w:p w14:paraId="3C52AA22" w14:textId="77777777" w:rsidR="00F9458B" w:rsidRPr="008A6671" w:rsidRDefault="00F9458B" w:rsidP="00F9458B">
            <w:r w:rsidRPr="008A6671">
              <w:t>Additional information</w:t>
            </w:r>
          </w:p>
        </w:tc>
        <w:tc>
          <w:tcPr>
            <w:tcW w:w="8388" w:type="dxa"/>
          </w:tcPr>
          <w:p w14:paraId="4A55A8CD" w14:textId="0C3B0232" w:rsidR="00F9458B" w:rsidRPr="008A6671" w:rsidRDefault="00E008FA" w:rsidP="00F9458B">
            <w:r w:rsidRPr="00E008FA">
              <w:t>Comprehensive and evidence based Joint Regional Mental Health and Suicide Prevention Plan to be jointly developed with LHNs or equivalent and other stakeholders. Unless agreed as otherwise by the Commonwealth, new or updated joint regional plans are to be developed within the timeframes listed in the National Agreement Bilateral Schedules.</w:t>
            </w:r>
          </w:p>
        </w:tc>
      </w:tr>
    </w:tbl>
    <w:p w14:paraId="19B369BD" w14:textId="34088314" w:rsidR="00F9458B" w:rsidRPr="00716651" w:rsidRDefault="00F9458B" w:rsidP="00665D8A">
      <w:pPr>
        <w:pStyle w:val="Heading2"/>
      </w:pPr>
      <w:bookmarkStart w:id="76" w:name="_Toc517194530"/>
      <w:bookmarkStart w:id="77" w:name="_Toc517267764"/>
      <w:bookmarkStart w:id="78" w:name="_Toc517334525"/>
      <w:bookmarkStart w:id="79" w:name="_Toc517769810"/>
      <w:r w:rsidRPr="00716651">
        <w:t>MH</w:t>
      </w:r>
      <w:r w:rsidR="003D7A77" w:rsidRPr="00716651">
        <w:t>5</w:t>
      </w:r>
      <w:r w:rsidRPr="00716651">
        <w:t>:</w:t>
      </w:r>
      <w:r w:rsidRPr="00665D8A">
        <w:t xml:space="preserve"> Proportion of people referred to PHN commissioned services due to a recent suicide attempt or because they were at risk of suicide followed up within 7 days of referral</w:t>
      </w:r>
      <w:bookmarkEnd w:id="76"/>
      <w:bookmarkEnd w:id="77"/>
      <w:bookmarkEnd w:id="78"/>
      <w:bookmarkEnd w:id="79"/>
    </w:p>
    <w:tbl>
      <w:tblPr>
        <w:tblStyle w:val="PHNTealtable"/>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4A0" w:firstRow="1" w:lastRow="0" w:firstColumn="1" w:lastColumn="0" w:noHBand="0" w:noVBand="1"/>
        <w:tblDescription w:val="This table details indicator MH5: Proportion of people referred to PHN commissioned services due to a recent suicide attempt or because they were at risk of suicide followed up within 7 days of referral. It is comprised of two columns, and 11 rows. Column one provides the Item of the indicator, and Column two outlines the corresponding description."/>
      </w:tblPr>
      <w:tblGrid>
        <w:gridCol w:w="1571"/>
        <w:gridCol w:w="8156"/>
      </w:tblGrid>
      <w:tr w:rsidR="00F9458B" w:rsidRPr="00F9458B" w14:paraId="25BC598E" w14:textId="77777777" w:rsidTr="00B80E97">
        <w:trPr>
          <w:cnfStyle w:val="100000000000" w:firstRow="1" w:lastRow="0" w:firstColumn="0" w:lastColumn="0" w:oddVBand="0" w:evenVBand="0" w:oddHBand="0" w:evenHBand="0" w:firstRowFirstColumn="0" w:firstRowLastColumn="0" w:lastRowFirstColumn="0" w:lastRowLastColumn="0"/>
          <w:tblHeader/>
        </w:trPr>
        <w:tc>
          <w:tcPr>
            <w:tcW w:w="1574" w:type="dxa"/>
            <w:shd w:val="clear" w:color="auto" w:fill="153A6E"/>
          </w:tcPr>
          <w:p w14:paraId="12EC419E" w14:textId="77777777" w:rsidR="00F9458B" w:rsidRPr="00716651" w:rsidRDefault="00F9458B" w:rsidP="00665D8A">
            <w:pPr>
              <w:pStyle w:val="TableHeaderWhite"/>
            </w:pPr>
            <w:r w:rsidRPr="00716651">
              <w:t>Item</w:t>
            </w:r>
          </w:p>
        </w:tc>
        <w:tc>
          <w:tcPr>
            <w:tcW w:w="8388" w:type="dxa"/>
            <w:shd w:val="clear" w:color="auto" w:fill="153A6E"/>
          </w:tcPr>
          <w:p w14:paraId="0C9E0898" w14:textId="77777777" w:rsidR="00F9458B" w:rsidRPr="00716651" w:rsidRDefault="00F9458B" w:rsidP="00665D8A">
            <w:pPr>
              <w:pStyle w:val="TableHeaderWhite"/>
            </w:pPr>
            <w:r w:rsidRPr="00716651">
              <w:t>Description</w:t>
            </w:r>
          </w:p>
        </w:tc>
      </w:tr>
      <w:tr w:rsidR="00F9458B" w:rsidRPr="00F9458B" w14:paraId="5E4E0056" w14:textId="77777777" w:rsidTr="00B80E97">
        <w:trPr>
          <w:cantSplit/>
        </w:trPr>
        <w:tc>
          <w:tcPr>
            <w:tcW w:w="1574" w:type="dxa"/>
          </w:tcPr>
          <w:p w14:paraId="45C4681D" w14:textId="77777777" w:rsidR="00F9458B" w:rsidRPr="008A6671" w:rsidRDefault="00F9458B" w:rsidP="00F9458B">
            <w:r w:rsidRPr="008A6671">
              <w:t>Assessment</w:t>
            </w:r>
          </w:p>
        </w:tc>
        <w:tc>
          <w:tcPr>
            <w:tcW w:w="8388" w:type="dxa"/>
          </w:tcPr>
          <w:p w14:paraId="1ADAFDF9" w14:textId="153E64E7" w:rsidR="00F9458B" w:rsidRPr="008A6671" w:rsidRDefault="00F9458B" w:rsidP="00F9458B">
            <w:r w:rsidRPr="008A6671">
              <w:t>Individual PHN</w:t>
            </w:r>
          </w:p>
        </w:tc>
      </w:tr>
      <w:tr w:rsidR="00F9458B" w:rsidRPr="00F9458B" w14:paraId="61FFB8C8" w14:textId="77777777" w:rsidTr="00B80E97">
        <w:trPr>
          <w:cantSplit/>
        </w:trPr>
        <w:tc>
          <w:tcPr>
            <w:tcW w:w="1574" w:type="dxa"/>
          </w:tcPr>
          <w:p w14:paraId="716FDCFF" w14:textId="77777777" w:rsidR="00F9458B" w:rsidRPr="008A6671" w:rsidRDefault="00F9458B" w:rsidP="00F9458B">
            <w:r w:rsidRPr="008A6671">
              <w:lastRenderedPageBreak/>
              <w:t>Reporting</w:t>
            </w:r>
          </w:p>
        </w:tc>
        <w:tc>
          <w:tcPr>
            <w:tcW w:w="8388" w:type="dxa"/>
          </w:tcPr>
          <w:p w14:paraId="6B7E2935" w14:textId="4E5F5063" w:rsidR="00F9458B" w:rsidRPr="008A6671" w:rsidRDefault="00F9458B" w:rsidP="00F9458B">
            <w:r w:rsidRPr="008A6671">
              <w:rPr>
                <w:rFonts w:eastAsia="Calibri"/>
              </w:rPr>
              <w:t xml:space="preserve">Twelve monthly </w:t>
            </w:r>
            <w:r w:rsidR="00091D4D">
              <w:rPr>
                <w:rFonts w:eastAsia="Calibri"/>
              </w:rPr>
              <w:t xml:space="preserve">by </w:t>
            </w:r>
            <w:r w:rsidR="00985E08">
              <w:rPr>
                <w:rFonts w:eastAsia="Calibri"/>
              </w:rPr>
              <w:t>Department</w:t>
            </w:r>
            <w:r w:rsidRPr="008A6671">
              <w:rPr>
                <w:rFonts w:eastAsia="Calibri"/>
              </w:rPr>
              <w:t xml:space="preserve"> from Primary Mental Health Care (PMHC) Minimum Data Set (MDS) Standard Reports accessed by PHNs</w:t>
            </w:r>
            <w:r w:rsidR="00974738">
              <w:rPr>
                <w:rFonts w:eastAsia="Calibri"/>
              </w:rPr>
              <w:t>.</w:t>
            </w:r>
          </w:p>
        </w:tc>
      </w:tr>
      <w:tr w:rsidR="00F9458B" w:rsidRPr="00F9458B" w14:paraId="32612D7B" w14:textId="77777777" w:rsidTr="00B80E97">
        <w:trPr>
          <w:cantSplit/>
        </w:trPr>
        <w:tc>
          <w:tcPr>
            <w:tcW w:w="1574" w:type="dxa"/>
          </w:tcPr>
          <w:p w14:paraId="2A60CB77" w14:textId="77777777" w:rsidR="00F9458B" w:rsidRPr="008A6671" w:rsidRDefault="00F9458B" w:rsidP="00F9458B">
            <w:r w:rsidRPr="008A6671">
              <w:t>Definition</w:t>
            </w:r>
          </w:p>
        </w:tc>
        <w:tc>
          <w:tcPr>
            <w:tcW w:w="8388" w:type="dxa"/>
          </w:tcPr>
          <w:p w14:paraId="5E6A62E7" w14:textId="1FB5704F" w:rsidR="00F9458B" w:rsidRPr="008A6671" w:rsidRDefault="00F9458B" w:rsidP="00F9458B">
            <w:r w:rsidRPr="008A6671">
              <w:rPr>
                <w:rFonts w:eastAsia="Calibri"/>
              </w:rPr>
              <w:t>Proportion of people referred to PHN commissioned services where suicide risk was identified at referral and were followed up within 7 days of referral</w:t>
            </w:r>
            <w:r w:rsidR="00974738">
              <w:rPr>
                <w:rFonts w:eastAsia="Calibri"/>
              </w:rPr>
              <w:t>.</w:t>
            </w:r>
          </w:p>
        </w:tc>
      </w:tr>
      <w:tr w:rsidR="00F9458B" w:rsidRPr="00F9458B" w14:paraId="41F250BB" w14:textId="77777777" w:rsidTr="00B80E97">
        <w:trPr>
          <w:cantSplit/>
        </w:trPr>
        <w:tc>
          <w:tcPr>
            <w:tcW w:w="1574" w:type="dxa"/>
          </w:tcPr>
          <w:p w14:paraId="551AA14C" w14:textId="77777777" w:rsidR="00F9458B" w:rsidRPr="008A6671" w:rsidRDefault="00F9458B" w:rsidP="00F9458B">
            <w:r w:rsidRPr="008A6671">
              <w:t>Purpose</w:t>
            </w:r>
          </w:p>
        </w:tc>
        <w:tc>
          <w:tcPr>
            <w:tcW w:w="8388" w:type="dxa"/>
          </w:tcPr>
          <w:p w14:paraId="79AAC3BC" w14:textId="0EA2433F" w:rsidR="00F9458B" w:rsidRPr="008A6671" w:rsidRDefault="00F9458B" w:rsidP="00F9458B">
            <w:pPr>
              <w:rPr>
                <w:rFonts w:eastAsia="Calibri"/>
              </w:rPr>
            </w:pPr>
            <w:r w:rsidRPr="008A6671">
              <w:rPr>
                <w:rFonts w:eastAsia="Calibri"/>
              </w:rPr>
              <w:t>PHNs are to take a lead role in planning and commissioning community-based suicide prevention activities</w:t>
            </w:r>
            <w:r w:rsidR="00F25AD7">
              <w:rPr>
                <w:rFonts w:eastAsia="Calibri"/>
              </w:rPr>
              <w:t>.</w:t>
            </w:r>
          </w:p>
          <w:p w14:paraId="27240F6A" w14:textId="01FA7260" w:rsidR="00F9458B" w:rsidRPr="008A6671" w:rsidRDefault="00F9458B" w:rsidP="00F9458B">
            <w:pPr>
              <w:rPr>
                <w:rFonts w:eastAsia="Calibri"/>
              </w:rPr>
            </w:pPr>
            <w:r w:rsidRPr="008A6671">
              <w:rPr>
                <w:rFonts w:eastAsia="Calibri"/>
              </w:rPr>
              <w:t xml:space="preserve">There is a particular imperative to improve follow-up for people in the </w:t>
            </w:r>
            <w:proofErr w:type="gramStart"/>
            <w:r w:rsidRPr="008A6671">
              <w:rPr>
                <w:rFonts w:eastAsia="Calibri"/>
              </w:rPr>
              <w:t>high risk</w:t>
            </w:r>
            <w:proofErr w:type="gramEnd"/>
            <w:r w:rsidRPr="008A6671">
              <w:rPr>
                <w:rFonts w:eastAsia="Calibri"/>
              </w:rPr>
              <w:t xml:space="preserve"> period following a suicide attempt. Individuals are known to be particularly vulnerable in the period between leaving hospital and transitioning to community mental health care</w:t>
            </w:r>
            <w:r w:rsidR="00F25AD7">
              <w:rPr>
                <w:rFonts w:eastAsia="Calibri"/>
              </w:rPr>
              <w:t>.</w:t>
            </w:r>
          </w:p>
          <w:p w14:paraId="2D7022C3" w14:textId="00027FFB" w:rsidR="00F9458B" w:rsidRPr="008A6671" w:rsidRDefault="00F9458B" w:rsidP="00F9458B">
            <w:pPr>
              <w:rPr>
                <w:rFonts w:eastAsia="Calibri"/>
              </w:rPr>
            </w:pPr>
            <w:r w:rsidRPr="008A6671">
              <w:rPr>
                <w:rFonts w:eastAsia="Calibri"/>
              </w:rPr>
              <w:t>Planning should be undertaken in partnership with local hospital networks (LHN) and other local organisations to ensure there are no gaps in services and that referral pathways are clearly defined</w:t>
            </w:r>
            <w:r w:rsidR="00974738">
              <w:rPr>
                <w:rFonts w:eastAsia="Calibri"/>
              </w:rPr>
              <w:t>.</w:t>
            </w:r>
          </w:p>
        </w:tc>
      </w:tr>
      <w:tr w:rsidR="00F9458B" w:rsidRPr="00F9458B" w14:paraId="155F3E1F" w14:textId="77777777" w:rsidTr="00B80E97">
        <w:trPr>
          <w:cantSplit/>
        </w:trPr>
        <w:tc>
          <w:tcPr>
            <w:tcW w:w="1574" w:type="dxa"/>
          </w:tcPr>
          <w:p w14:paraId="080FF120" w14:textId="77777777" w:rsidR="00F9458B" w:rsidRPr="008A6671" w:rsidRDefault="00F9458B" w:rsidP="00F9458B">
            <w:r w:rsidRPr="008A6671">
              <w:t>Outcome Theme: Coordinated Care</w:t>
            </w:r>
          </w:p>
        </w:tc>
        <w:tc>
          <w:tcPr>
            <w:tcW w:w="8388" w:type="dxa"/>
          </w:tcPr>
          <w:p w14:paraId="66A20E46" w14:textId="77777777" w:rsidR="00F9458B" w:rsidRPr="008A6671" w:rsidRDefault="00F9458B" w:rsidP="00F9458B">
            <w:pPr>
              <w:rPr>
                <w:rFonts w:eastAsia="Calibri"/>
              </w:rPr>
            </w:pPr>
            <w:r w:rsidRPr="008A6671">
              <w:rPr>
                <w:rFonts w:eastAsia="Calibri"/>
              </w:rPr>
              <w:t>Outcome:</w:t>
            </w:r>
          </w:p>
          <w:p w14:paraId="720A6F5D" w14:textId="7AF46F03" w:rsidR="00F9458B" w:rsidRPr="008A6671" w:rsidRDefault="00F9458B" w:rsidP="00F9458B">
            <w:r w:rsidRPr="008A6671">
              <w:rPr>
                <w:rFonts w:eastAsia="Calibri"/>
              </w:rPr>
              <w:t>Health care providers in PHN region have an integrated approach to mental health care and suicide prevention</w:t>
            </w:r>
            <w:r w:rsidR="00974738">
              <w:rPr>
                <w:rFonts w:eastAsia="Calibri"/>
              </w:rPr>
              <w:t>.</w:t>
            </w:r>
          </w:p>
        </w:tc>
      </w:tr>
      <w:tr w:rsidR="00F9458B" w:rsidRPr="00F9458B" w14:paraId="4612A925" w14:textId="77777777" w:rsidTr="00B80E97">
        <w:trPr>
          <w:cantSplit/>
        </w:trPr>
        <w:tc>
          <w:tcPr>
            <w:tcW w:w="1574" w:type="dxa"/>
          </w:tcPr>
          <w:p w14:paraId="01DEDE24" w14:textId="77777777" w:rsidR="00F9458B" w:rsidRPr="008A6671" w:rsidRDefault="00F9458B" w:rsidP="00F9458B">
            <w:r w:rsidRPr="008A6671">
              <w:t>Performance Criteria</w:t>
            </w:r>
          </w:p>
        </w:tc>
        <w:tc>
          <w:tcPr>
            <w:tcW w:w="8388" w:type="dxa"/>
          </w:tcPr>
          <w:p w14:paraId="5DFCCB5D" w14:textId="0E53CB16" w:rsidR="00F9458B" w:rsidRPr="008A6671" w:rsidRDefault="00F9458B" w:rsidP="00F9458B">
            <w:r w:rsidRPr="008A6671">
              <w:rPr>
                <w:rFonts w:eastAsia="Calibri"/>
              </w:rPr>
              <w:t>100% of people referred to PHN commissioned services followed up within 7 days of referral</w:t>
            </w:r>
            <w:r w:rsidR="00974738">
              <w:rPr>
                <w:rFonts w:eastAsia="Calibri"/>
              </w:rPr>
              <w:t>.</w:t>
            </w:r>
          </w:p>
        </w:tc>
      </w:tr>
      <w:tr w:rsidR="00F9458B" w:rsidRPr="00F9458B" w14:paraId="5F9F85B7" w14:textId="77777777" w:rsidTr="00B80E97">
        <w:trPr>
          <w:cantSplit/>
        </w:trPr>
        <w:tc>
          <w:tcPr>
            <w:tcW w:w="1574" w:type="dxa"/>
          </w:tcPr>
          <w:p w14:paraId="54EFD2AC" w14:textId="77777777" w:rsidR="00F9458B" w:rsidRPr="008A6671" w:rsidRDefault="00F9458B" w:rsidP="00F9458B">
            <w:r w:rsidRPr="008A6671">
              <w:t>Data Source</w:t>
            </w:r>
          </w:p>
        </w:tc>
        <w:tc>
          <w:tcPr>
            <w:tcW w:w="8388" w:type="dxa"/>
          </w:tcPr>
          <w:p w14:paraId="0F71EF59" w14:textId="3FA2BD92" w:rsidR="00F9458B" w:rsidRPr="008A6671" w:rsidRDefault="00F9458B" w:rsidP="00F9458B">
            <w:pPr>
              <w:rPr>
                <w:rFonts w:eastAsia="Calibri"/>
              </w:rPr>
            </w:pPr>
            <w:r w:rsidRPr="008A6671">
              <w:rPr>
                <w:rFonts w:eastAsia="Calibri"/>
              </w:rPr>
              <w:t>MH Schedule reporting – Indicator App-3</w:t>
            </w:r>
            <w:r w:rsidR="00F25AD7">
              <w:rPr>
                <w:rFonts w:eastAsia="Calibri"/>
              </w:rPr>
              <w:t>.</w:t>
            </w:r>
          </w:p>
          <w:p w14:paraId="20F7DB29" w14:textId="614F54D1" w:rsidR="00F9458B" w:rsidRPr="008A6671" w:rsidRDefault="00F9458B" w:rsidP="00F9458B">
            <w:r w:rsidRPr="008A6671">
              <w:rPr>
                <w:rFonts w:eastAsia="Calibri"/>
              </w:rPr>
              <w:t>Constructed from PMHC MDS</w:t>
            </w:r>
            <w:r w:rsidR="00974738">
              <w:rPr>
                <w:rFonts w:eastAsia="Calibri"/>
              </w:rPr>
              <w:t>.</w:t>
            </w:r>
          </w:p>
        </w:tc>
      </w:tr>
      <w:tr w:rsidR="00F9458B" w:rsidRPr="00F9458B" w14:paraId="0C817B4B" w14:textId="77777777" w:rsidTr="00B80E97">
        <w:trPr>
          <w:cantSplit/>
        </w:trPr>
        <w:tc>
          <w:tcPr>
            <w:tcW w:w="1574" w:type="dxa"/>
          </w:tcPr>
          <w:p w14:paraId="05D9A4CF" w14:textId="77777777" w:rsidR="00F9458B" w:rsidRPr="008A6671" w:rsidRDefault="00F9458B" w:rsidP="00F9458B">
            <w:r w:rsidRPr="008A6671">
              <w:t>Calculation</w:t>
            </w:r>
          </w:p>
        </w:tc>
        <w:tc>
          <w:tcPr>
            <w:tcW w:w="8388" w:type="dxa"/>
          </w:tcPr>
          <w:p w14:paraId="09945F30" w14:textId="77777777" w:rsidR="00F9458B" w:rsidRPr="008A6671" w:rsidRDefault="00F9458B" w:rsidP="00F9458B">
            <w:pPr>
              <w:rPr>
                <w:rFonts w:eastAsia="Calibri"/>
              </w:rPr>
            </w:pPr>
            <w:r w:rsidRPr="008A6671">
              <w:rPr>
                <w:rFonts w:eastAsia="Calibri"/>
              </w:rPr>
              <w:t>Numerator:</w:t>
            </w:r>
          </w:p>
          <w:p w14:paraId="1C145A94" w14:textId="3B75BA68" w:rsidR="00F9458B" w:rsidRPr="008A6671" w:rsidRDefault="00F9458B" w:rsidP="00F9458B">
            <w:pPr>
              <w:rPr>
                <w:rFonts w:eastAsia="Calibri"/>
              </w:rPr>
            </w:pPr>
            <w:r w:rsidRPr="008A6671">
              <w:rPr>
                <w:rFonts w:eastAsia="Calibri"/>
              </w:rPr>
              <w:t>Number of episodes that commenced in the reporting period where the Suicide Referral Flag was recorded as ‘Yes’ and where the first Service Contact was recorded as occurring within 7 days or less of the Referral Date</w:t>
            </w:r>
            <w:r w:rsidR="00F25AD7">
              <w:rPr>
                <w:rFonts w:eastAsia="Calibri"/>
              </w:rPr>
              <w:t>.</w:t>
            </w:r>
          </w:p>
          <w:p w14:paraId="53E3A4B3" w14:textId="77777777" w:rsidR="00F9458B" w:rsidRPr="008A6671" w:rsidRDefault="00F9458B" w:rsidP="00F9458B">
            <w:pPr>
              <w:rPr>
                <w:rFonts w:eastAsia="Calibri"/>
              </w:rPr>
            </w:pPr>
            <w:r w:rsidRPr="008A6671">
              <w:rPr>
                <w:rFonts w:eastAsia="Calibri"/>
              </w:rPr>
              <w:t>Denominator:</w:t>
            </w:r>
          </w:p>
          <w:p w14:paraId="5F324510" w14:textId="2E7CF183" w:rsidR="00F9458B" w:rsidRPr="008A6671" w:rsidRDefault="00F9458B" w:rsidP="00F9458B">
            <w:pPr>
              <w:rPr>
                <w:rFonts w:eastAsia="Calibri"/>
              </w:rPr>
            </w:pPr>
            <w:r w:rsidRPr="008A6671">
              <w:rPr>
                <w:rFonts w:eastAsia="Calibri"/>
              </w:rPr>
              <w:t>Number of episodes that commenced in the reporting period where the Suicide Referral Flag was recorded as ‘Yes’</w:t>
            </w:r>
            <w:r w:rsidR="00F25AD7">
              <w:rPr>
                <w:rFonts w:eastAsia="Calibri"/>
              </w:rPr>
              <w:t>.</w:t>
            </w:r>
          </w:p>
          <w:p w14:paraId="26904F14" w14:textId="77777777" w:rsidR="00F9458B" w:rsidRPr="008A6671" w:rsidRDefault="00F9458B" w:rsidP="00F9458B">
            <w:pPr>
              <w:rPr>
                <w:rFonts w:eastAsia="Calibri"/>
              </w:rPr>
            </w:pPr>
            <w:r w:rsidRPr="008A6671">
              <w:rPr>
                <w:rFonts w:eastAsia="Calibri"/>
              </w:rPr>
              <w:t>Computation:</w:t>
            </w:r>
          </w:p>
          <w:p w14:paraId="09368B0F" w14:textId="0F3E20E0" w:rsidR="00F9458B" w:rsidRPr="008A6671" w:rsidRDefault="00F9458B" w:rsidP="00F9458B">
            <w:pPr>
              <w:rPr>
                <w:rFonts w:eastAsia="Calibri"/>
              </w:rPr>
            </w:pPr>
            <w:r w:rsidRPr="008A6671">
              <w:rPr>
                <w:rFonts w:eastAsia="Calibri"/>
              </w:rPr>
              <w:t>100 x (numerator / denominator</w:t>
            </w:r>
            <w:r w:rsidRPr="008E5D2E">
              <w:rPr>
                <w:rFonts w:eastAsia="Calibri"/>
              </w:rPr>
              <w:t>)</w:t>
            </w:r>
            <w:r w:rsidR="00974738">
              <w:rPr>
                <w:rFonts w:eastAsia="Calibri"/>
              </w:rPr>
              <w:t>.</w:t>
            </w:r>
          </w:p>
        </w:tc>
      </w:tr>
      <w:tr w:rsidR="00F9458B" w:rsidRPr="00F9458B" w14:paraId="76E124B8" w14:textId="77777777" w:rsidTr="00B80E97">
        <w:trPr>
          <w:cantSplit/>
        </w:trPr>
        <w:tc>
          <w:tcPr>
            <w:tcW w:w="1574" w:type="dxa"/>
          </w:tcPr>
          <w:p w14:paraId="5E63B29A" w14:textId="77777777" w:rsidR="00F9458B" w:rsidRPr="008A6671" w:rsidRDefault="00F9458B" w:rsidP="00F9458B">
            <w:r w:rsidRPr="008A6671">
              <w:t>Limitations</w:t>
            </w:r>
          </w:p>
        </w:tc>
        <w:tc>
          <w:tcPr>
            <w:tcW w:w="8388" w:type="dxa"/>
          </w:tcPr>
          <w:p w14:paraId="31C7AD4A" w14:textId="53AB4738" w:rsidR="00F9458B" w:rsidRPr="008A6671" w:rsidRDefault="00F9458B" w:rsidP="00F9458B">
            <w:pPr>
              <w:rPr>
                <w:rFonts w:eastAsia="Calibri"/>
              </w:rPr>
            </w:pPr>
            <w:r w:rsidRPr="008A6671">
              <w:rPr>
                <w:rFonts w:eastAsia="Calibri"/>
              </w:rPr>
              <w:t>This indicator represents a proxy of the underlying concept of prompt response and follow up for people at risk of suicide or who have made a recent attempt</w:t>
            </w:r>
            <w:r w:rsidR="00F25AD7">
              <w:rPr>
                <w:rFonts w:eastAsia="Calibri"/>
              </w:rPr>
              <w:t>.</w:t>
            </w:r>
          </w:p>
          <w:p w14:paraId="544FC693" w14:textId="77777777" w:rsidR="00F9458B" w:rsidRPr="008A6671" w:rsidRDefault="00F9458B" w:rsidP="00D369DA">
            <w:pPr>
              <w:rPr>
                <w:rFonts w:eastAsia="Calibri"/>
              </w:rPr>
            </w:pPr>
            <w:r w:rsidRPr="008A6671">
              <w:rPr>
                <w:rFonts w:eastAsia="Calibri"/>
              </w:rPr>
              <w:t xml:space="preserve">Estimates of the number of people attempting suicide in the region and those presenting for treatment of injuries </w:t>
            </w:r>
            <w:proofErr w:type="gramStart"/>
            <w:r w:rsidRPr="008A6671">
              <w:rPr>
                <w:rFonts w:eastAsia="Calibri"/>
              </w:rPr>
              <w:t>as a result of</w:t>
            </w:r>
            <w:proofErr w:type="gramEnd"/>
            <w:r w:rsidRPr="008A6671">
              <w:rPr>
                <w:rFonts w:eastAsia="Calibri"/>
              </w:rPr>
              <w:t xml:space="preserve"> an attempt are required to better gauge the effectiveness of and access to services.</w:t>
            </w:r>
          </w:p>
          <w:p w14:paraId="1381D550" w14:textId="77777777" w:rsidR="00F9458B" w:rsidRPr="008A6671" w:rsidRDefault="00F9458B" w:rsidP="00D369DA">
            <w:r w:rsidRPr="008A6671">
              <w:rPr>
                <w:rFonts w:eastAsia="Calibri"/>
              </w:rPr>
              <w:t>Referral arrangements and information exchange with other regional service providers are also required to ascertain the effectiveness of services in following up all referrals. In the interim the numbers of people receiving appropriate follow up provide an indication of net activity and allows for tracking changes over time.</w:t>
            </w:r>
          </w:p>
        </w:tc>
      </w:tr>
      <w:tr w:rsidR="00F9458B" w:rsidRPr="00F9458B" w14:paraId="375A56F2" w14:textId="77777777" w:rsidTr="00B80E97">
        <w:trPr>
          <w:cantSplit/>
        </w:trPr>
        <w:tc>
          <w:tcPr>
            <w:tcW w:w="1574" w:type="dxa"/>
          </w:tcPr>
          <w:p w14:paraId="364A8BB3" w14:textId="77777777" w:rsidR="00F9458B" w:rsidRPr="008A6671" w:rsidRDefault="00F9458B" w:rsidP="00F9458B">
            <w:r w:rsidRPr="008A6671">
              <w:t>Additional information</w:t>
            </w:r>
          </w:p>
        </w:tc>
        <w:tc>
          <w:tcPr>
            <w:tcW w:w="8388" w:type="dxa"/>
          </w:tcPr>
          <w:p w14:paraId="64DE1862" w14:textId="6AC9CF18" w:rsidR="00F9458B" w:rsidRPr="008A6671" w:rsidRDefault="0028501B" w:rsidP="00F9458B">
            <w:pPr>
              <w:rPr>
                <w:rFonts w:eastAsia="Calibri"/>
              </w:rPr>
            </w:pPr>
            <w:r w:rsidRPr="008A6671">
              <w:rPr>
                <w:rFonts w:eastAsia="Calibri"/>
              </w:rPr>
              <w:t xml:space="preserve">See </w:t>
            </w:r>
            <w:hyperlink r:id="rId17" w:history="1">
              <w:r w:rsidRPr="006C1F64">
                <w:rPr>
                  <w:rStyle w:val="Hyperlink"/>
                </w:rPr>
                <w:t>PMHC-MDS Data Specification</w:t>
              </w:r>
            </w:hyperlink>
            <w:r w:rsidR="00974738" w:rsidRPr="00665D8A">
              <w:rPr>
                <w:rStyle w:val="Hyperlink"/>
              </w:rPr>
              <w:t>.</w:t>
            </w:r>
          </w:p>
        </w:tc>
      </w:tr>
    </w:tbl>
    <w:p w14:paraId="17421238" w14:textId="269A5995" w:rsidR="00F9458B" w:rsidRPr="00716651" w:rsidRDefault="00F9458B" w:rsidP="00665D8A">
      <w:pPr>
        <w:pStyle w:val="Heading2"/>
      </w:pPr>
      <w:bookmarkStart w:id="80" w:name="_Toc517194531"/>
      <w:bookmarkStart w:id="81" w:name="_Toc517267765"/>
      <w:bookmarkStart w:id="82" w:name="_Toc517334526"/>
      <w:bookmarkStart w:id="83" w:name="_Toc517769811"/>
      <w:r w:rsidRPr="00716651">
        <w:lastRenderedPageBreak/>
        <w:t>MH</w:t>
      </w:r>
      <w:r w:rsidR="003D7A77" w:rsidRPr="00716651">
        <w:t>6</w:t>
      </w:r>
      <w:r w:rsidRPr="00716651">
        <w:t>:</w:t>
      </w:r>
      <w:bookmarkEnd w:id="80"/>
      <w:bookmarkEnd w:id="81"/>
      <w:bookmarkEnd w:id="82"/>
      <w:bookmarkEnd w:id="83"/>
      <w:r w:rsidR="00455A8C" w:rsidRPr="00716651">
        <w:t xml:space="preserve"> Outcomes Readiness - Completion rates for clinical outcome measures</w:t>
      </w:r>
    </w:p>
    <w:tbl>
      <w:tblPr>
        <w:tblStyle w:val="PHNTealtable"/>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4A0" w:firstRow="1" w:lastRow="0" w:firstColumn="1" w:lastColumn="0" w:noHBand="0" w:noVBand="1"/>
        <w:tblDescription w:val="This table details indicator MH6: Clinical outcomes for the regional population receiving services – low intensity psychological interventions. It is comprised of two columns, and 11 rows. Column one provides the Item of the indicator, and Column two outlines the corresponding description."/>
      </w:tblPr>
      <w:tblGrid>
        <w:gridCol w:w="1571"/>
        <w:gridCol w:w="8156"/>
      </w:tblGrid>
      <w:tr w:rsidR="00F9458B" w:rsidRPr="00F9458B" w14:paraId="3A6C88C4" w14:textId="77777777" w:rsidTr="0031114F">
        <w:trPr>
          <w:cnfStyle w:val="100000000000" w:firstRow="1" w:lastRow="0" w:firstColumn="0" w:lastColumn="0" w:oddVBand="0" w:evenVBand="0" w:oddHBand="0" w:evenHBand="0" w:firstRowFirstColumn="0" w:firstRowLastColumn="0" w:lastRowFirstColumn="0" w:lastRowLastColumn="0"/>
          <w:tblHeader/>
        </w:trPr>
        <w:tc>
          <w:tcPr>
            <w:tcW w:w="1571" w:type="dxa"/>
            <w:shd w:val="clear" w:color="auto" w:fill="153A6E"/>
          </w:tcPr>
          <w:p w14:paraId="5CC1B500" w14:textId="77777777" w:rsidR="00F9458B" w:rsidRPr="00716651" w:rsidRDefault="00F9458B" w:rsidP="00665D8A">
            <w:pPr>
              <w:pStyle w:val="TableHeaderWhite"/>
            </w:pPr>
            <w:r w:rsidRPr="00716651">
              <w:t>Item</w:t>
            </w:r>
          </w:p>
        </w:tc>
        <w:tc>
          <w:tcPr>
            <w:tcW w:w="8162" w:type="dxa"/>
            <w:shd w:val="clear" w:color="auto" w:fill="153A6E"/>
          </w:tcPr>
          <w:p w14:paraId="0E49A5DB" w14:textId="77777777" w:rsidR="00F9458B" w:rsidRPr="00716651" w:rsidRDefault="00F9458B" w:rsidP="00665D8A">
            <w:pPr>
              <w:pStyle w:val="TableHeaderWhite"/>
            </w:pPr>
            <w:r w:rsidRPr="00716651">
              <w:t>Description</w:t>
            </w:r>
          </w:p>
        </w:tc>
      </w:tr>
      <w:tr w:rsidR="00F9458B" w:rsidRPr="00F9458B" w14:paraId="2473E48B" w14:textId="77777777" w:rsidTr="0031114F">
        <w:trPr>
          <w:cantSplit/>
        </w:trPr>
        <w:tc>
          <w:tcPr>
            <w:tcW w:w="1571" w:type="dxa"/>
          </w:tcPr>
          <w:p w14:paraId="70C7A89B" w14:textId="77777777" w:rsidR="00F9458B" w:rsidRPr="008A6671" w:rsidRDefault="00F9458B" w:rsidP="00F9458B">
            <w:r w:rsidRPr="008A6671">
              <w:t>Assessment</w:t>
            </w:r>
          </w:p>
        </w:tc>
        <w:tc>
          <w:tcPr>
            <w:tcW w:w="8162" w:type="dxa"/>
          </w:tcPr>
          <w:p w14:paraId="369C479B" w14:textId="3A54BA2C" w:rsidR="00F9458B" w:rsidRPr="008A6671" w:rsidRDefault="00F9458B" w:rsidP="00F9458B">
            <w:r w:rsidRPr="008A6671">
              <w:t>Individual PHN</w:t>
            </w:r>
            <w:r w:rsidR="00974738">
              <w:t>.</w:t>
            </w:r>
          </w:p>
        </w:tc>
      </w:tr>
      <w:tr w:rsidR="00455A8C" w:rsidRPr="00F9458B" w14:paraId="348ED5F1" w14:textId="77777777" w:rsidTr="0031114F">
        <w:trPr>
          <w:cantSplit/>
        </w:trPr>
        <w:tc>
          <w:tcPr>
            <w:tcW w:w="1571" w:type="dxa"/>
          </w:tcPr>
          <w:p w14:paraId="0D137D2B" w14:textId="77777777" w:rsidR="00455A8C" w:rsidRPr="008A6671" w:rsidRDefault="00455A8C" w:rsidP="00F9458B">
            <w:r w:rsidRPr="008A6671">
              <w:t>Reporting</w:t>
            </w:r>
          </w:p>
        </w:tc>
        <w:tc>
          <w:tcPr>
            <w:tcW w:w="8162" w:type="dxa"/>
          </w:tcPr>
          <w:p w14:paraId="3FB597D6" w14:textId="51C5CA64" w:rsidR="00455A8C" w:rsidRPr="008A6671" w:rsidRDefault="00455A8C" w:rsidP="00A94182">
            <w:pPr>
              <w:rPr>
                <w:rFonts w:eastAsia="Calibri"/>
              </w:rPr>
            </w:pPr>
            <w:r w:rsidRPr="008A6671">
              <w:rPr>
                <w:rFonts w:eastAsia="Calibri"/>
              </w:rPr>
              <w:t xml:space="preserve">Twelve monthly </w:t>
            </w:r>
            <w:r w:rsidR="00091D4D">
              <w:rPr>
                <w:rFonts w:eastAsia="Calibri"/>
              </w:rPr>
              <w:t xml:space="preserve">by </w:t>
            </w:r>
            <w:r w:rsidR="00E03723">
              <w:rPr>
                <w:rFonts w:eastAsia="Calibri"/>
              </w:rPr>
              <w:t>Department</w:t>
            </w:r>
            <w:r w:rsidRPr="008A6671">
              <w:rPr>
                <w:rFonts w:eastAsia="Calibri"/>
              </w:rPr>
              <w:t xml:space="preserve"> from Primary Mental Health Care</w:t>
            </w:r>
            <w:r w:rsidR="009613A9">
              <w:rPr>
                <w:rFonts w:eastAsia="Calibri"/>
              </w:rPr>
              <w:t xml:space="preserve"> </w:t>
            </w:r>
            <w:r w:rsidRPr="008A6671">
              <w:rPr>
                <w:rFonts w:eastAsia="Calibri"/>
              </w:rPr>
              <w:t>(PMHC) Minimum Data Set (MDS) Standard Reports accessed by PHNs</w:t>
            </w:r>
            <w:r w:rsidR="00974738">
              <w:rPr>
                <w:rFonts w:eastAsia="Calibri"/>
              </w:rPr>
              <w:t>.</w:t>
            </w:r>
          </w:p>
        </w:tc>
      </w:tr>
      <w:tr w:rsidR="00455A8C" w:rsidRPr="00F9458B" w14:paraId="3506BE14" w14:textId="77777777" w:rsidTr="0031114F">
        <w:trPr>
          <w:cantSplit/>
        </w:trPr>
        <w:tc>
          <w:tcPr>
            <w:tcW w:w="1571" w:type="dxa"/>
          </w:tcPr>
          <w:p w14:paraId="66B25949" w14:textId="77777777" w:rsidR="00455A8C" w:rsidRPr="008A6671" w:rsidRDefault="00455A8C" w:rsidP="00F9458B">
            <w:r w:rsidRPr="008A6671">
              <w:t>Definition</w:t>
            </w:r>
          </w:p>
        </w:tc>
        <w:tc>
          <w:tcPr>
            <w:tcW w:w="8162" w:type="dxa"/>
          </w:tcPr>
          <w:p w14:paraId="63184472" w14:textId="77777777" w:rsidR="00455A8C" w:rsidRPr="008A6671" w:rsidRDefault="00455A8C" w:rsidP="00A94182">
            <w:pPr>
              <w:rPr>
                <w:rFonts w:eastAsia="Calibri"/>
              </w:rPr>
            </w:pPr>
            <w:r w:rsidRPr="008A6671">
              <w:rPr>
                <w:rFonts w:eastAsia="Calibri"/>
              </w:rPr>
              <w:t>The proportion of mental health care episodes delivered by PHN commissioned organisations or individual service providers with valid clinical outcome measures at both baseline and follow-up.</w:t>
            </w:r>
          </w:p>
        </w:tc>
      </w:tr>
      <w:tr w:rsidR="00455A8C" w:rsidRPr="00F9458B" w14:paraId="0A9464B1" w14:textId="77777777" w:rsidTr="0031114F">
        <w:trPr>
          <w:cantSplit/>
        </w:trPr>
        <w:tc>
          <w:tcPr>
            <w:tcW w:w="1571" w:type="dxa"/>
          </w:tcPr>
          <w:p w14:paraId="5EB6D7FC" w14:textId="77777777" w:rsidR="00455A8C" w:rsidRPr="008A6671" w:rsidRDefault="00455A8C" w:rsidP="00F9458B">
            <w:r w:rsidRPr="008A6671">
              <w:t>Purpose</w:t>
            </w:r>
          </w:p>
        </w:tc>
        <w:tc>
          <w:tcPr>
            <w:tcW w:w="8162" w:type="dxa"/>
          </w:tcPr>
          <w:p w14:paraId="2788CCC5" w14:textId="77777777" w:rsidR="00455A8C" w:rsidRPr="008A6671" w:rsidRDefault="00455A8C" w:rsidP="00A94182">
            <w:pPr>
              <w:rPr>
                <w:rFonts w:eastAsia="Calibri"/>
              </w:rPr>
            </w:pPr>
            <w:r w:rsidRPr="008A6671">
              <w:rPr>
                <w:rFonts w:eastAsia="Calibri"/>
              </w:rPr>
              <w:t>A key objective of funding PHNs is to commission mental health services to improve outcomes for those receiving mental health and suicide prevention services in primary care.</w:t>
            </w:r>
          </w:p>
          <w:p w14:paraId="46245C76" w14:textId="77777777" w:rsidR="00455A8C" w:rsidRPr="008A6671" w:rsidRDefault="00455A8C" w:rsidP="00A94182">
            <w:pPr>
              <w:rPr>
                <w:rFonts w:eastAsia="Calibri"/>
              </w:rPr>
            </w:pPr>
            <w:r w:rsidRPr="008A6671">
              <w:rPr>
                <w:rFonts w:eastAsia="Calibri"/>
              </w:rPr>
              <w:t xml:space="preserve">Standardised outcome measures, collected at the first and last occasions of service at a minimum, provide the means for assessing effectiveness of services and are included in the PMHC MDS as mandatory requirements. </w:t>
            </w:r>
          </w:p>
          <w:p w14:paraId="7BFBEBDD" w14:textId="77777777" w:rsidR="00455A8C" w:rsidRPr="008A6671" w:rsidRDefault="00455A8C" w:rsidP="00A94182">
            <w:pPr>
              <w:rPr>
                <w:rFonts w:eastAsia="Calibri"/>
              </w:rPr>
            </w:pPr>
            <w:r w:rsidRPr="008A6671">
              <w:rPr>
                <w:rFonts w:eastAsia="Calibri"/>
              </w:rPr>
              <w:t>The purpose of indicator MH6 is to monitor the implementation progress of outcome measurement within regions.  Completion rates will point to whether the coverage of outcome measurement is sufficient to enable meaningful and valid indicators to be constructed from the outcomes data.</w:t>
            </w:r>
          </w:p>
        </w:tc>
      </w:tr>
      <w:tr w:rsidR="00455A8C" w:rsidRPr="00F9458B" w14:paraId="163B555B" w14:textId="77777777" w:rsidTr="0031114F">
        <w:trPr>
          <w:cantSplit/>
        </w:trPr>
        <w:tc>
          <w:tcPr>
            <w:tcW w:w="1571" w:type="dxa"/>
          </w:tcPr>
          <w:p w14:paraId="79E780E3" w14:textId="77777777" w:rsidR="00455A8C" w:rsidRPr="008A6671" w:rsidRDefault="00455A8C" w:rsidP="00F9458B">
            <w:r w:rsidRPr="008A6671">
              <w:t>Outcome Theme: Quality Care</w:t>
            </w:r>
          </w:p>
        </w:tc>
        <w:tc>
          <w:tcPr>
            <w:tcW w:w="8162" w:type="dxa"/>
          </w:tcPr>
          <w:p w14:paraId="41487336" w14:textId="77777777" w:rsidR="00455A8C" w:rsidRPr="008A6671" w:rsidRDefault="00455A8C" w:rsidP="00A94182">
            <w:pPr>
              <w:rPr>
                <w:rFonts w:eastAsia="Calibri"/>
              </w:rPr>
            </w:pPr>
            <w:r w:rsidRPr="008A6671">
              <w:rPr>
                <w:rFonts w:eastAsia="Calibri"/>
              </w:rPr>
              <w:t>Outcome:</w:t>
            </w:r>
          </w:p>
          <w:p w14:paraId="1378A414" w14:textId="7A0725FA" w:rsidR="00455A8C" w:rsidRPr="008A6671" w:rsidRDefault="00455A8C" w:rsidP="00A94182">
            <w:pPr>
              <w:rPr>
                <w:rFonts w:eastAsia="Calibri"/>
              </w:rPr>
            </w:pPr>
            <w:r w:rsidRPr="008A6671">
              <w:rPr>
                <w:rFonts w:eastAsia="Calibri"/>
              </w:rPr>
              <w:t>PHN commissioned mental health services improve outcomes for patients</w:t>
            </w:r>
            <w:r w:rsidR="00974738">
              <w:rPr>
                <w:rFonts w:eastAsia="Calibri"/>
              </w:rPr>
              <w:t>.</w:t>
            </w:r>
          </w:p>
        </w:tc>
      </w:tr>
      <w:tr w:rsidR="00455A8C" w:rsidRPr="00F9458B" w14:paraId="4E5524DA" w14:textId="77777777" w:rsidTr="0031114F">
        <w:trPr>
          <w:cantSplit/>
        </w:trPr>
        <w:tc>
          <w:tcPr>
            <w:tcW w:w="1571" w:type="dxa"/>
          </w:tcPr>
          <w:p w14:paraId="7D463F79" w14:textId="77777777" w:rsidR="00455A8C" w:rsidRPr="008A6671" w:rsidRDefault="00455A8C" w:rsidP="00F9458B">
            <w:r w:rsidRPr="008A6671">
              <w:t>Performance Criteria</w:t>
            </w:r>
          </w:p>
        </w:tc>
        <w:tc>
          <w:tcPr>
            <w:tcW w:w="8162" w:type="dxa"/>
          </w:tcPr>
          <w:p w14:paraId="0AFE06BD" w14:textId="7F48F2F5" w:rsidR="00455A8C" w:rsidRPr="008A6671" w:rsidRDefault="00455A8C" w:rsidP="00A94182">
            <w:pPr>
              <w:rPr>
                <w:rFonts w:eastAsia="Calibri"/>
              </w:rPr>
            </w:pPr>
            <w:r w:rsidRPr="008A6671">
              <w:rPr>
                <w:rFonts w:eastAsia="Calibri"/>
              </w:rPr>
              <w:t>70% of completed episodes of care have recorded valid outcome measures at Episode Start and Episode End</w:t>
            </w:r>
            <w:r w:rsidR="00974738">
              <w:rPr>
                <w:rFonts w:eastAsia="Calibri"/>
              </w:rPr>
              <w:t>.</w:t>
            </w:r>
          </w:p>
        </w:tc>
      </w:tr>
      <w:tr w:rsidR="00455A8C" w:rsidRPr="00F9458B" w14:paraId="719254FF" w14:textId="77777777" w:rsidTr="0031114F">
        <w:trPr>
          <w:cantSplit/>
        </w:trPr>
        <w:tc>
          <w:tcPr>
            <w:tcW w:w="1571" w:type="dxa"/>
          </w:tcPr>
          <w:p w14:paraId="33738EC5" w14:textId="77777777" w:rsidR="00455A8C" w:rsidRPr="008A6671" w:rsidRDefault="00455A8C" w:rsidP="00F9458B">
            <w:r w:rsidRPr="008A6671">
              <w:t>Data Source</w:t>
            </w:r>
          </w:p>
        </w:tc>
        <w:tc>
          <w:tcPr>
            <w:tcW w:w="8162" w:type="dxa"/>
          </w:tcPr>
          <w:p w14:paraId="7338F1A8" w14:textId="2C9DAD0C" w:rsidR="00455A8C" w:rsidRPr="008A6671" w:rsidRDefault="00455A8C" w:rsidP="00A94182">
            <w:pPr>
              <w:rPr>
                <w:rFonts w:eastAsia="Calibri"/>
              </w:rPr>
            </w:pPr>
            <w:r w:rsidRPr="008A6671">
              <w:rPr>
                <w:rFonts w:eastAsia="Calibri"/>
              </w:rPr>
              <w:t>MH Schedule reporting – Indicator Out-3</w:t>
            </w:r>
            <w:r w:rsidR="00F25AD7">
              <w:rPr>
                <w:rFonts w:eastAsia="Calibri"/>
              </w:rPr>
              <w:t>.</w:t>
            </w:r>
          </w:p>
          <w:p w14:paraId="6A9BAEEB" w14:textId="38046B91" w:rsidR="00455A8C" w:rsidRPr="008A6671" w:rsidRDefault="00455A8C" w:rsidP="00A94182">
            <w:pPr>
              <w:rPr>
                <w:rFonts w:eastAsia="Calibri"/>
              </w:rPr>
            </w:pPr>
            <w:r w:rsidRPr="008A6671">
              <w:rPr>
                <w:rFonts w:eastAsia="Calibri"/>
              </w:rPr>
              <w:t>Constructed from PMHC MDS</w:t>
            </w:r>
            <w:r w:rsidR="00974738">
              <w:rPr>
                <w:rFonts w:eastAsia="Calibri"/>
              </w:rPr>
              <w:t>.</w:t>
            </w:r>
          </w:p>
        </w:tc>
      </w:tr>
      <w:tr w:rsidR="00455A8C" w:rsidRPr="00F9458B" w14:paraId="6E2CD88B" w14:textId="77777777" w:rsidTr="0031114F">
        <w:trPr>
          <w:cantSplit/>
        </w:trPr>
        <w:tc>
          <w:tcPr>
            <w:tcW w:w="1571" w:type="dxa"/>
          </w:tcPr>
          <w:p w14:paraId="15D39C7F" w14:textId="77777777" w:rsidR="00455A8C" w:rsidRPr="008A6671" w:rsidRDefault="00455A8C" w:rsidP="00F9458B">
            <w:r w:rsidRPr="008A6671">
              <w:t>Calculation</w:t>
            </w:r>
          </w:p>
        </w:tc>
        <w:tc>
          <w:tcPr>
            <w:tcW w:w="8162" w:type="dxa"/>
          </w:tcPr>
          <w:p w14:paraId="7227704D" w14:textId="77777777" w:rsidR="00455A8C" w:rsidRPr="008A6671" w:rsidRDefault="00455A8C" w:rsidP="00A94182">
            <w:pPr>
              <w:rPr>
                <w:rFonts w:eastAsia="Calibri"/>
              </w:rPr>
            </w:pPr>
            <w:r w:rsidRPr="008A6671">
              <w:rPr>
                <w:rFonts w:eastAsia="Calibri"/>
              </w:rPr>
              <w:t>Numerator:</w:t>
            </w:r>
          </w:p>
          <w:p w14:paraId="6E0C34B4" w14:textId="1C9F7B16" w:rsidR="00455A8C" w:rsidRPr="008A6671" w:rsidRDefault="00455A8C" w:rsidP="00A94182">
            <w:pPr>
              <w:rPr>
                <w:rFonts w:eastAsia="Calibri"/>
              </w:rPr>
            </w:pPr>
            <w:r w:rsidRPr="008A6671">
              <w:rPr>
                <w:rFonts w:eastAsia="Calibri"/>
              </w:rPr>
              <w:t>Number of completed episodes of mental health care which have valid outcome measures recorded for Episode Start and Episode End within the reference period</w:t>
            </w:r>
            <w:r w:rsidR="00F25AD7">
              <w:rPr>
                <w:rFonts w:eastAsia="Calibri"/>
              </w:rPr>
              <w:t>.</w:t>
            </w:r>
          </w:p>
          <w:p w14:paraId="654ECB9C" w14:textId="77777777" w:rsidR="00455A8C" w:rsidRPr="008A6671" w:rsidRDefault="00455A8C" w:rsidP="00A94182">
            <w:pPr>
              <w:rPr>
                <w:rFonts w:eastAsia="Calibri"/>
              </w:rPr>
            </w:pPr>
            <w:r w:rsidRPr="008A6671">
              <w:rPr>
                <w:rFonts w:eastAsia="Calibri"/>
              </w:rPr>
              <w:t>Denominator:</w:t>
            </w:r>
          </w:p>
          <w:p w14:paraId="1AE60102" w14:textId="2D41B391" w:rsidR="00455A8C" w:rsidRPr="008A6671" w:rsidRDefault="00455A8C" w:rsidP="00A94182">
            <w:pPr>
              <w:rPr>
                <w:rFonts w:eastAsia="Calibri"/>
              </w:rPr>
            </w:pPr>
            <w:r w:rsidRPr="008A6671">
              <w:rPr>
                <w:rFonts w:eastAsia="Calibri"/>
              </w:rPr>
              <w:t>Number of completed episodes of mental health care delivered by PHN commissioned organisations or individual service providers within the reference period</w:t>
            </w:r>
            <w:r w:rsidR="00F25AD7">
              <w:rPr>
                <w:rFonts w:eastAsia="Calibri"/>
              </w:rPr>
              <w:t>.</w:t>
            </w:r>
          </w:p>
          <w:p w14:paraId="04C15B55" w14:textId="77777777" w:rsidR="00455A8C" w:rsidRPr="008A6671" w:rsidRDefault="00455A8C" w:rsidP="00A94182">
            <w:pPr>
              <w:rPr>
                <w:rFonts w:eastAsia="Calibri"/>
              </w:rPr>
            </w:pPr>
            <w:r w:rsidRPr="008A6671">
              <w:rPr>
                <w:rFonts w:eastAsia="Calibri"/>
              </w:rPr>
              <w:t>Computation:</w:t>
            </w:r>
          </w:p>
          <w:p w14:paraId="08D988CD" w14:textId="77777777" w:rsidR="00455A8C" w:rsidRPr="008A6671" w:rsidRDefault="00455A8C" w:rsidP="00A94182">
            <w:pPr>
              <w:rPr>
                <w:rFonts w:eastAsia="Calibri"/>
              </w:rPr>
            </w:pPr>
            <w:r w:rsidRPr="008A6671">
              <w:rPr>
                <w:rFonts w:eastAsia="Calibri"/>
              </w:rPr>
              <w:t>100 x (numerator / denominator)</w:t>
            </w:r>
          </w:p>
          <w:p w14:paraId="1C61C770" w14:textId="4C927A79" w:rsidR="00455A8C" w:rsidRPr="008A6671" w:rsidRDefault="00455A8C" w:rsidP="00A94182">
            <w:pPr>
              <w:rPr>
                <w:rFonts w:eastAsia="Calibri"/>
              </w:rPr>
            </w:pPr>
            <w:r w:rsidRPr="008A6671">
              <w:rPr>
                <w:rFonts w:eastAsia="Calibri"/>
              </w:rPr>
              <w:t>Coverage/Scope is all completed episodes of care in the reporting period that have a ‘matched pair’ of valid outcome measures collected at Episode Start and Episode End</w:t>
            </w:r>
            <w:r w:rsidR="00974738">
              <w:rPr>
                <w:rFonts w:eastAsia="Calibri"/>
              </w:rPr>
              <w:t>.</w:t>
            </w:r>
          </w:p>
        </w:tc>
      </w:tr>
      <w:tr w:rsidR="00455A8C" w:rsidRPr="00F9458B" w14:paraId="5F94CF60" w14:textId="77777777" w:rsidTr="0031114F">
        <w:trPr>
          <w:cantSplit/>
        </w:trPr>
        <w:tc>
          <w:tcPr>
            <w:tcW w:w="1571" w:type="dxa"/>
          </w:tcPr>
          <w:p w14:paraId="497C49ED" w14:textId="77777777" w:rsidR="00455A8C" w:rsidRPr="008A6671" w:rsidRDefault="00455A8C" w:rsidP="00F9458B">
            <w:r w:rsidRPr="008A6671">
              <w:lastRenderedPageBreak/>
              <w:t>Limitations</w:t>
            </w:r>
          </w:p>
        </w:tc>
        <w:tc>
          <w:tcPr>
            <w:tcW w:w="8162" w:type="dxa"/>
          </w:tcPr>
          <w:p w14:paraId="402CE5A2" w14:textId="2A7141A9" w:rsidR="00455A8C" w:rsidRPr="008A6671" w:rsidRDefault="00455A8C" w:rsidP="00A94182">
            <w:pPr>
              <w:rPr>
                <w:rFonts w:eastAsia="Calibri"/>
              </w:rPr>
            </w:pPr>
            <w:r w:rsidRPr="008A6671">
              <w:rPr>
                <w:rFonts w:eastAsia="Calibri"/>
              </w:rPr>
              <w:t>Clinical outcomes do not necessarily reflect the client experience of service delivery</w:t>
            </w:r>
            <w:r w:rsidR="00F25AD7">
              <w:rPr>
                <w:rFonts w:eastAsia="Calibri"/>
              </w:rPr>
              <w:t>.</w:t>
            </w:r>
          </w:p>
          <w:p w14:paraId="15725E35" w14:textId="55F0B1BB" w:rsidR="00455A8C" w:rsidRPr="008A6671" w:rsidRDefault="00455A8C" w:rsidP="00A94182">
            <w:pPr>
              <w:rPr>
                <w:rFonts w:eastAsia="Calibri"/>
              </w:rPr>
            </w:pPr>
            <w:r w:rsidRPr="008A6671">
              <w:rPr>
                <w:rFonts w:eastAsia="Calibri"/>
              </w:rPr>
              <w:t>Development of a consumer experience of services measure suitable for the primary mental health care sector, based on the Your Experience of Service instrument, is ongoing work for future implementation</w:t>
            </w:r>
            <w:r w:rsidR="00974738">
              <w:rPr>
                <w:rFonts w:eastAsia="Calibri"/>
              </w:rPr>
              <w:t>.</w:t>
            </w:r>
          </w:p>
        </w:tc>
      </w:tr>
      <w:tr w:rsidR="00455A8C" w:rsidRPr="00F9458B" w14:paraId="20A13C59" w14:textId="77777777" w:rsidTr="0031114F">
        <w:trPr>
          <w:cantSplit/>
        </w:trPr>
        <w:tc>
          <w:tcPr>
            <w:tcW w:w="1571" w:type="dxa"/>
          </w:tcPr>
          <w:p w14:paraId="6AE47196" w14:textId="77777777" w:rsidR="00455A8C" w:rsidRPr="008A6671" w:rsidRDefault="00455A8C" w:rsidP="00F9458B">
            <w:r w:rsidRPr="008A6671">
              <w:t>Additional information</w:t>
            </w:r>
          </w:p>
        </w:tc>
        <w:tc>
          <w:tcPr>
            <w:tcW w:w="8162" w:type="dxa"/>
          </w:tcPr>
          <w:p w14:paraId="58E66DEB" w14:textId="77777777" w:rsidR="00455A8C" w:rsidRPr="008A6671" w:rsidRDefault="00455A8C" w:rsidP="00A94182">
            <w:pPr>
              <w:rPr>
                <w:rFonts w:eastAsia="Calibri"/>
              </w:rPr>
            </w:pPr>
            <w:r w:rsidRPr="008A6671">
              <w:rPr>
                <w:rFonts w:eastAsia="Calibri"/>
              </w:rPr>
              <w:t>For purposes of this indicator, a valid clinical outcome measure is defined as one where the number of items completed meets minimal threshold requirements. Translated to individual rating scales this means:</w:t>
            </w:r>
          </w:p>
          <w:p w14:paraId="1B13B5E7" w14:textId="29EF95FF" w:rsidR="00455A8C" w:rsidRPr="008A6671" w:rsidRDefault="00455A8C" w:rsidP="00716651">
            <w:pPr>
              <w:pStyle w:val="ListBullet"/>
            </w:pPr>
            <w:r w:rsidRPr="008A6671">
              <w:t>For the K10, a minimum of 9 of the 10 items</w:t>
            </w:r>
          </w:p>
          <w:p w14:paraId="5E36171D" w14:textId="544A66D2" w:rsidR="00455A8C" w:rsidRPr="008A6671" w:rsidRDefault="00455A8C" w:rsidP="00716651">
            <w:pPr>
              <w:pStyle w:val="ListBullet"/>
            </w:pPr>
            <w:r w:rsidRPr="008A6671">
              <w:t>For the K5, a minimum of 5 items (nil missing data)</w:t>
            </w:r>
          </w:p>
          <w:p w14:paraId="5C219637" w14:textId="7BA99BC5" w:rsidR="00455A8C" w:rsidRPr="008A6671" w:rsidRDefault="00455A8C" w:rsidP="00716651">
            <w:pPr>
              <w:pStyle w:val="ListBullet"/>
            </w:pPr>
            <w:r w:rsidRPr="008A6671">
              <w:t>For the SDQ, a minimum of 3 items for each of the 5 subscales</w:t>
            </w:r>
            <w:r w:rsidR="00F25AD7" w:rsidRPr="008C10D2">
              <w:t>.</w:t>
            </w:r>
          </w:p>
          <w:p w14:paraId="0F8C9E4A" w14:textId="2B16D65B" w:rsidR="00455A8C" w:rsidRPr="008A6671" w:rsidRDefault="0028501B" w:rsidP="00A94182">
            <w:pPr>
              <w:rPr>
                <w:rFonts w:eastAsia="Calibri"/>
              </w:rPr>
            </w:pPr>
            <w:r w:rsidRPr="008A6671">
              <w:rPr>
                <w:rFonts w:eastAsia="Calibri"/>
              </w:rPr>
              <w:t xml:space="preserve">See </w:t>
            </w:r>
            <w:hyperlink r:id="rId18" w:history="1">
              <w:r w:rsidRPr="006C1F64">
                <w:rPr>
                  <w:rStyle w:val="Hyperlink"/>
                </w:rPr>
                <w:t>PMHC-MDS Data Specification</w:t>
              </w:r>
            </w:hyperlink>
            <w:r w:rsidR="00974738" w:rsidRPr="00665D8A">
              <w:rPr>
                <w:rStyle w:val="Hyperlink"/>
              </w:rPr>
              <w:t>.</w:t>
            </w:r>
          </w:p>
        </w:tc>
      </w:tr>
    </w:tbl>
    <w:p w14:paraId="76226904" w14:textId="77777777" w:rsidR="00716651" w:rsidRPr="00665D8A" w:rsidRDefault="00716651" w:rsidP="00665D8A">
      <w:bookmarkStart w:id="84" w:name="_Toc176250623"/>
      <w:bookmarkStart w:id="85" w:name="_Toc522013917"/>
      <w:bookmarkStart w:id="86" w:name="_Toc197069397"/>
      <w:r w:rsidRPr="00665D8A">
        <w:br w:type="page"/>
      </w:r>
    </w:p>
    <w:p w14:paraId="41BD9F9D" w14:textId="3AA4346D" w:rsidR="00F9458B" w:rsidRPr="00F9458B" w:rsidRDefault="00454616" w:rsidP="00034E43">
      <w:pPr>
        <w:pStyle w:val="Heading1Orange"/>
      </w:pPr>
      <w:r>
        <w:lastRenderedPageBreak/>
        <w:t>First Nations</w:t>
      </w:r>
      <w:r w:rsidR="00F9458B" w:rsidRPr="00F9458B">
        <w:t xml:space="preserve"> Health indicators</w:t>
      </w:r>
      <w:bookmarkEnd w:id="84"/>
      <w:bookmarkEnd w:id="85"/>
      <w:bookmarkEnd w:id="86"/>
    </w:p>
    <w:p w14:paraId="22A12DD7" w14:textId="4F600DD6" w:rsidR="00F9458B" w:rsidRPr="00665D8A" w:rsidRDefault="00454616" w:rsidP="00665D8A">
      <w:pPr>
        <w:pStyle w:val="Heading2"/>
      </w:pPr>
      <w:bookmarkStart w:id="87" w:name="_Toc517267767"/>
      <w:bookmarkStart w:id="88" w:name="_Toc517334497"/>
      <w:bookmarkStart w:id="89" w:name="_Toc517769814"/>
      <w:r w:rsidRPr="00665D8A">
        <w:t>FN</w:t>
      </w:r>
      <w:r w:rsidR="003D7A77" w:rsidRPr="00665D8A">
        <w:t>1</w:t>
      </w:r>
      <w:r w:rsidR="00F9458B" w:rsidRPr="00665D8A">
        <w:t>: Numbers of I</w:t>
      </w:r>
      <w:r w:rsidR="000A393B" w:rsidRPr="00665D8A">
        <w:t xml:space="preserve">ntegrated </w:t>
      </w:r>
      <w:r w:rsidR="00F9458B" w:rsidRPr="00665D8A">
        <w:t>T</w:t>
      </w:r>
      <w:r w:rsidR="000A393B" w:rsidRPr="00665D8A">
        <w:t xml:space="preserve">eam </w:t>
      </w:r>
      <w:r w:rsidR="00F9458B" w:rsidRPr="00665D8A">
        <w:t>C</w:t>
      </w:r>
      <w:r w:rsidR="000A393B" w:rsidRPr="00665D8A">
        <w:t>are</w:t>
      </w:r>
      <w:r w:rsidR="00F9458B" w:rsidRPr="00665D8A">
        <w:t xml:space="preserve"> services delivered by PHN</w:t>
      </w:r>
      <w:bookmarkEnd w:id="87"/>
      <w:bookmarkEnd w:id="88"/>
      <w:bookmarkEnd w:id="89"/>
    </w:p>
    <w:tbl>
      <w:tblPr>
        <w:tblStyle w:val="PHNTealtable"/>
        <w:tblW w:w="972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4A0" w:firstRow="1" w:lastRow="0" w:firstColumn="1" w:lastColumn="0" w:noHBand="0" w:noVBand="1"/>
        <w:tblDescription w:val="This table details indicator IH1: Numbers of ITC services delivered by PHN. It is comprised of two columns, and 11 rows. Column one provides the Item of the indicator, and Column two outlines the corresponding description.&#10;"/>
      </w:tblPr>
      <w:tblGrid>
        <w:gridCol w:w="1570"/>
        <w:gridCol w:w="8158"/>
      </w:tblGrid>
      <w:tr w:rsidR="00F9458B" w:rsidRPr="00F9458B" w14:paraId="2F9F99F2" w14:textId="77777777" w:rsidTr="00716651">
        <w:trPr>
          <w:cnfStyle w:val="100000000000" w:firstRow="1" w:lastRow="0" w:firstColumn="0" w:lastColumn="0" w:oddVBand="0" w:evenVBand="0" w:oddHBand="0" w:evenHBand="0" w:firstRowFirstColumn="0" w:firstRowLastColumn="0" w:lastRowFirstColumn="0" w:lastRowLastColumn="0"/>
          <w:tblHeader/>
        </w:trPr>
        <w:tc>
          <w:tcPr>
            <w:tcW w:w="1570" w:type="dxa"/>
            <w:shd w:val="clear" w:color="auto" w:fill="153A6E"/>
          </w:tcPr>
          <w:p w14:paraId="1C6868D9" w14:textId="77777777" w:rsidR="00F9458B" w:rsidRPr="00716651" w:rsidRDefault="00F9458B" w:rsidP="00665D8A">
            <w:pPr>
              <w:pStyle w:val="TableHeaderWhite"/>
            </w:pPr>
            <w:r w:rsidRPr="00716651">
              <w:t>Item</w:t>
            </w:r>
          </w:p>
        </w:tc>
        <w:tc>
          <w:tcPr>
            <w:tcW w:w="8158" w:type="dxa"/>
            <w:shd w:val="clear" w:color="auto" w:fill="153A6E"/>
          </w:tcPr>
          <w:p w14:paraId="6C8B1B34" w14:textId="77777777" w:rsidR="00F9458B" w:rsidRPr="00716651" w:rsidRDefault="00F9458B" w:rsidP="00665D8A">
            <w:pPr>
              <w:pStyle w:val="TableHeaderWhite"/>
            </w:pPr>
            <w:r w:rsidRPr="00716651">
              <w:t>Description</w:t>
            </w:r>
          </w:p>
        </w:tc>
      </w:tr>
      <w:tr w:rsidR="00F9458B" w:rsidRPr="00F9458B" w14:paraId="7E23C78D" w14:textId="77777777" w:rsidTr="00B80E97">
        <w:trPr>
          <w:cantSplit/>
        </w:trPr>
        <w:tc>
          <w:tcPr>
            <w:tcW w:w="1570" w:type="dxa"/>
          </w:tcPr>
          <w:p w14:paraId="18E19CBA" w14:textId="77777777" w:rsidR="00F9458B" w:rsidRPr="008A6671" w:rsidRDefault="00F9458B" w:rsidP="00F9458B">
            <w:r w:rsidRPr="008A6671">
              <w:t>Assessment</w:t>
            </w:r>
          </w:p>
        </w:tc>
        <w:tc>
          <w:tcPr>
            <w:tcW w:w="8158" w:type="dxa"/>
          </w:tcPr>
          <w:p w14:paraId="22464DCF" w14:textId="39547405" w:rsidR="00F9458B" w:rsidRPr="008A6671" w:rsidRDefault="00F9458B" w:rsidP="00F9458B">
            <w:r w:rsidRPr="008A6671">
              <w:t>Individual PHN</w:t>
            </w:r>
            <w:r w:rsidR="00974738">
              <w:t>.</w:t>
            </w:r>
          </w:p>
        </w:tc>
      </w:tr>
      <w:tr w:rsidR="00F9458B" w:rsidRPr="00F9458B" w14:paraId="005716EF" w14:textId="77777777" w:rsidTr="00B80E97">
        <w:tc>
          <w:tcPr>
            <w:tcW w:w="1570" w:type="dxa"/>
            <w:shd w:val="clear" w:color="auto" w:fill="D72F0D"/>
          </w:tcPr>
          <w:p w14:paraId="3DAB65C2" w14:textId="77777777" w:rsidR="00F9458B" w:rsidRPr="0082185D" w:rsidRDefault="00F9458B" w:rsidP="00665D8A">
            <w:pPr>
              <w:pStyle w:val="TableTextwhite"/>
            </w:pPr>
            <w:r w:rsidRPr="0082185D">
              <w:t>Reporting</w:t>
            </w:r>
          </w:p>
        </w:tc>
        <w:tc>
          <w:tcPr>
            <w:tcW w:w="8158" w:type="dxa"/>
            <w:shd w:val="clear" w:color="auto" w:fill="D72F0D"/>
          </w:tcPr>
          <w:p w14:paraId="736B8EED" w14:textId="1B880982" w:rsidR="00F9458B" w:rsidRPr="0082185D" w:rsidRDefault="00091D4D" w:rsidP="00665D8A">
            <w:pPr>
              <w:pStyle w:val="TableTextwhite"/>
            </w:pPr>
            <w:r w:rsidRPr="0082185D">
              <w:t xml:space="preserve">Twelve monthly by </w:t>
            </w:r>
            <w:r w:rsidR="00C00D78" w:rsidRPr="0082185D">
              <w:t>PHN</w:t>
            </w:r>
            <w:r w:rsidR="00974738" w:rsidRPr="0082185D">
              <w:t>.</w:t>
            </w:r>
          </w:p>
        </w:tc>
      </w:tr>
      <w:tr w:rsidR="00F9458B" w:rsidRPr="00F9458B" w14:paraId="7ABF9A35" w14:textId="77777777" w:rsidTr="00B80E97">
        <w:trPr>
          <w:cantSplit/>
        </w:trPr>
        <w:tc>
          <w:tcPr>
            <w:tcW w:w="1570" w:type="dxa"/>
          </w:tcPr>
          <w:p w14:paraId="2817739E" w14:textId="77777777" w:rsidR="00F9458B" w:rsidRPr="008A6671" w:rsidRDefault="00F9458B" w:rsidP="00F9458B">
            <w:r w:rsidRPr="008A6671">
              <w:t>Definition</w:t>
            </w:r>
          </w:p>
        </w:tc>
        <w:tc>
          <w:tcPr>
            <w:tcW w:w="8158" w:type="dxa"/>
          </w:tcPr>
          <w:p w14:paraId="26BB2EFF" w14:textId="602A8F9F" w:rsidR="00F9458B" w:rsidRPr="008A6671" w:rsidRDefault="000A393B" w:rsidP="00F9458B">
            <w:pPr>
              <w:rPr>
                <w:rFonts w:eastAsia="Calibri"/>
              </w:rPr>
            </w:pPr>
            <w:r>
              <w:rPr>
                <w:rFonts w:eastAsia="Calibri"/>
              </w:rPr>
              <w:t>Integrated Team Care (</w:t>
            </w:r>
            <w:r w:rsidR="00F9458B" w:rsidRPr="008A6671">
              <w:rPr>
                <w:rFonts w:eastAsia="Calibri"/>
              </w:rPr>
              <w:t>ITC</w:t>
            </w:r>
            <w:r>
              <w:rPr>
                <w:rFonts w:eastAsia="Calibri"/>
              </w:rPr>
              <w:t>)</w:t>
            </w:r>
            <w:r w:rsidR="00F9458B" w:rsidRPr="008A6671">
              <w:rPr>
                <w:rFonts w:eastAsia="Calibri"/>
              </w:rPr>
              <w:t xml:space="preserve"> services comprise of care coordination services, supplementary services</w:t>
            </w:r>
            <w:r w:rsidR="002E7C62">
              <w:rPr>
                <w:rFonts w:eastAsia="Calibri"/>
              </w:rPr>
              <w:t xml:space="preserve">, </w:t>
            </w:r>
            <w:r w:rsidR="00F9458B" w:rsidRPr="008A6671">
              <w:rPr>
                <w:rFonts w:eastAsia="Calibri"/>
              </w:rPr>
              <w:t>clinical services</w:t>
            </w:r>
            <w:r w:rsidR="002E7C62">
              <w:rPr>
                <w:rFonts w:eastAsia="Calibri"/>
              </w:rPr>
              <w:t xml:space="preserve"> and other services</w:t>
            </w:r>
            <w:r w:rsidR="00F25AD7">
              <w:rPr>
                <w:rFonts w:eastAsia="Calibri"/>
              </w:rPr>
              <w:t>.</w:t>
            </w:r>
          </w:p>
          <w:p w14:paraId="7606B025" w14:textId="6523584B" w:rsidR="00F9458B" w:rsidRPr="008A6671" w:rsidRDefault="00F9458B" w:rsidP="00F9458B">
            <w:pPr>
              <w:rPr>
                <w:rFonts w:eastAsia="Calibri"/>
              </w:rPr>
            </w:pPr>
            <w:r w:rsidRPr="008A6671">
              <w:rPr>
                <w:rFonts w:eastAsia="Calibri"/>
              </w:rPr>
              <w:t>Care coordination services relate to each occasion of care provided to an ITC client</w:t>
            </w:r>
            <w:r w:rsidR="00F25AD7">
              <w:rPr>
                <w:rFonts w:eastAsia="Calibri"/>
              </w:rPr>
              <w:t>.</w:t>
            </w:r>
          </w:p>
          <w:p w14:paraId="79A06E87" w14:textId="17FF20D9" w:rsidR="00F9458B" w:rsidRPr="008A6671" w:rsidRDefault="00F9458B" w:rsidP="00F9458B">
            <w:pPr>
              <w:rPr>
                <w:rFonts w:eastAsia="Calibri"/>
              </w:rPr>
            </w:pPr>
            <w:r w:rsidRPr="008A6671">
              <w:rPr>
                <w:rFonts w:eastAsia="Calibri"/>
              </w:rPr>
              <w:t>Supplementary services relate to support to access approved medical aids or specialist and/or allied health service appointments</w:t>
            </w:r>
            <w:r w:rsidR="00F25AD7">
              <w:rPr>
                <w:rFonts w:eastAsia="Calibri"/>
              </w:rPr>
              <w:t>.</w:t>
            </w:r>
          </w:p>
          <w:p w14:paraId="1ABD313F" w14:textId="50F56541" w:rsidR="00F9458B" w:rsidRPr="008A6671" w:rsidRDefault="00F9458B" w:rsidP="00F9458B">
            <w:pPr>
              <w:rPr>
                <w:rFonts w:eastAsia="Calibri"/>
              </w:rPr>
            </w:pPr>
            <w:r w:rsidRPr="008A6671">
              <w:rPr>
                <w:rFonts w:eastAsia="Calibri"/>
              </w:rPr>
              <w:t xml:space="preserve">Clinical </w:t>
            </w:r>
            <w:r w:rsidR="008A6425">
              <w:rPr>
                <w:rFonts w:eastAsia="Calibri"/>
              </w:rPr>
              <w:t>s</w:t>
            </w:r>
            <w:r w:rsidRPr="008E5D2E">
              <w:rPr>
                <w:rFonts w:eastAsia="Calibri"/>
              </w:rPr>
              <w:t>ervices</w:t>
            </w:r>
            <w:r w:rsidRPr="008A6671">
              <w:rPr>
                <w:rFonts w:eastAsia="Calibri"/>
              </w:rPr>
              <w:t xml:space="preserve"> are appointments organised for an ITC patient</w:t>
            </w:r>
            <w:r w:rsidR="00F25AD7">
              <w:rPr>
                <w:rFonts w:eastAsia="Calibri"/>
              </w:rPr>
              <w:t>.</w:t>
            </w:r>
          </w:p>
          <w:p w14:paraId="67170FA2" w14:textId="2C3C823A" w:rsidR="00F9458B" w:rsidRPr="008A6671" w:rsidRDefault="002E7C62" w:rsidP="00F9458B">
            <w:r>
              <w:rPr>
                <w:rFonts w:eastAsia="Calibri"/>
              </w:rPr>
              <w:t>‘</w:t>
            </w:r>
            <w:r w:rsidR="00F9458B" w:rsidRPr="008A6671">
              <w:rPr>
                <w:rFonts w:eastAsia="Calibri"/>
              </w:rPr>
              <w:t>Other</w:t>
            </w:r>
            <w:r>
              <w:rPr>
                <w:rFonts w:eastAsia="Calibri"/>
              </w:rPr>
              <w:t>’</w:t>
            </w:r>
            <w:r w:rsidR="00F9458B" w:rsidRPr="008A6671">
              <w:rPr>
                <w:rFonts w:eastAsia="Calibri"/>
              </w:rPr>
              <w:t xml:space="preserve"> can be any other services delivered which are within the ITC Guidelines</w:t>
            </w:r>
            <w:r w:rsidR="00974738">
              <w:rPr>
                <w:rFonts w:eastAsia="Calibri"/>
              </w:rPr>
              <w:t>.</w:t>
            </w:r>
          </w:p>
        </w:tc>
      </w:tr>
      <w:tr w:rsidR="00F9458B" w:rsidRPr="00F9458B" w14:paraId="0D228792" w14:textId="77777777" w:rsidTr="00B80E97">
        <w:trPr>
          <w:cantSplit/>
        </w:trPr>
        <w:tc>
          <w:tcPr>
            <w:tcW w:w="1570" w:type="dxa"/>
          </w:tcPr>
          <w:p w14:paraId="238BD3B9" w14:textId="77777777" w:rsidR="00F9458B" w:rsidRPr="008A6671" w:rsidRDefault="00F9458B" w:rsidP="00F9458B">
            <w:r w:rsidRPr="008A6671">
              <w:t>Purpose</w:t>
            </w:r>
          </w:p>
        </w:tc>
        <w:tc>
          <w:tcPr>
            <w:tcW w:w="8158" w:type="dxa"/>
          </w:tcPr>
          <w:p w14:paraId="46462C69" w14:textId="7748DC1C" w:rsidR="00F9458B" w:rsidRPr="008A6671" w:rsidRDefault="00F9458B" w:rsidP="00F9458B">
            <w:r w:rsidRPr="008A6671">
              <w:rPr>
                <w:rFonts w:eastAsia="Calibri"/>
              </w:rPr>
              <w:t xml:space="preserve">This indicator counts the number of services the PHN is delivering under ITC. It will assist in understanding how PHNs deliver ITC services </w:t>
            </w:r>
            <w:r w:rsidR="009D5C3D" w:rsidRPr="008A6671">
              <w:rPr>
                <w:rFonts w:eastAsia="Calibri"/>
              </w:rPr>
              <w:t xml:space="preserve">to </w:t>
            </w:r>
            <w:r w:rsidR="001478D9" w:rsidRPr="008A6671">
              <w:rPr>
                <w:rFonts w:eastAsia="Calibri"/>
              </w:rPr>
              <w:t>First Nations</w:t>
            </w:r>
            <w:r w:rsidRPr="008A6671">
              <w:rPr>
                <w:rFonts w:eastAsia="Calibri"/>
              </w:rPr>
              <w:t xml:space="preserve"> people</w:t>
            </w:r>
            <w:r w:rsidR="00974738">
              <w:rPr>
                <w:rFonts w:eastAsia="Calibri"/>
              </w:rPr>
              <w:t>.</w:t>
            </w:r>
          </w:p>
        </w:tc>
      </w:tr>
      <w:tr w:rsidR="00F9458B" w:rsidRPr="00F9458B" w14:paraId="0674FCA6" w14:textId="77777777" w:rsidTr="00B80E97">
        <w:trPr>
          <w:cantSplit/>
        </w:trPr>
        <w:tc>
          <w:tcPr>
            <w:tcW w:w="1570" w:type="dxa"/>
          </w:tcPr>
          <w:p w14:paraId="00B7B433" w14:textId="77777777" w:rsidR="00F9458B" w:rsidRPr="008A6671" w:rsidRDefault="00F9458B" w:rsidP="00F9458B">
            <w:r w:rsidRPr="008A6671">
              <w:t>Outcome Theme: Addressing Needs</w:t>
            </w:r>
          </w:p>
        </w:tc>
        <w:tc>
          <w:tcPr>
            <w:tcW w:w="8158" w:type="dxa"/>
          </w:tcPr>
          <w:p w14:paraId="2288B8EF" w14:textId="77777777" w:rsidR="00F9458B" w:rsidRPr="008A6671" w:rsidRDefault="00F9458B" w:rsidP="00F9458B">
            <w:pPr>
              <w:rPr>
                <w:rFonts w:eastAsia="Calibri"/>
              </w:rPr>
            </w:pPr>
            <w:r w:rsidRPr="008A6671">
              <w:rPr>
                <w:rFonts w:eastAsia="Calibri"/>
              </w:rPr>
              <w:t>Outcome:</w:t>
            </w:r>
          </w:p>
          <w:p w14:paraId="722B6956" w14:textId="41310533" w:rsidR="00F9458B" w:rsidRPr="008A6671" w:rsidRDefault="00F9458B" w:rsidP="00F9458B">
            <w:r w:rsidRPr="008A6671">
              <w:rPr>
                <w:rFonts w:eastAsia="Calibri"/>
              </w:rPr>
              <w:t xml:space="preserve">PHNs address needs of </w:t>
            </w:r>
            <w:r w:rsidR="00081CF2" w:rsidRPr="008A6671">
              <w:rPr>
                <w:rFonts w:eastAsia="Calibri"/>
              </w:rPr>
              <w:t>First Nations</w:t>
            </w:r>
            <w:r w:rsidRPr="008A6671">
              <w:rPr>
                <w:rFonts w:eastAsia="Calibri"/>
              </w:rPr>
              <w:t xml:space="preserve"> people in their region</w:t>
            </w:r>
            <w:r w:rsidR="00974738">
              <w:rPr>
                <w:rFonts w:eastAsia="Calibri"/>
              </w:rPr>
              <w:t>.</w:t>
            </w:r>
          </w:p>
        </w:tc>
      </w:tr>
      <w:tr w:rsidR="00F9458B" w:rsidRPr="00F9458B" w14:paraId="22B552D7" w14:textId="77777777" w:rsidTr="00B80E97">
        <w:trPr>
          <w:cantSplit/>
        </w:trPr>
        <w:tc>
          <w:tcPr>
            <w:tcW w:w="1570" w:type="dxa"/>
          </w:tcPr>
          <w:p w14:paraId="510D137E" w14:textId="77777777" w:rsidR="00F9458B" w:rsidRPr="008A6671" w:rsidRDefault="00F9458B" w:rsidP="00F9458B">
            <w:r w:rsidRPr="008A6671">
              <w:t>Performance Criteria</w:t>
            </w:r>
          </w:p>
        </w:tc>
        <w:tc>
          <w:tcPr>
            <w:tcW w:w="8158" w:type="dxa"/>
          </w:tcPr>
          <w:p w14:paraId="7DB1A289" w14:textId="10A14614" w:rsidR="00F9458B" w:rsidRPr="008A6671" w:rsidRDefault="00F9458B" w:rsidP="00F9458B">
            <w:r w:rsidRPr="008A6671">
              <w:rPr>
                <w:rFonts w:eastAsia="Calibri"/>
              </w:rPr>
              <w:t>Services are being delivered across the range of services allowed within ITC Guidelines</w:t>
            </w:r>
            <w:r w:rsidR="00974738">
              <w:rPr>
                <w:rFonts w:eastAsia="Calibri"/>
              </w:rPr>
              <w:t>.</w:t>
            </w:r>
          </w:p>
        </w:tc>
      </w:tr>
      <w:tr w:rsidR="00F9458B" w:rsidRPr="00F9458B" w14:paraId="788CCE64" w14:textId="77777777" w:rsidTr="00B80E97">
        <w:trPr>
          <w:cantSplit/>
        </w:trPr>
        <w:tc>
          <w:tcPr>
            <w:tcW w:w="1570" w:type="dxa"/>
          </w:tcPr>
          <w:p w14:paraId="2137B954" w14:textId="77777777" w:rsidR="00F9458B" w:rsidRPr="008A6671" w:rsidRDefault="00F9458B" w:rsidP="00F9458B">
            <w:r w:rsidRPr="008A6671">
              <w:t>Data Source</w:t>
            </w:r>
          </w:p>
        </w:tc>
        <w:tc>
          <w:tcPr>
            <w:tcW w:w="8158" w:type="dxa"/>
          </w:tcPr>
          <w:p w14:paraId="3931F85B" w14:textId="77777777" w:rsidR="00F9458B" w:rsidRPr="00C51271" w:rsidRDefault="00F9458B" w:rsidP="00F9458B">
            <w:pPr>
              <w:rPr>
                <w:rFonts w:eastAsia="Calibri"/>
              </w:rPr>
            </w:pPr>
            <w:r w:rsidRPr="00C51271">
              <w:rPr>
                <w:rFonts w:eastAsia="Calibri"/>
              </w:rPr>
              <w:t>PHN – number and type of organisations engaged with</w:t>
            </w:r>
            <w:r w:rsidR="00974738" w:rsidRPr="00C51271">
              <w:rPr>
                <w:rFonts w:eastAsia="Calibri"/>
              </w:rPr>
              <w:t>.</w:t>
            </w:r>
          </w:p>
          <w:p w14:paraId="71CDA055" w14:textId="510F05F7" w:rsidR="0023371D" w:rsidRPr="00B80E97" w:rsidRDefault="00612AA0" w:rsidP="00F9458B">
            <w:pPr>
              <w:rPr>
                <w:rFonts w:eastAsia="Calibri"/>
              </w:rPr>
            </w:pPr>
            <w:r w:rsidRPr="00C51271">
              <w:rPr>
                <w:rFonts w:eastAsia="Calibri"/>
              </w:rPr>
              <w:t xml:space="preserve">ABS – </w:t>
            </w:r>
            <w:r w:rsidR="00F433E3" w:rsidRPr="00B80E97">
              <w:rPr>
                <w:rFonts w:eastAsia="Calibri"/>
              </w:rPr>
              <w:t xml:space="preserve">estimated </w:t>
            </w:r>
            <w:r w:rsidR="00F433E3" w:rsidRPr="00C51271">
              <w:rPr>
                <w:rFonts w:eastAsia="Calibri"/>
              </w:rPr>
              <w:t xml:space="preserve">resident </w:t>
            </w:r>
            <w:r w:rsidRPr="00C51271">
              <w:rPr>
                <w:rFonts w:eastAsia="Calibri"/>
              </w:rPr>
              <w:t>First Nations</w:t>
            </w:r>
            <w:r w:rsidR="00F433E3" w:rsidRPr="00C51271">
              <w:rPr>
                <w:rFonts w:eastAsia="Calibri"/>
              </w:rPr>
              <w:t xml:space="preserve"> population of the PHN region, f</w:t>
            </w:r>
            <w:r w:rsidR="0023371D" w:rsidRPr="00C51271">
              <w:t xml:space="preserve">or </w:t>
            </w:r>
            <w:r w:rsidR="000017C0" w:rsidRPr="00C51271">
              <w:t>use in the PHN Program Annual Report only</w:t>
            </w:r>
            <w:r w:rsidR="00F433E3" w:rsidRPr="00C51271">
              <w:t>.</w:t>
            </w:r>
          </w:p>
        </w:tc>
      </w:tr>
      <w:tr w:rsidR="00F9458B" w:rsidRPr="00F9458B" w14:paraId="68B26942" w14:textId="77777777" w:rsidTr="00B80E97">
        <w:trPr>
          <w:cantSplit/>
        </w:trPr>
        <w:tc>
          <w:tcPr>
            <w:tcW w:w="1570" w:type="dxa"/>
          </w:tcPr>
          <w:p w14:paraId="4CD6D9B9" w14:textId="77777777" w:rsidR="00F9458B" w:rsidRPr="008A6671" w:rsidRDefault="00F9458B" w:rsidP="00F9458B">
            <w:r w:rsidRPr="008A6671">
              <w:lastRenderedPageBreak/>
              <w:t>Calculation</w:t>
            </w:r>
          </w:p>
        </w:tc>
        <w:tc>
          <w:tcPr>
            <w:tcW w:w="8158" w:type="dxa"/>
          </w:tcPr>
          <w:p w14:paraId="696B70BC" w14:textId="132D818B" w:rsidR="00F9458B" w:rsidRPr="008A6671" w:rsidRDefault="005A1D69" w:rsidP="00F9458B">
            <w:pPr>
              <w:rPr>
                <w:rFonts w:eastAsia="Calibri"/>
              </w:rPr>
            </w:pPr>
            <w:r w:rsidRPr="005A1D69">
              <w:rPr>
                <w:rFonts w:eastAsia="Calibri"/>
              </w:rPr>
              <w:t>Care</w:t>
            </w:r>
            <w:r w:rsidR="00F9458B" w:rsidRPr="008A6671">
              <w:rPr>
                <w:rFonts w:eastAsia="Calibri"/>
              </w:rPr>
              <w:t xml:space="preserve"> coordination services</w:t>
            </w:r>
            <w:r w:rsidRPr="005A1D69">
              <w:rPr>
                <w:rFonts w:eastAsia="Calibri"/>
              </w:rPr>
              <w:t xml:space="preserve"> delivered</w:t>
            </w:r>
            <w:r w:rsidR="00F25AD7">
              <w:rPr>
                <w:rFonts w:eastAsia="Calibri"/>
              </w:rPr>
              <w:t>.</w:t>
            </w:r>
          </w:p>
          <w:p w14:paraId="59D0D707" w14:textId="0AFB1780" w:rsidR="00F9458B" w:rsidRPr="008A6671" w:rsidRDefault="005A1D69" w:rsidP="00F9458B">
            <w:pPr>
              <w:rPr>
                <w:rFonts w:eastAsia="Calibri"/>
              </w:rPr>
            </w:pPr>
            <w:r w:rsidRPr="005A1D69">
              <w:rPr>
                <w:rFonts w:eastAsia="Calibri"/>
              </w:rPr>
              <w:t>Supplementary</w:t>
            </w:r>
            <w:r w:rsidR="00F9458B" w:rsidRPr="008A6671">
              <w:rPr>
                <w:rFonts w:eastAsia="Calibri"/>
              </w:rPr>
              <w:t xml:space="preserve"> services</w:t>
            </w:r>
            <w:r w:rsidRPr="005A1D69">
              <w:rPr>
                <w:rFonts w:eastAsia="Calibri"/>
              </w:rPr>
              <w:t xml:space="preserve"> delivered</w:t>
            </w:r>
            <w:r w:rsidR="00F25AD7">
              <w:rPr>
                <w:rFonts w:eastAsia="Calibri"/>
              </w:rPr>
              <w:t>.</w:t>
            </w:r>
          </w:p>
          <w:p w14:paraId="3BD6159D" w14:textId="374F29E2" w:rsidR="00F9458B" w:rsidRPr="008A6671" w:rsidRDefault="005A1D69" w:rsidP="00F9458B">
            <w:pPr>
              <w:rPr>
                <w:rFonts w:eastAsia="Calibri"/>
              </w:rPr>
            </w:pPr>
            <w:r w:rsidRPr="005A1D69">
              <w:rPr>
                <w:rFonts w:eastAsia="Calibri"/>
              </w:rPr>
              <w:t>Clinical</w:t>
            </w:r>
            <w:r w:rsidR="00F9458B" w:rsidRPr="008A6671">
              <w:rPr>
                <w:rFonts w:eastAsia="Calibri"/>
              </w:rPr>
              <w:t xml:space="preserve"> services</w:t>
            </w:r>
            <w:r w:rsidRPr="005A1D69">
              <w:rPr>
                <w:rFonts w:eastAsia="Calibri"/>
              </w:rPr>
              <w:t xml:space="preserve"> delivered</w:t>
            </w:r>
            <w:r w:rsidR="00F25AD7">
              <w:rPr>
                <w:rFonts w:eastAsia="Calibri"/>
              </w:rPr>
              <w:t>.</w:t>
            </w:r>
          </w:p>
          <w:p w14:paraId="1F07FB5C" w14:textId="6D5E18D9" w:rsidR="00F9458B" w:rsidRPr="008A6671" w:rsidRDefault="00F9458B" w:rsidP="00F9458B">
            <w:pPr>
              <w:rPr>
                <w:rFonts w:eastAsia="Calibri"/>
              </w:rPr>
            </w:pPr>
            <w:r w:rsidRPr="008A6671">
              <w:rPr>
                <w:rFonts w:eastAsia="Calibri"/>
              </w:rPr>
              <w:t xml:space="preserve">Other </w:t>
            </w:r>
            <w:r w:rsidR="005A1D69" w:rsidRPr="005A1D69">
              <w:rPr>
                <w:rFonts w:eastAsia="Calibri"/>
              </w:rPr>
              <w:t>services</w:t>
            </w:r>
            <w:r w:rsidR="00F25AD7">
              <w:rPr>
                <w:rFonts w:eastAsia="Calibri"/>
              </w:rPr>
              <w:t>.</w:t>
            </w:r>
          </w:p>
          <w:p w14:paraId="015B4485" w14:textId="77777777" w:rsidR="005A1D69" w:rsidRPr="005A1D69" w:rsidRDefault="005A1D69" w:rsidP="008125C1">
            <w:pPr>
              <w:rPr>
                <w:rFonts w:eastAsia="Calibri"/>
              </w:rPr>
            </w:pPr>
            <w:r w:rsidRPr="005A1D69">
              <w:rPr>
                <w:rFonts w:eastAsia="Calibri"/>
              </w:rPr>
              <w:t>Total services.</w:t>
            </w:r>
          </w:p>
          <w:p w14:paraId="671E8CAE" w14:textId="0F24A38C" w:rsidR="007F346C" w:rsidRDefault="00F9458B" w:rsidP="00716651">
            <w:pPr>
              <w:rPr>
                <w:rFonts w:eastAsia="Calibri"/>
              </w:rPr>
            </w:pPr>
            <w:r w:rsidRPr="008A6671">
              <w:rPr>
                <w:rFonts w:eastAsia="Calibri"/>
              </w:rPr>
              <w:t>The Department will assess the qualitative information provided by the PHN</w:t>
            </w:r>
            <w:r w:rsidR="00974738">
              <w:rPr>
                <w:rFonts w:eastAsia="Calibri"/>
              </w:rPr>
              <w:t>.</w:t>
            </w:r>
          </w:p>
          <w:p w14:paraId="3ABE78E9" w14:textId="77777777" w:rsidR="007F346C" w:rsidRPr="00C51271" w:rsidRDefault="007F346C" w:rsidP="00F9458B">
            <w:pPr>
              <w:rPr>
                <w:rFonts w:eastAsia="Calibri"/>
              </w:rPr>
            </w:pPr>
            <w:r w:rsidRPr="00C51271">
              <w:rPr>
                <w:rFonts w:eastAsia="Calibri"/>
              </w:rPr>
              <w:t>For use in the PHN Program Annual Report only:</w:t>
            </w:r>
          </w:p>
          <w:p w14:paraId="29E2B732" w14:textId="77777777" w:rsidR="007F346C" w:rsidRPr="00C51271" w:rsidRDefault="007F346C" w:rsidP="00F9458B">
            <w:r w:rsidRPr="00C51271">
              <w:t>Numerator:</w:t>
            </w:r>
          </w:p>
          <w:p w14:paraId="30DD2799" w14:textId="7D6A03E8" w:rsidR="007F346C" w:rsidRPr="00C51271" w:rsidRDefault="000B7D08" w:rsidP="00F9458B">
            <w:r w:rsidRPr="00C51271">
              <w:t>Count of services delivered of each type.</w:t>
            </w:r>
          </w:p>
          <w:p w14:paraId="63BD2C4E" w14:textId="77777777" w:rsidR="007F346C" w:rsidRPr="00C51271" w:rsidRDefault="007F346C" w:rsidP="00F9458B">
            <w:r w:rsidRPr="00C51271">
              <w:t>Denominator:</w:t>
            </w:r>
          </w:p>
          <w:p w14:paraId="5AFA31EF" w14:textId="5F381943" w:rsidR="000B7D08" w:rsidRPr="00C51271" w:rsidRDefault="000B7D08" w:rsidP="00F9458B">
            <w:r w:rsidRPr="00B80E97">
              <w:rPr>
                <w:rFonts w:eastAsia="Calibri"/>
              </w:rPr>
              <w:t>Resident First Nations population of the PHN region</w:t>
            </w:r>
            <w:r w:rsidRPr="00C51271">
              <w:rPr>
                <w:rFonts w:eastAsia="Calibri"/>
              </w:rPr>
              <w:t>.</w:t>
            </w:r>
          </w:p>
          <w:p w14:paraId="5F2BA0D6" w14:textId="77777777" w:rsidR="007F346C" w:rsidRPr="00C51271" w:rsidRDefault="007F346C" w:rsidP="00F9458B">
            <w:r w:rsidRPr="00C51271">
              <w:t>Computation:</w:t>
            </w:r>
          </w:p>
          <w:p w14:paraId="29D21055" w14:textId="72328F5A" w:rsidR="009B667B" w:rsidRPr="00C51271" w:rsidRDefault="009B667B" w:rsidP="009B667B">
            <w:r w:rsidRPr="00C51271">
              <w:t>1000 x (numerator / denominator) presented as a rate per 1,000 First Nations population in PHN region.</w:t>
            </w:r>
          </w:p>
          <w:p w14:paraId="3BC76BD1" w14:textId="77777777" w:rsidR="000B7D08" w:rsidRPr="00C51271" w:rsidRDefault="009B667B" w:rsidP="00F9458B">
            <w:r w:rsidRPr="00C51271">
              <w:t xml:space="preserve">Disaggregation: </w:t>
            </w:r>
          </w:p>
          <w:p w14:paraId="1042AB4D" w14:textId="12F20AEB" w:rsidR="009B667B" w:rsidRPr="008A6671" w:rsidRDefault="00246682" w:rsidP="00F9458B">
            <w:r w:rsidRPr="00C51271">
              <w:t>Care coordination services, supplementary services, clinical services, and other services.</w:t>
            </w:r>
          </w:p>
        </w:tc>
      </w:tr>
      <w:tr w:rsidR="00F9458B" w:rsidRPr="00F9458B" w14:paraId="04A57486" w14:textId="77777777" w:rsidTr="00B80E97">
        <w:trPr>
          <w:cantSplit/>
        </w:trPr>
        <w:tc>
          <w:tcPr>
            <w:tcW w:w="1570" w:type="dxa"/>
          </w:tcPr>
          <w:p w14:paraId="1F7D0356" w14:textId="77777777" w:rsidR="00F9458B" w:rsidRPr="008A6671" w:rsidRDefault="00F9458B" w:rsidP="00F9458B">
            <w:r w:rsidRPr="008A6671">
              <w:t>Limitations</w:t>
            </w:r>
          </w:p>
        </w:tc>
        <w:tc>
          <w:tcPr>
            <w:tcW w:w="8158" w:type="dxa"/>
          </w:tcPr>
          <w:p w14:paraId="19F5C579" w14:textId="77777777" w:rsidR="00F9458B" w:rsidRPr="008A6671" w:rsidRDefault="00F9458B" w:rsidP="00F9458B">
            <w:r w:rsidRPr="008A6671">
              <w:t>-</w:t>
            </w:r>
          </w:p>
        </w:tc>
      </w:tr>
      <w:tr w:rsidR="00F9458B" w:rsidRPr="00F9458B" w14:paraId="32F6D9E4" w14:textId="77777777" w:rsidTr="00B80E97">
        <w:trPr>
          <w:cantSplit/>
        </w:trPr>
        <w:tc>
          <w:tcPr>
            <w:tcW w:w="1570" w:type="dxa"/>
          </w:tcPr>
          <w:p w14:paraId="5A73E9AE" w14:textId="77777777" w:rsidR="00F9458B" w:rsidRPr="008A6671" w:rsidRDefault="00F9458B" w:rsidP="00F9458B">
            <w:r w:rsidRPr="008A6671">
              <w:t>Additional information</w:t>
            </w:r>
          </w:p>
        </w:tc>
        <w:tc>
          <w:tcPr>
            <w:tcW w:w="8158" w:type="dxa"/>
          </w:tcPr>
          <w:p w14:paraId="2BD8B079" w14:textId="77777777" w:rsidR="00F9458B" w:rsidRPr="008A6671" w:rsidRDefault="00F9458B" w:rsidP="00F9458B">
            <w:r w:rsidRPr="008A6671">
              <w:t>-</w:t>
            </w:r>
          </w:p>
        </w:tc>
      </w:tr>
    </w:tbl>
    <w:p w14:paraId="1B40702E" w14:textId="17DF72E8" w:rsidR="00F9458B" w:rsidRPr="00665D8A" w:rsidRDefault="00454616" w:rsidP="00665D8A">
      <w:pPr>
        <w:pStyle w:val="Heading2"/>
      </w:pPr>
      <w:bookmarkStart w:id="90" w:name="_Toc517267768"/>
      <w:bookmarkStart w:id="91" w:name="_Toc517334498"/>
      <w:bookmarkStart w:id="92" w:name="_Toc517769815"/>
      <w:r w:rsidRPr="00665D8A">
        <w:t>FN</w:t>
      </w:r>
      <w:r w:rsidR="003D7A77" w:rsidRPr="00665D8A">
        <w:t>2</w:t>
      </w:r>
      <w:r w:rsidR="00F9458B" w:rsidRPr="00665D8A">
        <w:t>: Types of organisations delivering ITC services</w:t>
      </w:r>
      <w:bookmarkEnd w:id="90"/>
      <w:bookmarkEnd w:id="91"/>
      <w:bookmarkEnd w:id="92"/>
    </w:p>
    <w:tbl>
      <w:tblPr>
        <w:tblStyle w:val="PHNTealtable"/>
        <w:tblW w:w="972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4A0" w:firstRow="1" w:lastRow="0" w:firstColumn="1" w:lastColumn="0" w:noHBand="0" w:noVBand="1"/>
        <w:tblDescription w:val="This table details indicator IH2: Types of organisations delivering ITC services. It is comprised of two columns, and 11 rows. Column one provides the Item of the indicator, and Column two outlines the corresponding description."/>
      </w:tblPr>
      <w:tblGrid>
        <w:gridCol w:w="1570"/>
        <w:gridCol w:w="8158"/>
      </w:tblGrid>
      <w:tr w:rsidR="00F9458B" w:rsidRPr="00F9458B" w14:paraId="5A4D9A39" w14:textId="77777777" w:rsidTr="00B80E97">
        <w:trPr>
          <w:cnfStyle w:val="100000000000" w:firstRow="1" w:lastRow="0" w:firstColumn="0" w:lastColumn="0" w:oddVBand="0" w:evenVBand="0" w:oddHBand="0" w:evenHBand="0" w:firstRowFirstColumn="0" w:firstRowLastColumn="0" w:lastRowFirstColumn="0" w:lastRowLastColumn="0"/>
          <w:tblHeader/>
        </w:trPr>
        <w:tc>
          <w:tcPr>
            <w:tcW w:w="1570" w:type="dxa"/>
            <w:shd w:val="clear" w:color="auto" w:fill="153A6E"/>
          </w:tcPr>
          <w:p w14:paraId="121C5620" w14:textId="77777777" w:rsidR="00F9458B" w:rsidRPr="00716651" w:rsidRDefault="00F9458B" w:rsidP="00665D8A">
            <w:pPr>
              <w:pStyle w:val="TableHeaderWhite"/>
            </w:pPr>
            <w:r w:rsidRPr="00716651">
              <w:t>Item</w:t>
            </w:r>
          </w:p>
        </w:tc>
        <w:tc>
          <w:tcPr>
            <w:tcW w:w="8158" w:type="dxa"/>
            <w:shd w:val="clear" w:color="auto" w:fill="153A6E"/>
          </w:tcPr>
          <w:p w14:paraId="6420D30E" w14:textId="77777777" w:rsidR="00F9458B" w:rsidRPr="00716651" w:rsidRDefault="00F9458B" w:rsidP="00665D8A">
            <w:pPr>
              <w:pStyle w:val="TableHeaderWhite"/>
            </w:pPr>
            <w:r w:rsidRPr="00716651">
              <w:t>Description</w:t>
            </w:r>
          </w:p>
        </w:tc>
      </w:tr>
      <w:tr w:rsidR="00F9458B" w:rsidRPr="00F9458B" w14:paraId="417AA61E" w14:textId="77777777" w:rsidTr="00B80E97">
        <w:trPr>
          <w:cantSplit/>
        </w:trPr>
        <w:tc>
          <w:tcPr>
            <w:tcW w:w="1570" w:type="dxa"/>
          </w:tcPr>
          <w:p w14:paraId="6E226A40" w14:textId="77777777" w:rsidR="00F9458B" w:rsidRPr="008A6671" w:rsidRDefault="00F9458B" w:rsidP="00F9458B">
            <w:r w:rsidRPr="008A6671">
              <w:t>Assessment</w:t>
            </w:r>
          </w:p>
        </w:tc>
        <w:tc>
          <w:tcPr>
            <w:tcW w:w="8158" w:type="dxa"/>
          </w:tcPr>
          <w:p w14:paraId="39530885" w14:textId="7963D9F6" w:rsidR="00F9458B" w:rsidRPr="008A6671" w:rsidRDefault="00F9458B" w:rsidP="00F9458B">
            <w:r w:rsidRPr="008A6671">
              <w:t>Individual PHN</w:t>
            </w:r>
            <w:r w:rsidR="00974738">
              <w:t>.</w:t>
            </w:r>
          </w:p>
        </w:tc>
      </w:tr>
      <w:tr w:rsidR="00F9458B" w:rsidRPr="00F9458B" w14:paraId="4E37F136" w14:textId="77777777" w:rsidTr="00B80E97">
        <w:tc>
          <w:tcPr>
            <w:tcW w:w="1570" w:type="dxa"/>
            <w:shd w:val="clear" w:color="auto" w:fill="D72F0D"/>
          </w:tcPr>
          <w:p w14:paraId="19439189" w14:textId="77777777" w:rsidR="00F9458B" w:rsidRPr="0082185D" w:rsidRDefault="00F9458B" w:rsidP="00665D8A">
            <w:pPr>
              <w:pStyle w:val="TableTextwhite"/>
            </w:pPr>
            <w:r w:rsidRPr="0082185D">
              <w:t>Reporting</w:t>
            </w:r>
          </w:p>
        </w:tc>
        <w:tc>
          <w:tcPr>
            <w:tcW w:w="8158" w:type="dxa"/>
            <w:shd w:val="clear" w:color="auto" w:fill="D72F0D"/>
          </w:tcPr>
          <w:p w14:paraId="5032F6EE" w14:textId="3B570583" w:rsidR="00F9458B" w:rsidRPr="0082185D" w:rsidRDefault="00091D4D" w:rsidP="00665D8A">
            <w:pPr>
              <w:pStyle w:val="TableTextwhite"/>
            </w:pPr>
            <w:r w:rsidRPr="0082185D">
              <w:t xml:space="preserve">Twelve monthly by </w:t>
            </w:r>
            <w:r w:rsidR="00C00D78" w:rsidRPr="0082185D">
              <w:t>PHN</w:t>
            </w:r>
            <w:r w:rsidR="00974738" w:rsidRPr="0082185D">
              <w:t>.</w:t>
            </w:r>
          </w:p>
        </w:tc>
      </w:tr>
      <w:tr w:rsidR="00F9458B" w:rsidRPr="00F9458B" w14:paraId="52491080" w14:textId="77777777" w:rsidTr="00B80E97">
        <w:trPr>
          <w:cantSplit/>
        </w:trPr>
        <w:tc>
          <w:tcPr>
            <w:tcW w:w="1570" w:type="dxa"/>
          </w:tcPr>
          <w:p w14:paraId="532D7BE8" w14:textId="77777777" w:rsidR="00F9458B" w:rsidRPr="008A6671" w:rsidRDefault="00F9458B" w:rsidP="00F9458B">
            <w:r w:rsidRPr="008A6671">
              <w:t>Definition</w:t>
            </w:r>
          </w:p>
        </w:tc>
        <w:tc>
          <w:tcPr>
            <w:tcW w:w="8158" w:type="dxa"/>
          </w:tcPr>
          <w:p w14:paraId="12F76493" w14:textId="6109D336" w:rsidR="00F9458B" w:rsidRPr="008A6671" w:rsidRDefault="00F9458B" w:rsidP="00F9458B">
            <w:pPr>
              <w:rPr>
                <w:rFonts w:eastAsia="Calibri"/>
              </w:rPr>
            </w:pPr>
            <w:r w:rsidRPr="008A6671">
              <w:rPr>
                <w:rFonts w:eastAsia="Calibri"/>
              </w:rPr>
              <w:t xml:space="preserve">ITC program funds are used to deliver services across a range of organisations, including Aboriginal Medical Services (AMS), mainstream organisations and sometimes from the PHN, noting PHNs may engage </w:t>
            </w:r>
            <w:r w:rsidR="008601DF">
              <w:rPr>
                <w:rFonts w:eastAsia="Calibri"/>
              </w:rPr>
              <w:t>Aboriginal and Torres Strait Islander</w:t>
            </w:r>
            <w:r w:rsidRPr="008A6671">
              <w:rPr>
                <w:rFonts w:eastAsia="Calibri"/>
              </w:rPr>
              <w:t xml:space="preserve"> Health Project Officers (</w:t>
            </w:r>
            <w:r w:rsidR="008601DF">
              <w:rPr>
                <w:rFonts w:eastAsia="Calibri"/>
              </w:rPr>
              <w:t>ATS</w:t>
            </w:r>
            <w:r w:rsidRPr="008A6671">
              <w:rPr>
                <w:rFonts w:eastAsia="Calibri"/>
              </w:rPr>
              <w:t>IHPO</w:t>
            </w:r>
            <w:r w:rsidR="008819AE">
              <w:rPr>
                <w:rFonts w:eastAsia="Calibri"/>
              </w:rPr>
              <w:t>s</w:t>
            </w:r>
            <w:r w:rsidRPr="008A6671">
              <w:rPr>
                <w:rFonts w:eastAsia="Calibri"/>
              </w:rPr>
              <w:t>) to undertake ITC activities</w:t>
            </w:r>
            <w:r w:rsidR="00F25AD7">
              <w:rPr>
                <w:rFonts w:eastAsia="Calibri"/>
              </w:rPr>
              <w:t>.</w:t>
            </w:r>
          </w:p>
          <w:p w14:paraId="472874FE" w14:textId="33DAE677" w:rsidR="00F9458B" w:rsidRPr="008A6671" w:rsidRDefault="00F9458B" w:rsidP="00F9458B">
            <w:pPr>
              <w:rPr>
                <w:rFonts w:eastAsia="Calibri"/>
              </w:rPr>
            </w:pPr>
            <w:r w:rsidRPr="008A6671">
              <w:rPr>
                <w:rFonts w:eastAsia="Calibri"/>
              </w:rPr>
              <w:t xml:space="preserve">AMS means a health service funded principally to provide services to </w:t>
            </w:r>
            <w:r w:rsidR="00154EB3" w:rsidRPr="008A6671">
              <w:rPr>
                <w:rFonts w:eastAsia="Calibri"/>
              </w:rPr>
              <w:t>First Nations</w:t>
            </w:r>
            <w:r w:rsidRPr="008A6671">
              <w:rPr>
                <w:rFonts w:eastAsia="Calibri"/>
              </w:rPr>
              <w:t xml:space="preserve"> </w:t>
            </w:r>
            <w:r w:rsidR="008F5C71" w:rsidRPr="008A6671">
              <w:rPr>
                <w:rFonts w:eastAsia="Calibri"/>
              </w:rPr>
              <w:t>people</w:t>
            </w:r>
            <w:r w:rsidR="00CF751B">
              <w:rPr>
                <w:rFonts w:eastAsia="Calibri"/>
              </w:rPr>
              <w:t>.</w:t>
            </w:r>
            <w:r w:rsidR="002B047D">
              <w:rPr>
                <w:rFonts w:eastAsia="Calibri"/>
              </w:rPr>
              <w:t xml:space="preserve"> </w:t>
            </w:r>
            <w:r w:rsidR="00EF32B8" w:rsidRPr="008E5D2E">
              <w:rPr>
                <w:rFonts w:eastAsia="Calibri"/>
              </w:rPr>
              <w:t xml:space="preserve"> Aboriginal Community Controlled Health Service (</w:t>
            </w:r>
            <w:r w:rsidR="00CF751B">
              <w:rPr>
                <w:rFonts w:eastAsia="Calibri"/>
              </w:rPr>
              <w:t>ACCHS</w:t>
            </w:r>
            <w:r w:rsidR="00EF32B8" w:rsidRPr="008A6671">
              <w:rPr>
                <w:rFonts w:eastAsia="Calibri"/>
              </w:rPr>
              <w:t>)</w:t>
            </w:r>
            <w:r w:rsidR="00CF751B">
              <w:rPr>
                <w:rFonts w:eastAsia="Calibri"/>
              </w:rPr>
              <w:t xml:space="preserve"> refers to primary care services initiated and operated by the local First Nations community to deliver</w:t>
            </w:r>
            <w:r w:rsidR="00CF751B" w:rsidRPr="00CF751B">
              <w:t xml:space="preserve"> </w:t>
            </w:r>
            <w:r w:rsidR="00CF751B" w:rsidRPr="00CF751B">
              <w:rPr>
                <w:rFonts w:eastAsia="Calibri"/>
              </w:rPr>
              <w:t>holistic, comprehensive, and culturally safe health care</w:t>
            </w:r>
            <w:r w:rsidR="00552F2C">
              <w:rPr>
                <w:rFonts w:eastAsia="Calibri"/>
              </w:rPr>
              <w:t xml:space="preserve">. </w:t>
            </w:r>
            <w:r w:rsidR="00CF751B" w:rsidRPr="00CF751B">
              <w:rPr>
                <w:rFonts w:eastAsia="Calibri"/>
              </w:rPr>
              <w:t xml:space="preserve"> </w:t>
            </w:r>
            <w:r w:rsidR="008376D8">
              <w:rPr>
                <w:rFonts w:eastAsia="Calibri"/>
              </w:rPr>
              <w:t>This care targets and addresses</w:t>
            </w:r>
            <w:r w:rsidR="00CF751B" w:rsidRPr="00CF751B">
              <w:rPr>
                <w:rFonts w:eastAsia="Calibri"/>
              </w:rPr>
              <w:t xml:space="preserve"> the needs of the community</w:t>
            </w:r>
            <w:r w:rsidR="008376D8">
              <w:rPr>
                <w:rFonts w:eastAsia="Calibri"/>
              </w:rPr>
              <w:t>,</w:t>
            </w:r>
            <w:r w:rsidR="00CF751B" w:rsidRPr="00CF751B">
              <w:rPr>
                <w:rFonts w:eastAsia="Calibri"/>
              </w:rPr>
              <w:t xml:space="preserve"> which control it through a locally elected Board of Management</w:t>
            </w:r>
            <w:r w:rsidR="00CF751B">
              <w:rPr>
                <w:rFonts w:eastAsia="Calibri"/>
              </w:rPr>
              <w:t>.</w:t>
            </w:r>
            <w:r w:rsidR="00377D68">
              <w:rPr>
                <w:rFonts w:eastAsia="Calibri"/>
              </w:rPr>
              <w:t xml:space="preserve"> </w:t>
            </w:r>
            <w:r w:rsidRPr="008A6671">
              <w:rPr>
                <w:rFonts w:eastAsia="Calibri"/>
              </w:rPr>
              <w:t xml:space="preserve">Mainstream organisations are any primary health care provider that </w:t>
            </w:r>
            <w:r w:rsidR="00377D68">
              <w:rPr>
                <w:rFonts w:eastAsia="Calibri"/>
              </w:rPr>
              <w:t>serves the whole population and</w:t>
            </w:r>
            <w:r w:rsidR="00377D68" w:rsidRPr="008E5D2E">
              <w:rPr>
                <w:rFonts w:eastAsia="Calibri"/>
              </w:rPr>
              <w:t xml:space="preserve"> </w:t>
            </w:r>
            <w:r w:rsidRPr="008A6671">
              <w:rPr>
                <w:rFonts w:eastAsia="Calibri"/>
              </w:rPr>
              <w:t xml:space="preserve">is not an </w:t>
            </w:r>
            <w:r w:rsidR="00EF32B8">
              <w:rPr>
                <w:rFonts w:eastAsia="Calibri"/>
              </w:rPr>
              <w:t>ACCHS</w:t>
            </w:r>
            <w:r w:rsidRPr="008A6671">
              <w:rPr>
                <w:rFonts w:eastAsia="Calibri"/>
              </w:rPr>
              <w:t xml:space="preserve"> or </w:t>
            </w:r>
            <w:r w:rsidR="00377D68">
              <w:rPr>
                <w:rFonts w:eastAsia="Calibri"/>
              </w:rPr>
              <w:t>AMS.</w:t>
            </w:r>
          </w:p>
          <w:p w14:paraId="761D04AB" w14:textId="201F0572" w:rsidR="00F9458B" w:rsidRPr="008A6671" w:rsidRDefault="00F9458B" w:rsidP="00F9458B">
            <w:r w:rsidRPr="008A6671">
              <w:rPr>
                <w:rFonts w:eastAsia="Calibri"/>
              </w:rPr>
              <w:t xml:space="preserve">PHN – the PHN may retain some funding for </w:t>
            </w:r>
            <w:r w:rsidR="008601DF">
              <w:rPr>
                <w:rFonts w:eastAsia="Calibri"/>
              </w:rPr>
              <w:t>ATS</w:t>
            </w:r>
            <w:r w:rsidRPr="008A6671">
              <w:rPr>
                <w:rFonts w:eastAsia="Calibri"/>
              </w:rPr>
              <w:t>IHPO workforce activities</w:t>
            </w:r>
            <w:r w:rsidR="00974738">
              <w:rPr>
                <w:rFonts w:eastAsia="Calibri"/>
              </w:rPr>
              <w:t>.</w:t>
            </w:r>
          </w:p>
        </w:tc>
      </w:tr>
      <w:tr w:rsidR="00F9458B" w:rsidRPr="00F9458B" w14:paraId="05B07EE2" w14:textId="77777777" w:rsidTr="00B80E97">
        <w:trPr>
          <w:cantSplit/>
        </w:trPr>
        <w:tc>
          <w:tcPr>
            <w:tcW w:w="1570" w:type="dxa"/>
          </w:tcPr>
          <w:p w14:paraId="580AEC6B" w14:textId="77777777" w:rsidR="00F9458B" w:rsidRPr="008A6671" w:rsidRDefault="00F9458B" w:rsidP="00F9458B">
            <w:r w:rsidRPr="008A6671">
              <w:lastRenderedPageBreak/>
              <w:t>Purpose</w:t>
            </w:r>
          </w:p>
        </w:tc>
        <w:tc>
          <w:tcPr>
            <w:tcW w:w="8158" w:type="dxa"/>
          </w:tcPr>
          <w:p w14:paraId="361CB09E" w14:textId="77777777" w:rsidR="00F9458B" w:rsidRPr="008A6671" w:rsidRDefault="00F9458B" w:rsidP="00F9458B">
            <w:r w:rsidRPr="008A6671">
              <w:rPr>
                <w:rFonts w:eastAsia="Calibri"/>
              </w:rPr>
              <w:t>This indicator counts the number and type of organisations that the PHN is engaging with in the delivery of ITC services. It will assist in understanding how the services are being delivered across the PHN region.</w:t>
            </w:r>
          </w:p>
        </w:tc>
      </w:tr>
      <w:tr w:rsidR="00F9458B" w:rsidRPr="00F9458B" w14:paraId="27950223" w14:textId="77777777" w:rsidTr="00B80E97">
        <w:trPr>
          <w:cantSplit/>
        </w:trPr>
        <w:tc>
          <w:tcPr>
            <w:tcW w:w="1570" w:type="dxa"/>
          </w:tcPr>
          <w:p w14:paraId="5F0063A4" w14:textId="77777777" w:rsidR="00F9458B" w:rsidRPr="008A6671" w:rsidRDefault="00F9458B" w:rsidP="00F9458B">
            <w:r w:rsidRPr="008A6671">
              <w:t>Outcome Theme: Addressing Needs</w:t>
            </w:r>
          </w:p>
        </w:tc>
        <w:tc>
          <w:tcPr>
            <w:tcW w:w="8158" w:type="dxa"/>
          </w:tcPr>
          <w:p w14:paraId="2CFB659E" w14:textId="77777777" w:rsidR="00F9458B" w:rsidRPr="008A6671" w:rsidRDefault="00F9458B" w:rsidP="00F9458B">
            <w:pPr>
              <w:rPr>
                <w:rFonts w:eastAsia="Calibri"/>
              </w:rPr>
            </w:pPr>
            <w:r w:rsidRPr="008A6671">
              <w:rPr>
                <w:rFonts w:eastAsia="Calibri"/>
              </w:rPr>
              <w:t>Outcome:</w:t>
            </w:r>
          </w:p>
          <w:p w14:paraId="43762C79" w14:textId="6FD997FC" w:rsidR="00F9458B" w:rsidRPr="008A6671" w:rsidRDefault="00F9458B" w:rsidP="00F9458B">
            <w:r w:rsidRPr="008A6671">
              <w:rPr>
                <w:rFonts w:eastAsia="Calibri"/>
              </w:rPr>
              <w:t xml:space="preserve">PHNs address needs of </w:t>
            </w:r>
            <w:r w:rsidR="00040D0F" w:rsidRPr="008A6671">
              <w:rPr>
                <w:rFonts w:eastAsia="Calibri"/>
              </w:rPr>
              <w:t>First Nations</w:t>
            </w:r>
            <w:r w:rsidRPr="008A6671">
              <w:rPr>
                <w:rFonts w:eastAsia="Calibri"/>
              </w:rPr>
              <w:t xml:space="preserve"> people in their region</w:t>
            </w:r>
            <w:r w:rsidR="00974738">
              <w:rPr>
                <w:rFonts w:eastAsia="Calibri"/>
              </w:rPr>
              <w:t>.</w:t>
            </w:r>
          </w:p>
        </w:tc>
      </w:tr>
      <w:tr w:rsidR="00F9458B" w:rsidRPr="00F9458B" w14:paraId="11F4AE92" w14:textId="77777777" w:rsidTr="00B80E97">
        <w:trPr>
          <w:cantSplit/>
        </w:trPr>
        <w:tc>
          <w:tcPr>
            <w:tcW w:w="1570" w:type="dxa"/>
          </w:tcPr>
          <w:p w14:paraId="1A7FCCF0" w14:textId="77777777" w:rsidR="00F9458B" w:rsidRPr="008A6671" w:rsidRDefault="00F9458B" w:rsidP="00F9458B">
            <w:r w:rsidRPr="008A6671">
              <w:t>Performance Criteria</w:t>
            </w:r>
          </w:p>
        </w:tc>
        <w:tc>
          <w:tcPr>
            <w:tcW w:w="8158" w:type="dxa"/>
          </w:tcPr>
          <w:p w14:paraId="33E5CCF5" w14:textId="09A89EE7" w:rsidR="00F9458B" w:rsidRPr="008A6671" w:rsidRDefault="00F9458B" w:rsidP="00F9458B">
            <w:r w:rsidRPr="008A6671">
              <w:rPr>
                <w:rFonts w:eastAsia="Calibri"/>
              </w:rPr>
              <w:t>A range of organisations are engaging in ITC program</w:t>
            </w:r>
            <w:r w:rsidR="00E70481" w:rsidRPr="008A6671">
              <w:rPr>
                <w:rFonts w:eastAsia="Calibri"/>
              </w:rPr>
              <w:t>s</w:t>
            </w:r>
            <w:r w:rsidR="00974738">
              <w:rPr>
                <w:rFonts w:eastAsia="Calibri"/>
              </w:rPr>
              <w:t>.</w:t>
            </w:r>
          </w:p>
        </w:tc>
      </w:tr>
      <w:tr w:rsidR="00F9458B" w:rsidRPr="00F9458B" w14:paraId="38E0907C" w14:textId="77777777" w:rsidTr="00B80E97">
        <w:trPr>
          <w:cantSplit/>
        </w:trPr>
        <w:tc>
          <w:tcPr>
            <w:tcW w:w="1570" w:type="dxa"/>
          </w:tcPr>
          <w:p w14:paraId="72D9C92A" w14:textId="77777777" w:rsidR="00F9458B" w:rsidRPr="008A6671" w:rsidRDefault="00F9458B" w:rsidP="00F9458B">
            <w:r w:rsidRPr="008A6671">
              <w:t>Data Source</w:t>
            </w:r>
          </w:p>
        </w:tc>
        <w:tc>
          <w:tcPr>
            <w:tcW w:w="8158" w:type="dxa"/>
          </w:tcPr>
          <w:p w14:paraId="28073DF4" w14:textId="39E2CB27" w:rsidR="005D165C" w:rsidRPr="00B80E97" w:rsidRDefault="00F9458B" w:rsidP="00F9458B">
            <w:pPr>
              <w:rPr>
                <w:rFonts w:eastAsia="Calibri"/>
              </w:rPr>
            </w:pPr>
            <w:r w:rsidRPr="008A6671">
              <w:rPr>
                <w:rFonts w:eastAsia="Calibri"/>
              </w:rPr>
              <w:t>PHN – number and type of organisations engaged with</w:t>
            </w:r>
            <w:r w:rsidR="00974738">
              <w:rPr>
                <w:rFonts w:eastAsia="Calibri"/>
              </w:rPr>
              <w:t>.</w:t>
            </w:r>
          </w:p>
        </w:tc>
      </w:tr>
      <w:tr w:rsidR="00F9458B" w:rsidRPr="00F9458B" w14:paraId="193E5915" w14:textId="77777777" w:rsidTr="00B80E97">
        <w:trPr>
          <w:cantSplit/>
        </w:trPr>
        <w:tc>
          <w:tcPr>
            <w:tcW w:w="1570" w:type="dxa"/>
          </w:tcPr>
          <w:p w14:paraId="1A13AC88" w14:textId="77777777" w:rsidR="00F9458B" w:rsidRPr="008A6671" w:rsidRDefault="00F9458B" w:rsidP="00F9458B">
            <w:r w:rsidRPr="008A6671">
              <w:t>Calculation</w:t>
            </w:r>
          </w:p>
        </w:tc>
        <w:tc>
          <w:tcPr>
            <w:tcW w:w="8158" w:type="dxa"/>
          </w:tcPr>
          <w:p w14:paraId="7FCE9BD1" w14:textId="763CA546" w:rsidR="00F9458B" w:rsidRPr="008A6671" w:rsidRDefault="00F9458B" w:rsidP="00F9458B">
            <w:pPr>
              <w:rPr>
                <w:rFonts w:eastAsia="Calibri"/>
              </w:rPr>
            </w:pPr>
            <w:r w:rsidRPr="008A6671">
              <w:rPr>
                <w:rFonts w:eastAsia="Calibri"/>
              </w:rPr>
              <w:t>Number of AMS</w:t>
            </w:r>
            <w:r w:rsidR="00F25AD7">
              <w:rPr>
                <w:rFonts w:eastAsia="Calibri"/>
              </w:rPr>
              <w:t>.</w:t>
            </w:r>
          </w:p>
          <w:p w14:paraId="343CACE5" w14:textId="0F9D5FA6" w:rsidR="00F9458B" w:rsidRPr="008A6671" w:rsidRDefault="00F9458B" w:rsidP="00F9458B">
            <w:pPr>
              <w:rPr>
                <w:rFonts w:eastAsia="Calibri"/>
              </w:rPr>
            </w:pPr>
            <w:r w:rsidRPr="008A6671">
              <w:rPr>
                <w:rFonts w:eastAsia="Calibri"/>
              </w:rPr>
              <w:t>Number of mainstream organisations</w:t>
            </w:r>
            <w:r w:rsidR="00F25AD7">
              <w:rPr>
                <w:rFonts w:eastAsia="Calibri"/>
              </w:rPr>
              <w:t>.</w:t>
            </w:r>
          </w:p>
          <w:p w14:paraId="16C18C5C" w14:textId="236B2877" w:rsidR="00F9458B" w:rsidRPr="008A6671" w:rsidRDefault="00F9458B" w:rsidP="00F9458B">
            <w:pPr>
              <w:rPr>
                <w:rFonts w:eastAsia="Calibri"/>
              </w:rPr>
            </w:pPr>
            <w:r w:rsidRPr="008A6671">
              <w:rPr>
                <w:rFonts w:eastAsia="Calibri"/>
              </w:rPr>
              <w:t>PHN activities</w:t>
            </w:r>
            <w:r w:rsidR="00F25AD7">
              <w:rPr>
                <w:rFonts w:eastAsia="Calibri"/>
              </w:rPr>
              <w:t>.</w:t>
            </w:r>
          </w:p>
          <w:p w14:paraId="1A325D9F" w14:textId="60FC29CE" w:rsidR="00F9458B" w:rsidRPr="008A6671" w:rsidRDefault="00F9458B" w:rsidP="00F9458B">
            <w:r w:rsidRPr="008A6671">
              <w:rPr>
                <w:rFonts w:eastAsia="Calibri"/>
              </w:rPr>
              <w:t>The Department will assess the information provided by the PHN</w:t>
            </w:r>
            <w:r w:rsidR="00974738">
              <w:rPr>
                <w:rFonts w:eastAsia="Calibri"/>
              </w:rPr>
              <w:t>.</w:t>
            </w:r>
          </w:p>
        </w:tc>
      </w:tr>
      <w:tr w:rsidR="00F9458B" w:rsidRPr="00F9458B" w14:paraId="06886CB9" w14:textId="77777777" w:rsidTr="00B80E97">
        <w:trPr>
          <w:cantSplit/>
        </w:trPr>
        <w:tc>
          <w:tcPr>
            <w:tcW w:w="1570" w:type="dxa"/>
          </w:tcPr>
          <w:p w14:paraId="07EC3693" w14:textId="77777777" w:rsidR="00F9458B" w:rsidRPr="008A6671" w:rsidRDefault="00F9458B" w:rsidP="00F9458B">
            <w:r w:rsidRPr="008A6671">
              <w:t>Limitations</w:t>
            </w:r>
          </w:p>
        </w:tc>
        <w:tc>
          <w:tcPr>
            <w:tcW w:w="8158" w:type="dxa"/>
          </w:tcPr>
          <w:p w14:paraId="0BF664DF" w14:textId="77777777" w:rsidR="00F9458B" w:rsidRPr="008A6671" w:rsidRDefault="00F9458B" w:rsidP="00F9458B">
            <w:r w:rsidRPr="008A6671">
              <w:t>-</w:t>
            </w:r>
          </w:p>
        </w:tc>
      </w:tr>
      <w:tr w:rsidR="00F9458B" w:rsidRPr="00F9458B" w14:paraId="4B5C006E" w14:textId="77777777" w:rsidTr="00B80E97">
        <w:trPr>
          <w:cantSplit/>
        </w:trPr>
        <w:tc>
          <w:tcPr>
            <w:tcW w:w="1570" w:type="dxa"/>
          </w:tcPr>
          <w:p w14:paraId="3ABFA10A" w14:textId="77777777" w:rsidR="00F9458B" w:rsidRPr="008A6671" w:rsidRDefault="00F9458B" w:rsidP="00F9458B">
            <w:r w:rsidRPr="008A6671">
              <w:t>Additional information</w:t>
            </w:r>
          </w:p>
        </w:tc>
        <w:tc>
          <w:tcPr>
            <w:tcW w:w="8158" w:type="dxa"/>
          </w:tcPr>
          <w:p w14:paraId="6491E06F" w14:textId="77777777" w:rsidR="00F9458B" w:rsidRPr="008A6671" w:rsidRDefault="00F9458B" w:rsidP="00F9458B">
            <w:r w:rsidRPr="008A6671">
              <w:t>-</w:t>
            </w:r>
          </w:p>
        </w:tc>
      </w:tr>
    </w:tbl>
    <w:p w14:paraId="64F59EEE" w14:textId="2FCE7406" w:rsidR="00F9458B" w:rsidRPr="00665D8A" w:rsidRDefault="00454616" w:rsidP="00665D8A">
      <w:pPr>
        <w:pStyle w:val="Heading2"/>
      </w:pPr>
      <w:bookmarkStart w:id="93" w:name="_Toc517267769"/>
      <w:bookmarkStart w:id="94" w:name="_Toc517334499"/>
      <w:bookmarkStart w:id="95" w:name="_Toc517769816"/>
      <w:r w:rsidRPr="00665D8A">
        <w:t>FN</w:t>
      </w:r>
      <w:r w:rsidR="003D7A77" w:rsidRPr="00665D8A">
        <w:t>3</w:t>
      </w:r>
      <w:r w:rsidR="00F9458B" w:rsidRPr="00665D8A">
        <w:t xml:space="preserve">: Evidence that all drug and alcohol commissioned services are culturally </w:t>
      </w:r>
      <w:r w:rsidR="00BA1D3C" w:rsidRPr="00665D8A">
        <w:t>safe</w:t>
      </w:r>
      <w:r w:rsidR="00F9458B" w:rsidRPr="00665D8A">
        <w:t xml:space="preserve"> for </w:t>
      </w:r>
      <w:r w:rsidR="00040D0F" w:rsidRPr="00665D8A">
        <w:t>First Nations</w:t>
      </w:r>
      <w:r w:rsidR="00F9458B" w:rsidRPr="00665D8A">
        <w:t xml:space="preserve"> people</w:t>
      </w:r>
      <w:bookmarkEnd w:id="93"/>
      <w:bookmarkEnd w:id="94"/>
      <w:bookmarkEnd w:id="95"/>
    </w:p>
    <w:tbl>
      <w:tblPr>
        <w:tblStyle w:val="PHNTealtable"/>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4A0" w:firstRow="1" w:lastRow="0" w:firstColumn="1" w:lastColumn="0" w:noHBand="0" w:noVBand="1"/>
        <w:tblDescription w:val="This table details indicator IH3: Evidence that all drug and alcohol commissioned services are culturally appropriate for Aboriginal and Torres Strait Islander people. It is comprised of two columns, and 11 rows. Column one provides the Item of the indicator, and Column two outlines the corresponding description."/>
      </w:tblPr>
      <w:tblGrid>
        <w:gridCol w:w="1571"/>
        <w:gridCol w:w="8156"/>
      </w:tblGrid>
      <w:tr w:rsidR="00F9458B" w:rsidRPr="00F9458B" w14:paraId="46F81E9B" w14:textId="77777777" w:rsidTr="009038CB">
        <w:trPr>
          <w:cnfStyle w:val="100000000000" w:firstRow="1" w:lastRow="0" w:firstColumn="0" w:lastColumn="0" w:oddVBand="0" w:evenVBand="0" w:oddHBand="0" w:evenHBand="0" w:firstRowFirstColumn="0" w:firstRowLastColumn="0" w:lastRowFirstColumn="0" w:lastRowLastColumn="0"/>
          <w:tblHeader/>
        </w:trPr>
        <w:tc>
          <w:tcPr>
            <w:tcW w:w="1574" w:type="dxa"/>
            <w:shd w:val="clear" w:color="auto" w:fill="153A6E"/>
          </w:tcPr>
          <w:p w14:paraId="3DDEFA8F" w14:textId="77777777" w:rsidR="00F9458B" w:rsidRPr="00716651" w:rsidRDefault="00F9458B" w:rsidP="00665D8A">
            <w:pPr>
              <w:pStyle w:val="TableHeaderWhite"/>
            </w:pPr>
            <w:r w:rsidRPr="00716651">
              <w:t>Item</w:t>
            </w:r>
          </w:p>
        </w:tc>
        <w:tc>
          <w:tcPr>
            <w:tcW w:w="8388" w:type="dxa"/>
            <w:shd w:val="clear" w:color="auto" w:fill="153A6E"/>
          </w:tcPr>
          <w:p w14:paraId="2E3F2195" w14:textId="77777777" w:rsidR="00F9458B" w:rsidRPr="00716651" w:rsidRDefault="00F9458B" w:rsidP="00665D8A">
            <w:pPr>
              <w:pStyle w:val="TableHeaderWhite"/>
            </w:pPr>
            <w:r w:rsidRPr="00716651">
              <w:t>Description</w:t>
            </w:r>
          </w:p>
        </w:tc>
      </w:tr>
      <w:tr w:rsidR="00F9458B" w:rsidRPr="00F9458B" w14:paraId="04D020FE" w14:textId="77777777" w:rsidTr="00405F47">
        <w:trPr>
          <w:cantSplit/>
        </w:trPr>
        <w:tc>
          <w:tcPr>
            <w:tcW w:w="1574" w:type="dxa"/>
          </w:tcPr>
          <w:p w14:paraId="37BAF31B" w14:textId="77777777" w:rsidR="00F9458B" w:rsidRPr="008A6671" w:rsidRDefault="00F9458B" w:rsidP="00F9458B">
            <w:r w:rsidRPr="008A6671">
              <w:t>Assessment</w:t>
            </w:r>
          </w:p>
        </w:tc>
        <w:tc>
          <w:tcPr>
            <w:tcW w:w="8388" w:type="dxa"/>
          </w:tcPr>
          <w:p w14:paraId="1A0D21A3" w14:textId="6242DD5C" w:rsidR="00F9458B" w:rsidRPr="008A6671" w:rsidRDefault="00F9458B" w:rsidP="00F9458B">
            <w:r w:rsidRPr="008A6671">
              <w:t>Individual PHN</w:t>
            </w:r>
            <w:r w:rsidR="00974738">
              <w:t>.</w:t>
            </w:r>
          </w:p>
        </w:tc>
      </w:tr>
      <w:tr w:rsidR="00F9458B" w:rsidRPr="00F9458B" w14:paraId="5B70E0FA" w14:textId="77777777" w:rsidTr="00405F47">
        <w:trPr>
          <w:cantSplit/>
        </w:trPr>
        <w:tc>
          <w:tcPr>
            <w:tcW w:w="1574" w:type="dxa"/>
          </w:tcPr>
          <w:p w14:paraId="3F8E5B48" w14:textId="77777777" w:rsidR="00F9458B" w:rsidRPr="008A6671" w:rsidRDefault="00F9458B" w:rsidP="00F9458B">
            <w:r w:rsidRPr="008A6671">
              <w:t>Reporting</w:t>
            </w:r>
          </w:p>
        </w:tc>
        <w:tc>
          <w:tcPr>
            <w:tcW w:w="8388" w:type="dxa"/>
          </w:tcPr>
          <w:p w14:paraId="5350BD09" w14:textId="47E69041" w:rsidR="00F9458B" w:rsidRPr="008A6671" w:rsidRDefault="00E616C8" w:rsidP="00F9458B">
            <w:r>
              <w:t>Twelve m</w:t>
            </w:r>
            <w:r w:rsidR="00367F9E">
              <w:t>onthly</w:t>
            </w:r>
            <w:r w:rsidR="007675BE" w:rsidRPr="008A6671">
              <w:rPr>
                <w:rFonts w:eastAsia="Calibri"/>
              </w:rPr>
              <w:t xml:space="preserve"> by Department.</w:t>
            </w:r>
          </w:p>
        </w:tc>
      </w:tr>
      <w:tr w:rsidR="00F9458B" w:rsidRPr="00F9458B" w14:paraId="5CCBC553" w14:textId="77777777" w:rsidTr="00405F47">
        <w:trPr>
          <w:cantSplit/>
        </w:trPr>
        <w:tc>
          <w:tcPr>
            <w:tcW w:w="1574" w:type="dxa"/>
          </w:tcPr>
          <w:p w14:paraId="1473C771" w14:textId="77777777" w:rsidR="00F9458B" w:rsidRPr="008A6671" w:rsidRDefault="00F9458B" w:rsidP="00F9458B">
            <w:r w:rsidRPr="008A6671">
              <w:t>Definition</w:t>
            </w:r>
          </w:p>
        </w:tc>
        <w:tc>
          <w:tcPr>
            <w:tcW w:w="8388" w:type="dxa"/>
          </w:tcPr>
          <w:p w14:paraId="38B6EDC1" w14:textId="1D948BE2" w:rsidR="00F9458B" w:rsidRPr="008A6671" w:rsidRDefault="00F9458B" w:rsidP="00F9458B">
            <w:r w:rsidRPr="008A6671">
              <w:rPr>
                <w:rFonts w:eastAsia="Calibri"/>
              </w:rPr>
              <w:t xml:space="preserve">Evidence that all drug and alcohol commissioned services are culturally </w:t>
            </w:r>
            <w:r w:rsidR="007E4B5E">
              <w:rPr>
                <w:rFonts w:eastAsia="Calibri"/>
              </w:rPr>
              <w:t>safe</w:t>
            </w:r>
            <w:r w:rsidRPr="008A6671">
              <w:rPr>
                <w:rFonts w:eastAsia="Calibri"/>
              </w:rPr>
              <w:t xml:space="preserve"> for </w:t>
            </w:r>
            <w:r w:rsidR="00040D0F" w:rsidRPr="008A6671">
              <w:rPr>
                <w:rFonts w:eastAsia="Calibri"/>
              </w:rPr>
              <w:t>First Nations</w:t>
            </w:r>
            <w:r w:rsidRPr="008A6671">
              <w:rPr>
                <w:rFonts w:eastAsia="Calibri"/>
              </w:rPr>
              <w:t xml:space="preserve"> people</w:t>
            </w:r>
            <w:r w:rsidR="00974738">
              <w:rPr>
                <w:rFonts w:eastAsia="Calibri"/>
              </w:rPr>
              <w:t>.</w:t>
            </w:r>
          </w:p>
        </w:tc>
      </w:tr>
      <w:tr w:rsidR="00F9458B" w:rsidRPr="00F9458B" w14:paraId="4719C7DB" w14:textId="77777777" w:rsidTr="00405F47">
        <w:trPr>
          <w:cantSplit/>
        </w:trPr>
        <w:tc>
          <w:tcPr>
            <w:tcW w:w="1574" w:type="dxa"/>
          </w:tcPr>
          <w:p w14:paraId="105DF48C" w14:textId="77777777" w:rsidR="00F9458B" w:rsidRPr="008A6671" w:rsidRDefault="00F9458B" w:rsidP="00F9458B">
            <w:r w:rsidRPr="008A6671">
              <w:t>Purpose</w:t>
            </w:r>
          </w:p>
        </w:tc>
        <w:tc>
          <w:tcPr>
            <w:tcW w:w="8388" w:type="dxa"/>
          </w:tcPr>
          <w:p w14:paraId="7F7B47D7" w14:textId="76EDD01C" w:rsidR="00F9458B" w:rsidRPr="008A6671" w:rsidRDefault="00F9458B" w:rsidP="00F9458B">
            <w:pPr>
              <w:rPr>
                <w:rFonts w:eastAsia="Calibri"/>
              </w:rPr>
            </w:pPr>
            <w:r w:rsidRPr="008A6671">
              <w:rPr>
                <w:rFonts w:eastAsia="Calibri"/>
              </w:rPr>
              <w:t xml:space="preserve">PHNs aim to provide tailored and culturally </w:t>
            </w:r>
            <w:r w:rsidR="007E4B5E">
              <w:rPr>
                <w:rFonts w:eastAsia="Calibri"/>
              </w:rPr>
              <w:t>safe</w:t>
            </w:r>
            <w:r w:rsidRPr="008A6671">
              <w:rPr>
                <w:rFonts w:eastAsia="Calibri"/>
              </w:rPr>
              <w:t xml:space="preserve"> treatment for </w:t>
            </w:r>
            <w:r w:rsidR="009D5C3D" w:rsidRPr="008A6671">
              <w:rPr>
                <w:rFonts w:eastAsia="Calibri"/>
              </w:rPr>
              <w:t xml:space="preserve">First Nations </w:t>
            </w:r>
            <w:r w:rsidRPr="008A6671">
              <w:rPr>
                <w:rFonts w:eastAsia="Calibri"/>
              </w:rPr>
              <w:t>people</w:t>
            </w:r>
            <w:r w:rsidR="00F25AD7">
              <w:rPr>
                <w:rFonts w:eastAsia="Calibri"/>
              </w:rPr>
              <w:t>.</w:t>
            </w:r>
          </w:p>
          <w:p w14:paraId="37801105" w14:textId="2FEF0B2E" w:rsidR="00F9458B" w:rsidRPr="008A6671" w:rsidRDefault="00F9458B" w:rsidP="00F9458B">
            <w:r w:rsidRPr="008A6671">
              <w:rPr>
                <w:rFonts w:eastAsia="Calibri"/>
              </w:rPr>
              <w:t xml:space="preserve">PHNs will report on how mainstream and </w:t>
            </w:r>
            <w:r w:rsidR="007E4B5E">
              <w:rPr>
                <w:rFonts w:eastAsia="Calibri"/>
              </w:rPr>
              <w:t>First Nations</w:t>
            </w:r>
            <w:r w:rsidRPr="008A6671">
              <w:rPr>
                <w:rFonts w:eastAsia="Calibri"/>
              </w:rPr>
              <w:t xml:space="preserve"> services have been delivered in recognition of the six domains and focus areas of the Cultural Respect Framework for Aboriginal and Torres Strait Islander Health 2016-26</w:t>
            </w:r>
            <w:r w:rsidR="00974738">
              <w:rPr>
                <w:rFonts w:eastAsia="Calibri"/>
              </w:rPr>
              <w:t>.</w:t>
            </w:r>
          </w:p>
        </w:tc>
      </w:tr>
      <w:tr w:rsidR="00F9458B" w:rsidRPr="00F9458B" w14:paraId="52B06D0A" w14:textId="77777777" w:rsidTr="00405F47">
        <w:trPr>
          <w:cantSplit/>
        </w:trPr>
        <w:tc>
          <w:tcPr>
            <w:tcW w:w="1574" w:type="dxa"/>
          </w:tcPr>
          <w:p w14:paraId="4314EAA2" w14:textId="77777777" w:rsidR="00F9458B" w:rsidRPr="008A6671" w:rsidRDefault="00F9458B" w:rsidP="00F9458B">
            <w:r w:rsidRPr="008A6671">
              <w:t>Outcome Theme: Quality Care</w:t>
            </w:r>
          </w:p>
        </w:tc>
        <w:tc>
          <w:tcPr>
            <w:tcW w:w="8388" w:type="dxa"/>
          </w:tcPr>
          <w:p w14:paraId="147A2D09" w14:textId="77777777" w:rsidR="00F9458B" w:rsidRPr="008A6671" w:rsidRDefault="00F9458B" w:rsidP="00F9458B">
            <w:pPr>
              <w:rPr>
                <w:rFonts w:eastAsia="Calibri"/>
              </w:rPr>
            </w:pPr>
            <w:r w:rsidRPr="008A6671">
              <w:rPr>
                <w:rFonts w:eastAsia="Calibri"/>
              </w:rPr>
              <w:t>Outcome:</w:t>
            </w:r>
          </w:p>
          <w:p w14:paraId="2E1E6021" w14:textId="75DFF61B" w:rsidR="00F9458B" w:rsidRPr="008A6671" w:rsidRDefault="00F9458B" w:rsidP="00F9458B">
            <w:pPr>
              <w:rPr>
                <w:rFonts w:eastAsia="Calibri"/>
              </w:rPr>
            </w:pPr>
            <w:r w:rsidRPr="008A6671">
              <w:rPr>
                <w:rFonts w:eastAsia="Calibri"/>
              </w:rPr>
              <w:t xml:space="preserve">Local health care providers provide culturally </w:t>
            </w:r>
            <w:r w:rsidR="008F7214">
              <w:rPr>
                <w:rFonts w:eastAsia="Calibri"/>
              </w:rPr>
              <w:t>safe</w:t>
            </w:r>
            <w:r w:rsidRPr="008A6671">
              <w:rPr>
                <w:rFonts w:eastAsia="Calibri"/>
              </w:rPr>
              <w:t xml:space="preserve"> services to </w:t>
            </w:r>
            <w:r w:rsidR="009D5C3D" w:rsidRPr="008A6671">
              <w:rPr>
                <w:rFonts w:eastAsia="Calibri"/>
              </w:rPr>
              <w:t>First Nations</w:t>
            </w:r>
            <w:r w:rsidRPr="008A6671">
              <w:rPr>
                <w:rFonts w:eastAsia="Calibri"/>
              </w:rPr>
              <w:t xml:space="preserve"> people</w:t>
            </w:r>
            <w:r w:rsidR="00F25AD7">
              <w:rPr>
                <w:rFonts w:eastAsia="Calibri"/>
              </w:rPr>
              <w:t>.</w:t>
            </w:r>
          </w:p>
          <w:p w14:paraId="5E5A8BC2" w14:textId="62488927" w:rsidR="00F9458B" w:rsidRPr="008A6671" w:rsidRDefault="00F9458B" w:rsidP="00F9458B">
            <w:r w:rsidRPr="008A6671">
              <w:rPr>
                <w:rFonts w:eastAsia="Calibri"/>
              </w:rPr>
              <w:t>Local workforce has suitable cultural and clinical skills to address health needs of PHN region</w:t>
            </w:r>
            <w:r w:rsidR="00974738">
              <w:rPr>
                <w:rFonts w:eastAsia="Calibri"/>
              </w:rPr>
              <w:t>.</w:t>
            </w:r>
          </w:p>
        </w:tc>
      </w:tr>
      <w:tr w:rsidR="00F9458B" w:rsidRPr="00F9458B" w14:paraId="5314D0D8" w14:textId="77777777" w:rsidTr="00405F47">
        <w:trPr>
          <w:cantSplit/>
        </w:trPr>
        <w:tc>
          <w:tcPr>
            <w:tcW w:w="1574" w:type="dxa"/>
          </w:tcPr>
          <w:p w14:paraId="5553F11F" w14:textId="77777777" w:rsidR="00F9458B" w:rsidRPr="008A6671" w:rsidRDefault="00F9458B" w:rsidP="00F9458B">
            <w:r w:rsidRPr="008A6671">
              <w:t>Performance Criteria</w:t>
            </w:r>
          </w:p>
        </w:tc>
        <w:tc>
          <w:tcPr>
            <w:tcW w:w="8388" w:type="dxa"/>
          </w:tcPr>
          <w:p w14:paraId="10561FF6" w14:textId="73BAEB40" w:rsidR="00F9458B" w:rsidRPr="008A6671" w:rsidRDefault="00F9458B" w:rsidP="00F9458B">
            <w:r w:rsidRPr="008A6671">
              <w:rPr>
                <w:rFonts w:eastAsia="Calibri"/>
              </w:rPr>
              <w:t xml:space="preserve">PHN supplies evidence that commissioned drug and alcohol services are culturally </w:t>
            </w:r>
            <w:r w:rsidR="00CA454E">
              <w:rPr>
                <w:rFonts w:eastAsia="Calibri"/>
              </w:rPr>
              <w:t>safe</w:t>
            </w:r>
            <w:r w:rsidR="00974738">
              <w:rPr>
                <w:rFonts w:eastAsia="Calibri"/>
              </w:rPr>
              <w:t>.</w:t>
            </w:r>
          </w:p>
        </w:tc>
      </w:tr>
      <w:tr w:rsidR="00F9458B" w:rsidRPr="00F9458B" w14:paraId="723196B5" w14:textId="77777777" w:rsidTr="00405F47">
        <w:trPr>
          <w:cantSplit/>
        </w:trPr>
        <w:tc>
          <w:tcPr>
            <w:tcW w:w="1574" w:type="dxa"/>
          </w:tcPr>
          <w:p w14:paraId="609CDC50" w14:textId="77777777" w:rsidR="00F9458B" w:rsidRPr="008A6671" w:rsidRDefault="00F9458B" w:rsidP="00F9458B">
            <w:r w:rsidRPr="008A6671">
              <w:lastRenderedPageBreak/>
              <w:t>Data Source</w:t>
            </w:r>
          </w:p>
        </w:tc>
        <w:tc>
          <w:tcPr>
            <w:tcW w:w="8388" w:type="dxa"/>
          </w:tcPr>
          <w:p w14:paraId="7CBCCDD6" w14:textId="40BB2ADD" w:rsidR="00F9458B" w:rsidRPr="008A6671" w:rsidRDefault="00260A59" w:rsidP="00F9458B">
            <w:r w:rsidRPr="008E5D2E">
              <w:rPr>
                <w:rFonts w:eastAsia="Calibri"/>
              </w:rPr>
              <w:t>Drug and Therapeutic Information Service</w:t>
            </w:r>
            <w:r w:rsidR="00F9458B" w:rsidRPr="008A6671">
              <w:rPr>
                <w:rFonts w:eastAsia="Calibri"/>
              </w:rPr>
              <w:t xml:space="preserve"> – Indicator 4.2</w:t>
            </w:r>
            <w:r w:rsidR="00974738">
              <w:rPr>
                <w:rFonts w:eastAsia="Calibri"/>
              </w:rPr>
              <w:t>.</w:t>
            </w:r>
          </w:p>
        </w:tc>
      </w:tr>
      <w:tr w:rsidR="00F9458B" w:rsidRPr="00F9458B" w14:paraId="28F8121C" w14:textId="77777777" w:rsidTr="00405F47">
        <w:trPr>
          <w:cantSplit/>
        </w:trPr>
        <w:tc>
          <w:tcPr>
            <w:tcW w:w="1574" w:type="dxa"/>
          </w:tcPr>
          <w:p w14:paraId="736F8347" w14:textId="77777777" w:rsidR="00F9458B" w:rsidRPr="008A6671" w:rsidRDefault="00F9458B" w:rsidP="00F9458B">
            <w:r w:rsidRPr="008A6671">
              <w:t>Calculation</w:t>
            </w:r>
          </w:p>
        </w:tc>
        <w:tc>
          <w:tcPr>
            <w:tcW w:w="8388" w:type="dxa"/>
          </w:tcPr>
          <w:p w14:paraId="180C3FCB" w14:textId="0DEAE1E8" w:rsidR="00F9458B" w:rsidRPr="008A6671" w:rsidRDefault="00370D32" w:rsidP="00F9458B">
            <w:r w:rsidRPr="008A6671">
              <w:rPr>
                <w:rFonts w:eastAsia="Calibri"/>
              </w:rPr>
              <w:t>Department of Health and Aged Care</w:t>
            </w:r>
            <w:r w:rsidR="00F9458B" w:rsidRPr="008A6671">
              <w:rPr>
                <w:rFonts w:eastAsia="Calibri"/>
              </w:rPr>
              <w:t xml:space="preserve"> will assess the qualitative information provided by the PHN</w:t>
            </w:r>
            <w:r w:rsidR="00974738">
              <w:rPr>
                <w:rFonts w:eastAsia="Calibri"/>
              </w:rPr>
              <w:t>.</w:t>
            </w:r>
          </w:p>
        </w:tc>
      </w:tr>
      <w:tr w:rsidR="00F9458B" w:rsidRPr="00F9458B" w14:paraId="20EF39B4" w14:textId="77777777" w:rsidTr="00405F47">
        <w:trPr>
          <w:cantSplit/>
        </w:trPr>
        <w:tc>
          <w:tcPr>
            <w:tcW w:w="1574" w:type="dxa"/>
          </w:tcPr>
          <w:p w14:paraId="4FDB7AF6" w14:textId="77777777" w:rsidR="00F9458B" w:rsidRPr="008A6671" w:rsidRDefault="00F9458B" w:rsidP="00F9458B">
            <w:r w:rsidRPr="008A6671">
              <w:t>Limitations</w:t>
            </w:r>
          </w:p>
        </w:tc>
        <w:tc>
          <w:tcPr>
            <w:tcW w:w="8388" w:type="dxa"/>
          </w:tcPr>
          <w:p w14:paraId="32091173" w14:textId="77777777" w:rsidR="00F9458B" w:rsidRPr="008A6671" w:rsidRDefault="00F9458B" w:rsidP="00F9458B">
            <w:r w:rsidRPr="008A6671">
              <w:t>-</w:t>
            </w:r>
          </w:p>
        </w:tc>
      </w:tr>
      <w:tr w:rsidR="00F9458B" w:rsidRPr="00F9458B" w14:paraId="2EA5B08F" w14:textId="77777777" w:rsidTr="00405F47">
        <w:trPr>
          <w:cantSplit/>
        </w:trPr>
        <w:tc>
          <w:tcPr>
            <w:tcW w:w="1574" w:type="dxa"/>
          </w:tcPr>
          <w:p w14:paraId="14856877" w14:textId="77777777" w:rsidR="00F9458B" w:rsidRPr="008A6671" w:rsidRDefault="00F9458B" w:rsidP="00F9458B">
            <w:r w:rsidRPr="008A6671">
              <w:t>Additional information</w:t>
            </w:r>
          </w:p>
        </w:tc>
        <w:tc>
          <w:tcPr>
            <w:tcW w:w="8388" w:type="dxa"/>
          </w:tcPr>
          <w:p w14:paraId="5D0547F0" w14:textId="77777777" w:rsidR="00F9458B" w:rsidRPr="008A6671" w:rsidRDefault="00F9458B" w:rsidP="00F9458B">
            <w:r w:rsidRPr="008A6671">
              <w:t>-</w:t>
            </w:r>
          </w:p>
        </w:tc>
      </w:tr>
    </w:tbl>
    <w:p w14:paraId="4DA38F69" w14:textId="3CD9D07B" w:rsidR="00F9458B" w:rsidRPr="00665D8A" w:rsidRDefault="00454616" w:rsidP="00665D8A">
      <w:pPr>
        <w:pStyle w:val="Heading2"/>
      </w:pPr>
      <w:bookmarkStart w:id="96" w:name="_Toc517267770"/>
      <w:bookmarkStart w:id="97" w:name="_Toc517334500"/>
      <w:bookmarkStart w:id="98" w:name="_Toc517769817"/>
      <w:r w:rsidRPr="00665D8A">
        <w:t>FN</w:t>
      </w:r>
      <w:r w:rsidR="003D7A77" w:rsidRPr="00665D8A">
        <w:t>4</w:t>
      </w:r>
      <w:r w:rsidR="00F9458B" w:rsidRPr="00665D8A">
        <w:t xml:space="preserve">: Proportion of PHN commissioned mental health services delivered to the regional </w:t>
      </w:r>
      <w:r w:rsidR="009D5C3D" w:rsidRPr="00665D8A">
        <w:t>First Nations</w:t>
      </w:r>
      <w:r w:rsidR="00F9458B" w:rsidRPr="00665D8A">
        <w:t xml:space="preserve"> population that were culturally </w:t>
      </w:r>
      <w:r w:rsidR="009525A9" w:rsidRPr="00665D8A">
        <w:t xml:space="preserve">safe </w:t>
      </w:r>
      <w:bookmarkEnd w:id="96"/>
      <w:bookmarkEnd w:id="97"/>
      <w:bookmarkEnd w:id="98"/>
    </w:p>
    <w:tbl>
      <w:tblPr>
        <w:tblStyle w:val="PHNTealtable"/>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4A0" w:firstRow="1" w:lastRow="0" w:firstColumn="1" w:lastColumn="0" w:noHBand="0" w:noVBand="1"/>
        <w:tblDescription w:val="This table details indicator IH4: Proportion of PHN commissioned mental health services delivered to the regional Aboriginal and Torres Strait Islander population that were culturally appropriate. It is comprised of two columns, and 11 rows. Column one provides the Item of the indicator, and Column two outlines the corresponding description."/>
      </w:tblPr>
      <w:tblGrid>
        <w:gridCol w:w="1570"/>
        <w:gridCol w:w="8157"/>
      </w:tblGrid>
      <w:tr w:rsidR="00F9458B" w:rsidRPr="00F9458B" w14:paraId="7C7827D9" w14:textId="77777777" w:rsidTr="009038CB">
        <w:trPr>
          <w:cnfStyle w:val="100000000000" w:firstRow="1" w:lastRow="0" w:firstColumn="0" w:lastColumn="0" w:oddVBand="0" w:evenVBand="0" w:oddHBand="0" w:evenHBand="0" w:firstRowFirstColumn="0" w:firstRowLastColumn="0" w:lastRowFirstColumn="0" w:lastRowLastColumn="0"/>
          <w:tblHeader/>
        </w:trPr>
        <w:tc>
          <w:tcPr>
            <w:tcW w:w="1574" w:type="dxa"/>
            <w:shd w:val="clear" w:color="auto" w:fill="153A6E"/>
          </w:tcPr>
          <w:p w14:paraId="16C1974C" w14:textId="77777777" w:rsidR="00F9458B" w:rsidRPr="00716651" w:rsidRDefault="00F9458B" w:rsidP="00665D8A">
            <w:pPr>
              <w:pStyle w:val="TableHeaderWhite"/>
            </w:pPr>
            <w:r w:rsidRPr="00716651">
              <w:t>Item</w:t>
            </w:r>
          </w:p>
        </w:tc>
        <w:tc>
          <w:tcPr>
            <w:tcW w:w="8388" w:type="dxa"/>
            <w:shd w:val="clear" w:color="auto" w:fill="153A6E"/>
          </w:tcPr>
          <w:p w14:paraId="1BD60485" w14:textId="77777777" w:rsidR="00F9458B" w:rsidRPr="00716651" w:rsidRDefault="00F9458B" w:rsidP="00665D8A">
            <w:pPr>
              <w:pStyle w:val="TableHeaderWhite"/>
            </w:pPr>
            <w:r w:rsidRPr="00716651">
              <w:t>Description</w:t>
            </w:r>
          </w:p>
        </w:tc>
      </w:tr>
      <w:tr w:rsidR="00F9458B" w:rsidRPr="00F9458B" w14:paraId="2AB7A14E" w14:textId="77777777" w:rsidTr="00405F47">
        <w:trPr>
          <w:cantSplit/>
        </w:trPr>
        <w:tc>
          <w:tcPr>
            <w:tcW w:w="1574" w:type="dxa"/>
          </w:tcPr>
          <w:p w14:paraId="289D9F41" w14:textId="77777777" w:rsidR="00F9458B" w:rsidRPr="008A6671" w:rsidRDefault="00F9458B" w:rsidP="00F9458B">
            <w:r w:rsidRPr="008A6671">
              <w:t>Assessment</w:t>
            </w:r>
          </w:p>
        </w:tc>
        <w:tc>
          <w:tcPr>
            <w:tcW w:w="8388" w:type="dxa"/>
          </w:tcPr>
          <w:p w14:paraId="41F337FC" w14:textId="3B186DF8" w:rsidR="00F9458B" w:rsidRPr="008A6671" w:rsidRDefault="00F9458B" w:rsidP="00F9458B">
            <w:r w:rsidRPr="008A6671">
              <w:t>Individual PHN</w:t>
            </w:r>
            <w:r w:rsidR="00974738">
              <w:t>.</w:t>
            </w:r>
          </w:p>
        </w:tc>
      </w:tr>
      <w:tr w:rsidR="00F9458B" w:rsidRPr="00F9458B" w14:paraId="60E2D5A9" w14:textId="77777777" w:rsidTr="00405F47">
        <w:trPr>
          <w:cantSplit/>
        </w:trPr>
        <w:tc>
          <w:tcPr>
            <w:tcW w:w="1574" w:type="dxa"/>
          </w:tcPr>
          <w:p w14:paraId="61B3F03F" w14:textId="77777777" w:rsidR="00F9458B" w:rsidRPr="008A6671" w:rsidRDefault="00F9458B" w:rsidP="00F9458B">
            <w:r w:rsidRPr="008A6671">
              <w:t>Reporting</w:t>
            </w:r>
          </w:p>
        </w:tc>
        <w:tc>
          <w:tcPr>
            <w:tcW w:w="8388" w:type="dxa"/>
          </w:tcPr>
          <w:p w14:paraId="4F148298" w14:textId="6218024C" w:rsidR="00F9458B" w:rsidRPr="008A6671" w:rsidRDefault="00F9458B" w:rsidP="00F9458B">
            <w:r w:rsidRPr="008A6671">
              <w:rPr>
                <w:rFonts w:eastAsia="Calibri"/>
              </w:rPr>
              <w:t xml:space="preserve">Twelve monthly </w:t>
            </w:r>
            <w:r w:rsidR="00091D4D">
              <w:rPr>
                <w:rFonts w:eastAsia="Calibri"/>
              </w:rPr>
              <w:t xml:space="preserve">by </w:t>
            </w:r>
            <w:r w:rsidR="00E230B0">
              <w:rPr>
                <w:rFonts w:eastAsia="Calibri"/>
              </w:rPr>
              <w:t>Department</w:t>
            </w:r>
            <w:r w:rsidRPr="008A6671">
              <w:rPr>
                <w:rFonts w:eastAsia="Calibri"/>
              </w:rPr>
              <w:t xml:space="preserve"> from Primary Mental Health Care (PMHC) Minimum Data Set (MDS) Standard Reports accessed by PHNs</w:t>
            </w:r>
            <w:r w:rsidR="00910F0B">
              <w:rPr>
                <w:rFonts w:eastAsia="Calibri"/>
              </w:rPr>
              <w:t>.</w:t>
            </w:r>
          </w:p>
        </w:tc>
      </w:tr>
      <w:tr w:rsidR="00F9458B" w:rsidRPr="00F9458B" w14:paraId="1C37E1DF" w14:textId="77777777" w:rsidTr="00405F47">
        <w:trPr>
          <w:cantSplit/>
        </w:trPr>
        <w:tc>
          <w:tcPr>
            <w:tcW w:w="1574" w:type="dxa"/>
          </w:tcPr>
          <w:p w14:paraId="792BA96E" w14:textId="77777777" w:rsidR="00F9458B" w:rsidRPr="008A6671" w:rsidRDefault="00F9458B" w:rsidP="00F9458B">
            <w:r w:rsidRPr="008A6671">
              <w:t>Definition</w:t>
            </w:r>
          </w:p>
        </w:tc>
        <w:tc>
          <w:tcPr>
            <w:tcW w:w="8388" w:type="dxa"/>
          </w:tcPr>
          <w:p w14:paraId="1B0FD687" w14:textId="0256F93A" w:rsidR="00F9458B" w:rsidRPr="008A6671" w:rsidRDefault="00F9458B" w:rsidP="00F9458B">
            <w:pPr>
              <w:rPr>
                <w:rFonts w:eastAsia="Calibri"/>
              </w:rPr>
            </w:pPr>
            <w:r w:rsidRPr="008A6671">
              <w:rPr>
                <w:rFonts w:eastAsia="Calibri"/>
              </w:rPr>
              <w:t xml:space="preserve">Proportion of PHN commissioned mental health services delivered to </w:t>
            </w:r>
            <w:r w:rsidR="009D5C3D" w:rsidRPr="008A6671">
              <w:rPr>
                <w:rFonts w:eastAsia="Calibri"/>
              </w:rPr>
              <w:t>First Nations</w:t>
            </w:r>
            <w:r w:rsidRPr="008A6671">
              <w:rPr>
                <w:rFonts w:eastAsia="Calibri"/>
              </w:rPr>
              <w:t xml:space="preserve"> clients where the service was provided by service providers that can demonstrate the delivery of culturally safe services as evidenced by:</w:t>
            </w:r>
          </w:p>
          <w:p w14:paraId="49A5AC5E" w14:textId="5DA3DE57" w:rsidR="00F9458B" w:rsidRPr="008A6671" w:rsidRDefault="00F9458B" w:rsidP="00716651">
            <w:pPr>
              <w:pStyle w:val="ListBullet"/>
            </w:pPr>
            <w:r w:rsidRPr="008A6671">
              <w:t xml:space="preserve">behaviours, attitudes, policies, practices and physical structures that are respectful and tailored to </w:t>
            </w:r>
            <w:r w:rsidR="009D5C3D" w:rsidRPr="008A6671">
              <w:t>First Nations</w:t>
            </w:r>
            <w:r w:rsidRPr="008A6671">
              <w:t xml:space="preserve"> people; and/or</w:t>
            </w:r>
          </w:p>
          <w:p w14:paraId="73D27C3E" w14:textId="508BA43C" w:rsidR="00F9458B" w:rsidRPr="008A6671" w:rsidRDefault="00F9458B" w:rsidP="00716651">
            <w:pPr>
              <w:pStyle w:val="ListBullet"/>
            </w:pPr>
            <w:r w:rsidRPr="008A6671">
              <w:t xml:space="preserve">the inclusion of </w:t>
            </w:r>
            <w:r w:rsidR="009D5C3D" w:rsidRPr="008A6671">
              <w:t>First Nations</w:t>
            </w:r>
            <w:r w:rsidRPr="008A6671">
              <w:t xml:space="preserve"> staff; and/or</w:t>
            </w:r>
          </w:p>
          <w:p w14:paraId="6CF55E84" w14:textId="17EC937B" w:rsidR="00F9458B" w:rsidRPr="00716651" w:rsidRDefault="00F9458B" w:rsidP="00716651">
            <w:pPr>
              <w:pStyle w:val="ListBullet"/>
            </w:pPr>
            <w:r w:rsidRPr="00716651">
              <w:t>delivery by providers appropriately skilled in the delivery of culturally safe services</w:t>
            </w:r>
            <w:r w:rsidR="00910F0B" w:rsidRPr="00716651">
              <w:t>.</w:t>
            </w:r>
          </w:p>
        </w:tc>
      </w:tr>
      <w:tr w:rsidR="00F9458B" w:rsidRPr="00F9458B" w14:paraId="08122D0C" w14:textId="77777777" w:rsidTr="00405F47">
        <w:trPr>
          <w:cantSplit/>
        </w:trPr>
        <w:tc>
          <w:tcPr>
            <w:tcW w:w="1574" w:type="dxa"/>
          </w:tcPr>
          <w:p w14:paraId="26E0DB7D" w14:textId="77777777" w:rsidR="00F9458B" w:rsidRPr="008A6671" w:rsidRDefault="00F9458B" w:rsidP="00F9458B">
            <w:r w:rsidRPr="008A6671">
              <w:t>Purpose</w:t>
            </w:r>
          </w:p>
        </w:tc>
        <w:tc>
          <w:tcPr>
            <w:tcW w:w="8388" w:type="dxa"/>
          </w:tcPr>
          <w:p w14:paraId="1B511C16" w14:textId="77F015FD" w:rsidR="00F9458B" w:rsidRPr="008A6671" w:rsidRDefault="00F9458B" w:rsidP="00F9458B">
            <w:pPr>
              <w:rPr>
                <w:rFonts w:eastAsia="Calibri"/>
              </w:rPr>
            </w:pPr>
            <w:r w:rsidRPr="008A6671">
              <w:rPr>
                <w:rFonts w:eastAsia="Calibri"/>
              </w:rPr>
              <w:t xml:space="preserve">PHNs are funded to increase access to integrated, culturally safe mental health services for </w:t>
            </w:r>
            <w:r w:rsidR="009D5C3D" w:rsidRPr="008A6671">
              <w:rPr>
                <w:rFonts w:eastAsia="Calibri"/>
              </w:rPr>
              <w:t>First Nations</w:t>
            </w:r>
            <w:r w:rsidRPr="008A6671">
              <w:rPr>
                <w:rFonts w:eastAsia="Calibri"/>
              </w:rPr>
              <w:t xml:space="preserve"> peoples. This funding supplements that provided to PHNs for services in other key areas</w:t>
            </w:r>
            <w:r w:rsidR="00F25AD7">
              <w:rPr>
                <w:rFonts w:eastAsia="Calibri"/>
              </w:rPr>
              <w:t>.</w:t>
            </w:r>
          </w:p>
          <w:p w14:paraId="11AF2B06" w14:textId="36B9C5A1" w:rsidR="00F9458B" w:rsidRPr="008A6671" w:rsidRDefault="00F9458B" w:rsidP="00F9458B">
            <w:pPr>
              <w:rPr>
                <w:rFonts w:eastAsia="Calibri"/>
              </w:rPr>
            </w:pPr>
            <w:r w:rsidRPr="008A6671">
              <w:rPr>
                <w:rFonts w:eastAsia="Calibri"/>
              </w:rPr>
              <w:t xml:space="preserve">Culturally safe and competent care is a key strategy for improving access to mental health services </w:t>
            </w:r>
            <w:proofErr w:type="gramStart"/>
            <w:r w:rsidRPr="008A6671">
              <w:rPr>
                <w:rFonts w:eastAsia="Calibri"/>
              </w:rPr>
              <w:t>and also</w:t>
            </w:r>
            <w:proofErr w:type="gramEnd"/>
            <w:r w:rsidRPr="008A6671">
              <w:rPr>
                <w:rFonts w:eastAsia="Calibri"/>
              </w:rPr>
              <w:t xml:space="preserve"> mental health outcomes for </w:t>
            </w:r>
            <w:r w:rsidR="009D5C3D" w:rsidRPr="008A6671">
              <w:rPr>
                <w:rFonts w:eastAsia="Calibri"/>
              </w:rPr>
              <w:t>First Nations</w:t>
            </w:r>
            <w:r w:rsidRPr="008A6671">
              <w:rPr>
                <w:rFonts w:eastAsia="Calibri"/>
              </w:rPr>
              <w:t xml:space="preserve"> peoples. Services can be provided through Aboriginal Community Controlled Health </w:t>
            </w:r>
            <w:r w:rsidR="00A410E7">
              <w:rPr>
                <w:rFonts w:eastAsia="Calibri"/>
              </w:rPr>
              <w:t xml:space="preserve">Services </w:t>
            </w:r>
            <w:r w:rsidRPr="008A6671">
              <w:rPr>
                <w:rFonts w:eastAsia="Calibri"/>
              </w:rPr>
              <w:t>(ACCH</w:t>
            </w:r>
            <w:r w:rsidR="00A410E7">
              <w:rPr>
                <w:rFonts w:eastAsia="Calibri"/>
              </w:rPr>
              <w:t>S</w:t>
            </w:r>
            <w:r w:rsidRPr="008A6671">
              <w:rPr>
                <w:rFonts w:eastAsia="Calibri"/>
              </w:rPr>
              <w:t>s) or mainstream services</w:t>
            </w:r>
            <w:r w:rsidR="00910F0B">
              <w:rPr>
                <w:rFonts w:eastAsia="Calibri"/>
              </w:rPr>
              <w:t>.</w:t>
            </w:r>
          </w:p>
        </w:tc>
      </w:tr>
      <w:tr w:rsidR="00F9458B" w:rsidRPr="00F9458B" w14:paraId="0C1B460B" w14:textId="77777777" w:rsidTr="00405F47">
        <w:trPr>
          <w:cantSplit/>
        </w:trPr>
        <w:tc>
          <w:tcPr>
            <w:tcW w:w="1574" w:type="dxa"/>
          </w:tcPr>
          <w:p w14:paraId="3C56CAC0" w14:textId="77777777" w:rsidR="00F9458B" w:rsidRPr="008A6671" w:rsidRDefault="00F9458B" w:rsidP="00F9458B">
            <w:r w:rsidRPr="008A6671">
              <w:t>Outcome Theme: Quality Care</w:t>
            </w:r>
          </w:p>
        </w:tc>
        <w:tc>
          <w:tcPr>
            <w:tcW w:w="8388" w:type="dxa"/>
          </w:tcPr>
          <w:p w14:paraId="68ACF3BA" w14:textId="77777777" w:rsidR="00F9458B" w:rsidRPr="008A6671" w:rsidRDefault="00F9458B" w:rsidP="00F9458B">
            <w:pPr>
              <w:rPr>
                <w:rFonts w:eastAsia="Calibri"/>
              </w:rPr>
            </w:pPr>
            <w:r w:rsidRPr="008A6671">
              <w:rPr>
                <w:rFonts w:eastAsia="Calibri"/>
              </w:rPr>
              <w:t>Outcome:</w:t>
            </w:r>
          </w:p>
          <w:p w14:paraId="4E0F0774" w14:textId="18563D88" w:rsidR="00F9458B" w:rsidRPr="008A6671" w:rsidRDefault="00F9458B" w:rsidP="00F9458B">
            <w:pPr>
              <w:rPr>
                <w:rFonts w:eastAsia="Calibri"/>
              </w:rPr>
            </w:pPr>
            <w:r w:rsidRPr="008A6671">
              <w:rPr>
                <w:rFonts w:eastAsia="Calibri"/>
              </w:rPr>
              <w:t xml:space="preserve">Local health care providers provide culturally appropriate services to </w:t>
            </w:r>
            <w:r w:rsidR="009D5C3D" w:rsidRPr="008A6671">
              <w:rPr>
                <w:rFonts w:eastAsia="Calibri"/>
              </w:rPr>
              <w:t>First Nations</w:t>
            </w:r>
            <w:r w:rsidRPr="008A6671">
              <w:rPr>
                <w:rFonts w:eastAsia="Calibri"/>
              </w:rPr>
              <w:t xml:space="preserve"> people</w:t>
            </w:r>
            <w:r w:rsidR="00F25AD7">
              <w:rPr>
                <w:rFonts w:eastAsia="Calibri"/>
              </w:rPr>
              <w:t>.</w:t>
            </w:r>
          </w:p>
          <w:p w14:paraId="319DC1A9" w14:textId="3F835602" w:rsidR="00F9458B" w:rsidRPr="008A6671" w:rsidRDefault="00F9458B" w:rsidP="00F9458B">
            <w:r w:rsidRPr="008A6671">
              <w:rPr>
                <w:rFonts w:eastAsia="Calibri"/>
              </w:rPr>
              <w:t>Local workforce has suitable cultural and clinical skills to address health needs of PHN region</w:t>
            </w:r>
            <w:r w:rsidR="00910F0B">
              <w:rPr>
                <w:rFonts w:eastAsia="Calibri"/>
              </w:rPr>
              <w:t>.</w:t>
            </w:r>
          </w:p>
        </w:tc>
      </w:tr>
      <w:tr w:rsidR="00F9458B" w:rsidRPr="00F9458B" w14:paraId="2B77036B" w14:textId="77777777" w:rsidTr="00405F47">
        <w:trPr>
          <w:cantSplit/>
        </w:trPr>
        <w:tc>
          <w:tcPr>
            <w:tcW w:w="1574" w:type="dxa"/>
          </w:tcPr>
          <w:p w14:paraId="0D5AB8B7" w14:textId="77777777" w:rsidR="00F9458B" w:rsidRPr="008A6671" w:rsidRDefault="00F9458B" w:rsidP="00F9458B">
            <w:r w:rsidRPr="008A6671">
              <w:t>Performance Criteria</w:t>
            </w:r>
          </w:p>
        </w:tc>
        <w:tc>
          <w:tcPr>
            <w:tcW w:w="8388" w:type="dxa"/>
          </w:tcPr>
          <w:p w14:paraId="6C6CF81B" w14:textId="1E2A4848" w:rsidR="00F9458B" w:rsidRPr="008A6671" w:rsidRDefault="00F9458B" w:rsidP="00F9458B">
            <w:r w:rsidRPr="008A6671">
              <w:rPr>
                <w:rFonts w:eastAsia="Calibri"/>
              </w:rPr>
              <w:t>At least 5% growth on proportion of previous year</w:t>
            </w:r>
            <w:r w:rsidR="004A57D7">
              <w:rPr>
                <w:rFonts w:eastAsia="Calibri"/>
              </w:rPr>
              <w:t>,</w:t>
            </w:r>
            <w:r w:rsidRPr="008A6671">
              <w:rPr>
                <w:rFonts w:eastAsia="Calibri"/>
              </w:rPr>
              <w:t xml:space="preserve"> or </w:t>
            </w:r>
            <w:r w:rsidR="004A57D7" w:rsidRPr="008A6671">
              <w:t xml:space="preserve">maintenance of </w:t>
            </w:r>
            <w:r w:rsidR="006064A7">
              <w:t>the</w:t>
            </w:r>
            <w:r w:rsidR="004A57D7" w:rsidRPr="008A6671">
              <w:t xml:space="preserve"> </w:t>
            </w:r>
            <w:r w:rsidR="004A57D7">
              <w:t>level</w:t>
            </w:r>
            <w:r w:rsidR="004A57D7" w:rsidRPr="008A6671">
              <w:rPr>
                <w:rFonts w:eastAsia="Calibri"/>
              </w:rPr>
              <w:t xml:space="preserve"> </w:t>
            </w:r>
            <w:r w:rsidRPr="008A6671">
              <w:rPr>
                <w:rFonts w:eastAsia="Calibri"/>
              </w:rPr>
              <w:t xml:space="preserve">where all services were culturally </w:t>
            </w:r>
            <w:r w:rsidR="00990489">
              <w:rPr>
                <w:rFonts w:eastAsia="Calibri"/>
              </w:rPr>
              <w:t>safe</w:t>
            </w:r>
            <w:r w:rsidR="00910F0B">
              <w:rPr>
                <w:rFonts w:eastAsia="Calibri"/>
              </w:rPr>
              <w:t>.</w:t>
            </w:r>
          </w:p>
        </w:tc>
      </w:tr>
      <w:tr w:rsidR="00F9458B" w:rsidRPr="00F9458B" w14:paraId="12A7F4B6" w14:textId="77777777" w:rsidTr="00405F47">
        <w:trPr>
          <w:cantSplit/>
        </w:trPr>
        <w:tc>
          <w:tcPr>
            <w:tcW w:w="1574" w:type="dxa"/>
          </w:tcPr>
          <w:p w14:paraId="0FCAF106" w14:textId="77777777" w:rsidR="00F9458B" w:rsidRPr="008A6671" w:rsidRDefault="00F9458B" w:rsidP="00F9458B">
            <w:r w:rsidRPr="008A6671">
              <w:t>Data Source</w:t>
            </w:r>
          </w:p>
        </w:tc>
        <w:tc>
          <w:tcPr>
            <w:tcW w:w="8388" w:type="dxa"/>
          </w:tcPr>
          <w:p w14:paraId="778D1BCA" w14:textId="7BEEA705" w:rsidR="00F9458B" w:rsidRPr="008A6671" w:rsidRDefault="00F9458B" w:rsidP="00F9458B">
            <w:pPr>
              <w:rPr>
                <w:rFonts w:eastAsia="Calibri"/>
              </w:rPr>
            </w:pPr>
            <w:r w:rsidRPr="008A6671">
              <w:rPr>
                <w:rFonts w:eastAsia="Calibri"/>
              </w:rPr>
              <w:t>MH Schedule reporting – Indicator App-2</w:t>
            </w:r>
            <w:r w:rsidR="00F25AD7">
              <w:rPr>
                <w:rFonts w:eastAsia="Calibri"/>
              </w:rPr>
              <w:t>.</w:t>
            </w:r>
          </w:p>
          <w:p w14:paraId="7B6FFF74" w14:textId="0D8A5F1C" w:rsidR="00F9458B" w:rsidRPr="008A6671" w:rsidRDefault="00F9458B" w:rsidP="00F9458B">
            <w:r w:rsidRPr="008A6671">
              <w:rPr>
                <w:rFonts w:eastAsia="Calibri"/>
              </w:rPr>
              <w:t>Constructed from PMHC MDS</w:t>
            </w:r>
            <w:r w:rsidR="00910F0B">
              <w:rPr>
                <w:rFonts w:eastAsia="Calibri"/>
              </w:rPr>
              <w:t>.</w:t>
            </w:r>
          </w:p>
        </w:tc>
      </w:tr>
      <w:tr w:rsidR="00F9458B" w:rsidRPr="00F9458B" w14:paraId="135F45D9" w14:textId="77777777" w:rsidTr="00405F47">
        <w:trPr>
          <w:cantSplit/>
        </w:trPr>
        <w:tc>
          <w:tcPr>
            <w:tcW w:w="1574" w:type="dxa"/>
          </w:tcPr>
          <w:p w14:paraId="5063AF6D" w14:textId="77777777" w:rsidR="00F9458B" w:rsidRPr="008A6671" w:rsidRDefault="00F9458B" w:rsidP="00F9458B">
            <w:r w:rsidRPr="008A6671">
              <w:lastRenderedPageBreak/>
              <w:t>Calculation</w:t>
            </w:r>
          </w:p>
        </w:tc>
        <w:tc>
          <w:tcPr>
            <w:tcW w:w="8388" w:type="dxa"/>
          </w:tcPr>
          <w:p w14:paraId="1B4DC31D" w14:textId="77777777" w:rsidR="00F9458B" w:rsidRPr="008A6671" w:rsidRDefault="00F9458B" w:rsidP="00F9458B">
            <w:pPr>
              <w:rPr>
                <w:rFonts w:eastAsia="Calibri"/>
              </w:rPr>
            </w:pPr>
            <w:r w:rsidRPr="008A6671">
              <w:rPr>
                <w:rFonts w:eastAsia="Calibri"/>
              </w:rPr>
              <w:t>Numerator:</w:t>
            </w:r>
          </w:p>
          <w:p w14:paraId="1142F333" w14:textId="42A946E1" w:rsidR="00F9458B" w:rsidRPr="008A6671" w:rsidRDefault="00F9458B" w:rsidP="00F9458B">
            <w:pPr>
              <w:rPr>
                <w:rFonts w:eastAsia="Calibri"/>
              </w:rPr>
            </w:pPr>
            <w:r w:rsidRPr="008A6671">
              <w:rPr>
                <w:rFonts w:eastAsia="Calibri"/>
              </w:rPr>
              <w:t xml:space="preserve">Number of PHN commissioned mental health service contacts provided to </w:t>
            </w:r>
            <w:r w:rsidR="00282E73" w:rsidRPr="008A6671">
              <w:rPr>
                <w:rFonts w:eastAsia="Calibri"/>
              </w:rPr>
              <w:t>First Nations</w:t>
            </w:r>
            <w:r w:rsidRPr="008A6671">
              <w:rPr>
                <w:rFonts w:eastAsia="Calibri"/>
              </w:rPr>
              <w:t xml:space="preserve"> people where the service provider is either:</w:t>
            </w:r>
          </w:p>
          <w:p w14:paraId="50789FD4" w14:textId="78E2CDB6" w:rsidR="00F9458B" w:rsidRPr="008A6671" w:rsidRDefault="00F9458B" w:rsidP="00716651">
            <w:pPr>
              <w:pStyle w:val="ListBullet"/>
            </w:pPr>
            <w:r w:rsidRPr="008A6671">
              <w:t>recorded as of Aboriginal and/or Torres Strait Islander origin; or</w:t>
            </w:r>
          </w:p>
          <w:p w14:paraId="3E98599D" w14:textId="77777777" w:rsidR="00F9458B" w:rsidRPr="008A6671" w:rsidRDefault="00F9458B" w:rsidP="00716651">
            <w:pPr>
              <w:pStyle w:val="ListBullet"/>
            </w:pPr>
            <w:r w:rsidRPr="008A6671">
              <w:t>employed by an Aboriginal Community Controlled Health Service; or</w:t>
            </w:r>
          </w:p>
          <w:p w14:paraId="75B2AE74" w14:textId="106F650E" w:rsidR="00F9458B" w:rsidRPr="008A6671" w:rsidRDefault="00F9458B" w:rsidP="00716651">
            <w:pPr>
              <w:pStyle w:val="ListBullet"/>
            </w:pPr>
            <w:r w:rsidRPr="008A6671">
              <w:t xml:space="preserve">has indicated they have completed a recognised training programme in the delivery of culturally safe services to </w:t>
            </w:r>
            <w:r w:rsidR="009D5C3D" w:rsidRPr="008A6671">
              <w:t>First Nations</w:t>
            </w:r>
            <w:r w:rsidRPr="008A6671">
              <w:t xml:space="preserve"> peoples</w:t>
            </w:r>
            <w:r w:rsidR="00F25AD7">
              <w:t>.</w:t>
            </w:r>
          </w:p>
          <w:p w14:paraId="62DB90D9" w14:textId="77777777" w:rsidR="00F9458B" w:rsidRPr="008A6671" w:rsidRDefault="00F9458B" w:rsidP="00F9458B">
            <w:pPr>
              <w:rPr>
                <w:rFonts w:eastAsia="Calibri"/>
              </w:rPr>
            </w:pPr>
            <w:r w:rsidRPr="008A6671">
              <w:rPr>
                <w:rFonts w:eastAsia="Calibri"/>
              </w:rPr>
              <w:t>Denominator:</w:t>
            </w:r>
          </w:p>
          <w:p w14:paraId="1C50C6A7" w14:textId="1C848030" w:rsidR="00F9458B" w:rsidRPr="008A6671" w:rsidRDefault="00F9458B" w:rsidP="00716651">
            <w:pPr>
              <w:pStyle w:val="ListBullet"/>
            </w:pPr>
            <w:r w:rsidRPr="008A6671">
              <w:t xml:space="preserve">Total number of PHN commissioned mental health service contacts provided to </w:t>
            </w:r>
            <w:r w:rsidR="00282E73" w:rsidRPr="008A6671">
              <w:t>First Nations</w:t>
            </w:r>
            <w:r w:rsidRPr="008A6671">
              <w:t xml:space="preserve"> clients</w:t>
            </w:r>
            <w:r w:rsidR="00F25AD7">
              <w:t>.</w:t>
            </w:r>
          </w:p>
          <w:p w14:paraId="61E1A4C5" w14:textId="77777777" w:rsidR="00F9458B" w:rsidRPr="008A6671" w:rsidRDefault="00F9458B" w:rsidP="00716651">
            <w:pPr>
              <w:pStyle w:val="ListBullet"/>
            </w:pPr>
            <w:r w:rsidRPr="008A6671">
              <w:t>Computation:</w:t>
            </w:r>
          </w:p>
          <w:p w14:paraId="287B0AEF" w14:textId="7C872D54" w:rsidR="00F9458B" w:rsidRPr="008A6671" w:rsidRDefault="00F9458B" w:rsidP="00716651">
            <w:pPr>
              <w:pStyle w:val="ListBullet"/>
            </w:pPr>
            <w:r w:rsidRPr="008A6671">
              <w:t>100 x (numerator / denominator</w:t>
            </w:r>
            <w:r w:rsidRPr="008E5D2E">
              <w:t>)</w:t>
            </w:r>
            <w:r w:rsidR="00C2094C">
              <w:t xml:space="preserve">, </w:t>
            </w:r>
            <w:r w:rsidR="00C2094C" w:rsidRPr="008A6671">
              <w:t>presented as a percentage in PHN region</w:t>
            </w:r>
            <w:r w:rsidR="00910F0B">
              <w:t>.</w:t>
            </w:r>
          </w:p>
        </w:tc>
      </w:tr>
      <w:tr w:rsidR="00F9458B" w:rsidRPr="00F9458B" w14:paraId="480DBCE8" w14:textId="77777777" w:rsidTr="00405F47">
        <w:trPr>
          <w:cantSplit/>
        </w:trPr>
        <w:tc>
          <w:tcPr>
            <w:tcW w:w="1574" w:type="dxa"/>
          </w:tcPr>
          <w:p w14:paraId="49075333" w14:textId="77777777" w:rsidR="00F9458B" w:rsidRPr="008A6671" w:rsidRDefault="00F9458B" w:rsidP="00F9458B">
            <w:r w:rsidRPr="008A6671">
              <w:t>Limitations</w:t>
            </w:r>
          </w:p>
        </w:tc>
        <w:tc>
          <w:tcPr>
            <w:tcW w:w="8388" w:type="dxa"/>
          </w:tcPr>
          <w:p w14:paraId="390F9C4D" w14:textId="1C9EED1D" w:rsidR="00F9458B" w:rsidRPr="008A6671" w:rsidRDefault="00F9458B" w:rsidP="00F9458B">
            <w:pPr>
              <w:rPr>
                <w:rFonts w:eastAsia="Calibri"/>
              </w:rPr>
            </w:pPr>
            <w:r w:rsidRPr="008A6671">
              <w:rPr>
                <w:rFonts w:eastAsia="Calibri"/>
              </w:rPr>
              <w:t xml:space="preserve">Accuracy of this indicator is dependent on the integrity of data reported by service providers on their </w:t>
            </w:r>
            <w:r w:rsidR="00282E73" w:rsidRPr="008A6671">
              <w:rPr>
                <w:rFonts w:eastAsia="Calibri"/>
              </w:rPr>
              <w:t>First Nations</w:t>
            </w:r>
            <w:r w:rsidRPr="008A6671">
              <w:rPr>
                <w:rFonts w:eastAsia="Calibri"/>
              </w:rPr>
              <w:t xml:space="preserve"> status and </w:t>
            </w:r>
            <w:r w:rsidR="009D5C3D" w:rsidRPr="008A6671">
              <w:rPr>
                <w:rFonts w:eastAsia="Calibri"/>
              </w:rPr>
              <w:t>First Nations</w:t>
            </w:r>
            <w:r w:rsidRPr="008A6671">
              <w:rPr>
                <w:rFonts w:eastAsia="Calibri"/>
              </w:rPr>
              <w:t xml:space="preserve"> Cultural Training</w:t>
            </w:r>
            <w:r w:rsidR="00F25AD7">
              <w:rPr>
                <w:rFonts w:eastAsia="Calibri"/>
              </w:rPr>
              <w:t>.</w:t>
            </w:r>
          </w:p>
          <w:p w14:paraId="26EC0878" w14:textId="17FB2683" w:rsidR="00F9458B" w:rsidRPr="008A6671" w:rsidRDefault="00F9458B" w:rsidP="00F9458B">
            <w:r w:rsidRPr="008A6671">
              <w:rPr>
                <w:rFonts w:eastAsia="Calibri"/>
              </w:rPr>
              <w:t xml:space="preserve">Further work is required on approaches to identifying the delivery of culturally safe services to </w:t>
            </w:r>
            <w:r w:rsidR="009D5C3D" w:rsidRPr="008A6671">
              <w:rPr>
                <w:rFonts w:eastAsia="Calibri"/>
              </w:rPr>
              <w:t>First Nations</w:t>
            </w:r>
            <w:r w:rsidRPr="008A6671">
              <w:rPr>
                <w:rFonts w:eastAsia="Calibri"/>
              </w:rPr>
              <w:t xml:space="preserve"> people from routine datasets</w:t>
            </w:r>
            <w:r w:rsidR="00910F0B">
              <w:rPr>
                <w:rFonts w:eastAsia="Calibri"/>
              </w:rPr>
              <w:t>.</w:t>
            </w:r>
          </w:p>
        </w:tc>
      </w:tr>
      <w:tr w:rsidR="00F9458B" w:rsidRPr="00F9458B" w14:paraId="39D77559" w14:textId="77777777" w:rsidTr="00405F47">
        <w:trPr>
          <w:cantSplit/>
        </w:trPr>
        <w:tc>
          <w:tcPr>
            <w:tcW w:w="1574" w:type="dxa"/>
          </w:tcPr>
          <w:p w14:paraId="5214FDE7" w14:textId="77777777" w:rsidR="00F9458B" w:rsidRPr="008A6671" w:rsidRDefault="00F9458B" w:rsidP="00F9458B">
            <w:r w:rsidRPr="008A6671">
              <w:t>Additional information</w:t>
            </w:r>
          </w:p>
        </w:tc>
        <w:tc>
          <w:tcPr>
            <w:tcW w:w="8388" w:type="dxa"/>
          </w:tcPr>
          <w:p w14:paraId="0A5D56CC" w14:textId="739E2297" w:rsidR="00F9458B" w:rsidRPr="008A6671" w:rsidRDefault="00CA127B" w:rsidP="00F9458B">
            <w:r w:rsidRPr="008A6671">
              <w:rPr>
                <w:rFonts w:eastAsia="Calibri"/>
              </w:rPr>
              <w:t xml:space="preserve">See </w:t>
            </w:r>
            <w:hyperlink r:id="rId19" w:history="1">
              <w:r w:rsidRPr="006C1F64">
                <w:rPr>
                  <w:rStyle w:val="Hyperlink"/>
                </w:rPr>
                <w:t>PMHC-MDS Data Specification</w:t>
              </w:r>
            </w:hyperlink>
            <w:r w:rsidR="00910F0B" w:rsidRPr="00665D8A">
              <w:rPr>
                <w:rStyle w:val="Hyperlink"/>
              </w:rPr>
              <w:t>.</w:t>
            </w:r>
          </w:p>
        </w:tc>
      </w:tr>
    </w:tbl>
    <w:p w14:paraId="1ED8046C" w14:textId="25020A0C" w:rsidR="00F9458B" w:rsidRPr="00665D8A" w:rsidRDefault="00454616" w:rsidP="00665D8A">
      <w:pPr>
        <w:pStyle w:val="Heading2"/>
      </w:pPr>
      <w:bookmarkStart w:id="99" w:name="_Toc517267771"/>
      <w:bookmarkStart w:id="100" w:name="_Toc517334501"/>
      <w:bookmarkStart w:id="101" w:name="_Toc517769818"/>
      <w:r w:rsidRPr="00665D8A">
        <w:t>FN</w:t>
      </w:r>
      <w:r w:rsidR="003D7A77" w:rsidRPr="00665D8A">
        <w:t>5</w:t>
      </w:r>
      <w:r w:rsidR="00F9458B" w:rsidRPr="00665D8A">
        <w:t xml:space="preserve">: ITC improves the cultural </w:t>
      </w:r>
      <w:r w:rsidR="009224F4" w:rsidRPr="00665D8A">
        <w:t xml:space="preserve">safety </w:t>
      </w:r>
      <w:r w:rsidR="00F9458B" w:rsidRPr="00665D8A">
        <w:t>of mainstream primary health care services</w:t>
      </w:r>
      <w:bookmarkEnd w:id="99"/>
      <w:bookmarkEnd w:id="100"/>
      <w:bookmarkEnd w:id="101"/>
    </w:p>
    <w:tbl>
      <w:tblPr>
        <w:tblStyle w:val="PHNTealtable"/>
        <w:tblW w:w="972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4A0" w:firstRow="1" w:lastRow="0" w:firstColumn="1" w:lastColumn="0" w:noHBand="0" w:noVBand="1"/>
        <w:tblDescription w:val="This table details indicator IH5: ITC improves the cultural competency of mainstream primary health care services. It is comprised of two columns, and 11 rows. Column one provides the Item of the indicator, and Column two outlines the corresponding description."/>
      </w:tblPr>
      <w:tblGrid>
        <w:gridCol w:w="1570"/>
        <w:gridCol w:w="8158"/>
      </w:tblGrid>
      <w:tr w:rsidR="00F9458B" w:rsidRPr="00F9458B" w14:paraId="789146A5" w14:textId="77777777" w:rsidTr="00B80E97">
        <w:trPr>
          <w:cnfStyle w:val="100000000000" w:firstRow="1" w:lastRow="0" w:firstColumn="0" w:lastColumn="0" w:oddVBand="0" w:evenVBand="0" w:oddHBand="0" w:evenHBand="0" w:firstRowFirstColumn="0" w:firstRowLastColumn="0" w:lastRowFirstColumn="0" w:lastRowLastColumn="0"/>
          <w:tblHeader/>
        </w:trPr>
        <w:tc>
          <w:tcPr>
            <w:tcW w:w="1570" w:type="dxa"/>
            <w:shd w:val="clear" w:color="auto" w:fill="153A6E"/>
          </w:tcPr>
          <w:p w14:paraId="602E7701" w14:textId="77777777" w:rsidR="00F9458B" w:rsidRPr="00716651" w:rsidRDefault="00F9458B" w:rsidP="00665D8A">
            <w:pPr>
              <w:pStyle w:val="TableHeaderWhite"/>
            </w:pPr>
            <w:r w:rsidRPr="00716651">
              <w:t>Item</w:t>
            </w:r>
          </w:p>
        </w:tc>
        <w:tc>
          <w:tcPr>
            <w:tcW w:w="8158" w:type="dxa"/>
            <w:shd w:val="clear" w:color="auto" w:fill="153A6E"/>
          </w:tcPr>
          <w:p w14:paraId="71983E0C" w14:textId="77777777" w:rsidR="00F9458B" w:rsidRPr="00716651" w:rsidRDefault="00F9458B" w:rsidP="00665D8A">
            <w:pPr>
              <w:pStyle w:val="TableHeaderWhite"/>
            </w:pPr>
            <w:r w:rsidRPr="00716651">
              <w:t>Description</w:t>
            </w:r>
          </w:p>
        </w:tc>
      </w:tr>
      <w:tr w:rsidR="00F9458B" w:rsidRPr="00F9458B" w14:paraId="79D1681D" w14:textId="77777777" w:rsidTr="00B80E97">
        <w:trPr>
          <w:cantSplit/>
        </w:trPr>
        <w:tc>
          <w:tcPr>
            <w:tcW w:w="1570" w:type="dxa"/>
          </w:tcPr>
          <w:p w14:paraId="7850248B" w14:textId="77777777" w:rsidR="00F9458B" w:rsidRPr="008A6671" w:rsidRDefault="00F9458B" w:rsidP="00F9458B">
            <w:r w:rsidRPr="008A6671">
              <w:t>Assessment</w:t>
            </w:r>
          </w:p>
        </w:tc>
        <w:tc>
          <w:tcPr>
            <w:tcW w:w="8158" w:type="dxa"/>
          </w:tcPr>
          <w:p w14:paraId="3596EB66" w14:textId="5E15190B" w:rsidR="00F9458B" w:rsidRPr="008A6671" w:rsidRDefault="00F9458B" w:rsidP="00F9458B">
            <w:r w:rsidRPr="008A6671">
              <w:t>Individual PHN</w:t>
            </w:r>
            <w:r w:rsidR="00910F0B">
              <w:t>.</w:t>
            </w:r>
          </w:p>
        </w:tc>
      </w:tr>
      <w:tr w:rsidR="00F9458B" w:rsidRPr="00F9458B" w14:paraId="41F8A723" w14:textId="77777777" w:rsidTr="00B80E97">
        <w:trPr>
          <w:cantSplit/>
        </w:trPr>
        <w:tc>
          <w:tcPr>
            <w:tcW w:w="1570" w:type="dxa"/>
            <w:shd w:val="clear" w:color="auto" w:fill="D72F0D"/>
          </w:tcPr>
          <w:p w14:paraId="71942C59" w14:textId="77777777" w:rsidR="00F9458B" w:rsidRPr="0082185D" w:rsidRDefault="00F9458B" w:rsidP="00665D8A">
            <w:pPr>
              <w:pStyle w:val="TableTextwhite"/>
            </w:pPr>
            <w:r w:rsidRPr="0082185D">
              <w:t>Reporting</w:t>
            </w:r>
          </w:p>
        </w:tc>
        <w:tc>
          <w:tcPr>
            <w:tcW w:w="8158" w:type="dxa"/>
            <w:shd w:val="clear" w:color="auto" w:fill="D72F0D"/>
          </w:tcPr>
          <w:p w14:paraId="5C76506F" w14:textId="2018272A" w:rsidR="00F9458B" w:rsidRPr="0082185D" w:rsidRDefault="00E11503" w:rsidP="00665D8A">
            <w:pPr>
              <w:pStyle w:val="TableTextwhite"/>
            </w:pPr>
            <w:r w:rsidRPr="0082185D">
              <w:t>Twelve monthly by PHN</w:t>
            </w:r>
            <w:r w:rsidR="00910F0B" w:rsidRPr="0082185D">
              <w:t>.</w:t>
            </w:r>
          </w:p>
        </w:tc>
      </w:tr>
      <w:tr w:rsidR="00F9458B" w:rsidRPr="00F9458B" w14:paraId="5A40A689" w14:textId="77777777" w:rsidTr="00B80E97">
        <w:trPr>
          <w:cantSplit/>
        </w:trPr>
        <w:tc>
          <w:tcPr>
            <w:tcW w:w="1570" w:type="dxa"/>
          </w:tcPr>
          <w:p w14:paraId="7B30CA5E" w14:textId="77777777" w:rsidR="00F9458B" w:rsidRPr="008A6671" w:rsidRDefault="00F9458B" w:rsidP="00F9458B">
            <w:r w:rsidRPr="008A6671">
              <w:t>Definition</w:t>
            </w:r>
          </w:p>
        </w:tc>
        <w:tc>
          <w:tcPr>
            <w:tcW w:w="8158" w:type="dxa"/>
          </w:tcPr>
          <w:p w14:paraId="19D0847E" w14:textId="43809EC6" w:rsidR="00F9458B" w:rsidRPr="008A6671" w:rsidRDefault="00F9458B" w:rsidP="00F9458B">
            <w:pPr>
              <w:rPr>
                <w:rFonts w:eastAsia="Calibri"/>
              </w:rPr>
            </w:pPr>
            <w:r w:rsidRPr="008A6671">
              <w:rPr>
                <w:rFonts w:eastAsia="Calibri"/>
              </w:rPr>
              <w:t xml:space="preserve">ITC commissioned services work to improve the cultural </w:t>
            </w:r>
            <w:r w:rsidR="005E6FF3" w:rsidRPr="008A6671">
              <w:t xml:space="preserve">safety </w:t>
            </w:r>
            <w:r w:rsidRPr="008A6671">
              <w:rPr>
                <w:rFonts w:eastAsia="Calibri"/>
              </w:rPr>
              <w:t>of mainstream primary health care services through a variety of activities, including but not limited to:</w:t>
            </w:r>
          </w:p>
          <w:p w14:paraId="6F77917D" w14:textId="124FE8BF" w:rsidR="00F9458B" w:rsidRPr="008A6671" w:rsidRDefault="00F9458B" w:rsidP="00716651">
            <w:pPr>
              <w:pStyle w:val="ListBullet"/>
            </w:pPr>
            <w:r w:rsidRPr="008A6671">
              <w:t>delivering or organising cultural awareness training for staff</w:t>
            </w:r>
          </w:p>
          <w:p w14:paraId="59155FB2" w14:textId="0F693B00" w:rsidR="00F9458B" w:rsidRPr="008A6671" w:rsidRDefault="00F9458B" w:rsidP="00716651">
            <w:pPr>
              <w:pStyle w:val="ListBullet"/>
            </w:pPr>
            <w:r w:rsidRPr="008A6671">
              <w:t>encouraging uptake of relevant MBS items</w:t>
            </w:r>
            <w:r w:rsidR="0008578A">
              <w:t>, and</w:t>
            </w:r>
          </w:p>
          <w:p w14:paraId="24051019" w14:textId="1312A6EA" w:rsidR="00F9458B" w:rsidRPr="008A6671" w:rsidRDefault="00F9458B" w:rsidP="00716651">
            <w:pPr>
              <w:pStyle w:val="ListBullet"/>
            </w:pPr>
            <w:r w:rsidRPr="008A6671">
              <w:t xml:space="preserve">helping practices create a more welcoming environment for </w:t>
            </w:r>
            <w:r w:rsidR="009D5C3D" w:rsidRPr="008A6671">
              <w:t>First Nations</w:t>
            </w:r>
            <w:r w:rsidRPr="008A6671">
              <w:t xml:space="preserve"> people</w:t>
            </w:r>
            <w:r w:rsidR="0008578A">
              <w:t>.</w:t>
            </w:r>
          </w:p>
          <w:p w14:paraId="71476027" w14:textId="308172DE" w:rsidR="00F9458B" w:rsidRPr="008A6671" w:rsidRDefault="00F9458B" w:rsidP="00F9458B">
            <w:pPr>
              <w:rPr>
                <w:rFonts w:eastAsia="Calibri"/>
              </w:rPr>
            </w:pPr>
            <w:r w:rsidRPr="008A6671">
              <w:rPr>
                <w:rFonts w:eastAsia="Calibri"/>
              </w:rPr>
              <w:t xml:space="preserve">Mainstream primary care means any primary health care service provider that is not an </w:t>
            </w:r>
            <w:r w:rsidR="00595BDF">
              <w:rPr>
                <w:rFonts w:eastAsia="Calibri"/>
              </w:rPr>
              <w:t xml:space="preserve">Aboriginal Medical </w:t>
            </w:r>
            <w:r w:rsidRPr="008A6671">
              <w:rPr>
                <w:rFonts w:eastAsia="Calibri"/>
              </w:rPr>
              <w:t xml:space="preserve">Service </w:t>
            </w:r>
            <w:r w:rsidR="00595BDF">
              <w:rPr>
                <w:rFonts w:eastAsia="Calibri"/>
              </w:rPr>
              <w:t xml:space="preserve">(AMS) </w:t>
            </w:r>
            <w:r w:rsidRPr="008A6671">
              <w:rPr>
                <w:rFonts w:eastAsia="Calibri"/>
              </w:rPr>
              <w:t>or an Aboriginal Community Controlled Health Service (ACCHS</w:t>
            </w:r>
            <w:r w:rsidRPr="008E5D2E">
              <w:rPr>
                <w:rFonts w:eastAsia="Calibri"/>
              </w:rPr>
              <w:t>)</w:t>
            </w:r>
            <w:r w:rsidR="00910F0B">
              <w:rPr>
                <w:rFonts w:eastAsia="Calibri"/>
              </w:rPr>
              <w:t>.</w:t>
            </w:r>
          </w:p>
        </w:tc>
      </w:tr>
      <w:tr w:rsidR="00F9458B" w:rsidRPr="00F9458B" w14:paraId="711BE716" w14:textId="77777777" w:rsidTr="00B80E97">
        <w:trPr>
          <w:cantSplit/>
        </w:trPr>
        <w:tc>
          <w:tcPr>
            <w:tcW w:w="1570" w:type="dxa"/>
          </w:tcPr>
          <w:p w14:paraId="7D41C509" w14:textId="77777777" w:rsidR="00F9458B" w:rsidRPr="008A6671" w:rsidRDefault="00F9458B" w:rsidP="00F9458B">
            <w:r w:rsidRPr="008A6671">
              <w:t>Purpose</w:t>
            </w:r>
          </w:p>
        </w:tc>
        <w:tc>
          <w:tcPr>
            <w:tcW w:w="8158" w:type="dxa"/>
          </w:tcPr>
          <w:p w14:paraId="5F30E05B" w14:textId="2BAFA61E" w:rsidR="00F9458B" w:rsidRPr="008A6671" w:rsidRDefault="00F9458B" w:rsidP="00F9458B">
            <w:r w:rsidRPr="008A6671">
              <w:rPr>
                <w:rFonts w:eastAsia="Calibri"/>
              </w:rPr>
              <w:t xml:space="preserve">This indicator provides an opportunity for PHNs to describe the work undertaken as part of ITC to improve the cultural </w:t>
            </w:r>
            <w:r w:rsidR="002771C3">
              <w:rPr>
                <w:rFonts w:eastAsia="Calibri"/>
              </w:rPr>
              <w:t>safety</w:t>
            </w:r>
            <w:r w:rsidRPr="008A6671">
              <w:rPr>
                <w:rFonts w:eastAsia="Calibri"/>
              </w:rPr>
              <w:t xml:space="preserve"> of mainstream primary care services</w:t>
            </w:r>
            <w:r w:rsidR="00910F0B">
              <w:rPr>
                <w:rFonts w:eastAsia="Calibri"/>
              </w:rPr>
              <w:t>.</w:t>
            </w:r>
          </w:p>
        </w:tc>
      </w:tr>
      <w:tr w:rsidR="00F9458B" w:rsidRPr="00F9458B" w14:paraId="11A0899E" w14:textId="77777777" w:rsidTr="00B80E97">
        <w:trPr>
          <w:cantSplit/>
        </w:trPr>
        <w:tc>
          <w:tcPr>
            <w:tcW w:w="1570" w:type="dxa"/>
          </w:tcPr>
          <w:p w14:paraId="567D23A3" w14:textId="77777777" w:rsidR="00F9458B" w:rsidRPr="008A6671" w:rsidRDefault="00F9458B" w:rsidP="00F9458B">
            <w:r w:rsidRPr="008A6671">
              <w:lastRenderedPageBreak/>
              <w:t>Outcome Theme: Quality Care</w:t>
            </w:r>
          </w:p>
        </w:tc>
        <w:tc>
          <w:tcPr>
            <w:tcW w:w="8158" w:type="dxa"/>
          </w:tcPr>
          <w:p w14:paraId="19CD0CBE" w14:textId="77777777" w:rsidR="00F9458B" w:rsidRPr="008A6671" w:rsidRDefault="00F9458B" w:rsidP="00F9458B">
            <w:pPr>
              <w:rPr>
                <w:rFonts w:eastAsia="Calibri"/>
              </w:rPr>
            </w:pPr>
            <w:r w:rsidRPr="008A6671">
              <w:rPr>
                <w:rFonts w:eastAsia="Calibri"/>
              </w:rPr>
              <w:t>Outcome:</w:t>
            </w:r>
          </w:p>
          <w:p w14:paraId="6A6E9768" w14:textId="49002CFF" w:rsidR="00F9458B" w:rsidRPr="008A6671" w:rsidRDefault="00F9458B" w:rsidP="00F9458B">
            <w:pPr>
              <w:rPr>
                <w:rFonts w:eastAsia="Calibri"/>
              </w:rPr>
            </w:pPr>
            <w:r w:rsidRPr="008A6671">
              <w:rPr>
                <w:rFonts w:eastAsia="Calibri"/>
              </w:rPr>
              <w:t xml:space="preserve">Local health care providers provide culturally </w:t>
            </w:r>
            <w:r w:rsidR="00B16609">
              <w:rPr>
                <w:rFonts w:eastAsia="Calibri"/>
              </w:rPr>
              <w:t>safe</w:t>
            </w:r>
            <w:r w:rsidRPr="008A6671">
              <w:rPr>
                <w:rFonts w:eastAsia="Calibri"/>
              </w:rPr>
              <w:t xml:space="preserve"> services to </w:t>
            </w:r>
            <w:r w:rsidR="009D5C3D" w:rsidRPr="008A6671">
              <w:rPr>
                <w:rFonts w:eastAsia="Calibri"/>
              </w:rPr>
              <w:t>First Nations</w:t>
            </w:r>
            <w:r w:rsidRPr="008A6671">
              <w:rPr>
                <w:rFonts w:eastAsia="Calibri"/>
              </w:rPr>
              <w:t xml:space="preserve"> people</w:t>
            </w:r>
            <w:r w:rsidR="00F25AD7">
              <w:rPr>
                <w:rFonts w:eastAsia="Calibri"/>
              </w:rPr>
              <w:t>.</w:t>
            </w:r>
          </w:p>
          <w:p w14:paraId="2FB36E70" w14:textId="45924631" w:rsidR="00F9458B" w:rsidRPr="008A6671" w:rsidRDefault="00F9458B" w:rsidP="00F9458B">
            <w:r w:rsidRPr="008A6671">
              <w:rPr>
                <w:rFonts w:eastAsia="Calibri"/>
              </w:rPr>
              <w:t>Local workforce has suitable cultural and clinical skills to address health needs of PHN region</w:t>
            </w:r>
            <w:r w:rsidR="00910F0B">
              <w:rPr>
                <w:rFonts w:eastAsia="Calibri"/>
              </w:rPr>
              <w:t>.</w:t>
            </w:r>
          </w:p>
        </w:tc>
      </w:tr>
      <w:tr w:rsidR="00F9458B" w:rsidRPr="00F9458B" w14:paraId="206C55E3" w14:textId="77777777" w:rsidTr="00B80E97">
        <w:trPr>
          <w:cantSplit/>
        </w:trPr>
        <w:tc>
          <w:tcPr>
            <w:tcW w:w="1570" w:type="dxa"/>
          </w:tcPr>
          <w:p w14:paraId="56CC3E73" w14:textId="77777777" w:rsidR="00F9458B" w:rsidRPr="008A6671" w:rsidRDefault="00F9458B" w:rsidP="00F9458B">
            <w:r w:rsidRPr="008A6671">
              <w:t>Performance Criteria</w:t>
            </w:r>
          </w:p>
        </w:tc>
        <w:tc>
          <w:tcPr>
            <w:tcW w:w="8158" w:type="dxa"/>
          </w:tcPr>
          <w:p w14:paraId="7484A9A0" w14:textId="179B9022" w:rsidR="00F9458B" w:rsidRPr="008A6671" w:rsidRDefault="00F9458B" w:rsidP="00F9458B">
            <w:r w:rsidRPr="008A6671">
              <w:rPr>
                <w:rFonts w:eastAsia="Calibri"/>
              </w:rPr>
              <w:t xml:space="preserve">PHN provides evidence that as part of ITC it is working to improve cultural </w:t>
            </w:r>
            <w:r w:rsidR="002771C3">
              <w:rPr>
                <w:rFonts w:eastAsia="Calibri"/>
              </w:rPr>
              <w:t>safety</w:t>
            </w:r>
            <w:r w:rsidRPr="008A6671">
              <w:rPr>
                <w:rFonts w:eastAsia="Calibri"/>
              </w:rPr>
              <w:t xml:space="preserve"> of mainstream primary health care services</w:t>
            </w:r>
            <w:r w:rsidR="00910F0B">
              <w:rPr>
                <w:rFonts w:eastAsia="Calibri"/>
              </w:rPr>
              <w:t>.</w:t>
            </w:r>
          </w:p>
        </w:tc>
      </w:tr>
      <w:tr w:rsidR="00F9458B" w:rsidRPr="00F9458B" w14:paraId="73B7A894" w14:textId="77777777" w:rsidTr="00B80E97">
        <w:trPr>
          <w:cantSplit/>
        </w:trPr>
        <w:tc>
          <w:tcPr>
            <w:tcW w:w="1570" w:type="dxa"/>
          </w:tcPr>
          <w:p w14:paraId="7727BB8E" w14:textId="77777777" w:rsidR="00F9458B" w:rsidRPr="008A6671" w:rsidRDefault="00F9458B" w:rsidP="00F9458B">
            <w:r w:rsidRPr="008A6671">
              <w:t>Data Source</w:t>
            </w:r>
          </w:p>
        </w:tc>
        <w:tc>
          <w:tcPr>
            <w:tcW w:w="8158" w:type="dxa"/>
          </w:tcPr>
          <w:p w14:paraId="4A532B79" w14:textId="45F52305" w:rsidR="00F9458B" w:rsidRPr="008A6671" w:rsidRDefault="00F9458B" w:rsidP="00F9458B">
            <w:r w:rsidRPr="008A6671">
              <w:rPr>
                <w:rFonts w:eastAsia="Calibri"/>
              </w:rPr>
              <w:t xml:space="preserve">Short description of activities undertaken to improve cultural </w:t>
            </w:r>
            <w:r w:rsidR="002771C3">
              <w:rPr>
                <w:rFonts w:eastAsia="Calibri"/>
              </w:rPr>
              <w:t>safety</w:t>
            </w:r>
            <w:r w:rsidRPr="008A6671">
              <w:rPr>
                <w:rFonts w:eastAsia="Calibri"/>
              </w:rPr>
              <w:t xml:space="preserve"> of mainstream primary health care services</w:t>
            </w:r>
            <w:r w:rsidR="00910F0B">
              <w:rPr>
                <w:rFonts w:eastAsia="Calibri"/>
              </w:rPr>
              <w:t>.</w:t>
            </w:r>
          </w:p>
        </w:tc>
      </w:tr>
      <w:tr w:rsidR="00F9458B" w:rsidRPr="00F9458B" w14:paraId="0EB606A3" w14:textId="77777777" w:rsidTr="00B80E97">
        <w:trPr>
          <w:cantSplit/>
        </w:trPr>
        <w:tc>
          <w:tcPr>
            <w:tcW w:w="1570" w:type="dxa"/>
          </w:tcPr>
          <w:p w14:paraId="67CB3DFC" w14:textId="77777777" w:rsidR="00F9458B" w:rsidRPr="008A6671" w:rsidRDefault="00F9458B" w:rsidP="00F9458B">
            <w:r w:rsidRPr="008A6671">
              <w:t>Calculation</w:t>
            </w:r>
          </w:p>
        </w:tc>
        <w:tc>
          <w:tcPr>
            <w:tcW w:w="8158" w:type="dxa"/>
          </w:tcPr>
          <w:p w14:paraId="7B15CF13" w14:textId="684D5945" w:rsidR="00F9458B" w:rsidRPr="008A6671" w:rsidRDefault="00370D32" w:rsidP="00F9458B">
            <w:r w:rsidRPr="008A6671">
              <w:rPr>
                <w:rFonts w:eastAsia="Calibri"/>
              </w:rPr>
              <w:t>Department of Health and Aged Care</w:t>
            </w:r>
            <w:r w:rsidR="00F9458B" w:rsidRPr="008A6671">
              <w:rPr>
                <w:rFonts w:eastAsia="Calibri"/>
              </w:rPr>
              <w:t xml:space="preserve"> will assess the qualitative information provided by the PHN</w:t>
            </w:r>
            <w:r w:rsidR="00910F0B">
              <w:rPr>
                <w:rFonts w:eastAsia="Calibri"/>
              </w:rPr>
              <w:t>.</w:t>
            </w:r>
          </w:p>
        </w:tc>
      </w:tr>
      <w:tr w:rsidR="00F9458B" w:rsidRPr="00F9458B" w14:paraId="033B8543" w14:textId="77777777" w:rsidTr="00B80E97">
        <w:trPr>
          <w:cantSplit/>
        </w:trPr>
        <w:tc>
          <w:tcPr>
            <w:tcW w:w="1570" w:type="dxa"/>
          </w:tcPr>
          <w:p w14:paraId="78296311" w14:textId="77777777" w:rsidR="00F9458B" w:rsidRPr="008A6671" w:rsidRDefault="00F9458B" w:rsidP="00F9458B">
            <w:r w:rsidRPr="008A6671">
              <w:t>Limitations</w:t>
            </w:r>
          </w:p>
        </w:tc>
        <w:tc>
          <w:tcPr>
            <w:tcW w:w="8158" w:type="dxa"/>
          </w:tcPr>
          <w:p w14:paraId="66CA8ACB" w14:textId="77777777" w:rsidR="00F9458B" w:rsidRPr="008A6671" w:rsidRDefault="00F9458B" w:rsidP="00F9458B">
            <w:r w:rsidRPr="008A6671">
              <w:t>-</w:t>
            </w:r>
          </w:p>
        </w:tc>
      </w:tr>
      <w:tr w:rsidR="00F9458B" w:rsidRPr="00F9458B" w14:paraId="51F198D4" w14:textId="77777777" w:rsidTr="00B80E97">
        <w:trPr>
          <w:cantSplit/>
        </w:trPr>
        <w:tc>
          <w:tcPr>
            <w:tcW w:w="1570" w:type="dxa"/>
          </w:tcPr>
          <w:p w14:paraId="1D7403F4" w14:textId="77777777" w:rsidR="00F9458B" w:rsidRPr="008A6671" w:rsidRDefault="00F9458B" w:rsidP="00F9458B">
            <w:r w:rsidRPr="008A6671">
              <w:t>Additional information</w:t>
            </w:r>
          </w:p>
        </w:tc>
        <w:tc>
          <w:tcPr>
            <w:tcW w:w="8158" w:type="dxa"/>
          </w:tcPr>
          <w:p w14:paraId="06C86C5B" w14:textId="77777777" w:rsidR="00F9458B" w:rsidRPr="008A6671" w:rsidRDefault="00F9458B" w:rsidP="00F9458B">
            <w:r w:rsidRPr="008A6671">
              <w:t>-</w:t>
            </w:r>
          </w:p>
        </w:tc>
      </w:tr>
    </w:tbl>
    <w:p w14:paraId="36017E42" w14:textId="56B9B3A7" w:rsidR="00F9458B" w:rsidRPr="00665D8A" w:rsidRDefault="00454616" w:rsidP="00665D8A">
      <w:pPr>
        <w:pStyle w:val="Heading2"/>
      </w:pPr>
      <w:bookmarkStart w:id="102" w:name="_Toc517267772"/>
      <w:bookmarkStart w:id="103" w:name="_Toc517334502"/>
      <w:bookmarkStart w:id="104" w:name="_Toc517769819"/>
      <w:r w:rsidRPr="00665D8A">
        <w:t>FN</w:t>
      </w:r>
      <w:r w:rsidR="00F04FED" w:rsidRPr="00665D8A">
        <w:t>6</w:t>
      </w:r>
      <w:r w:rsidR="00F9458B" w:rsidRPr="00665D8A">
        <w:t xml:space="preserve">: PHN provides support for </w:t>
      </w:r>
      <w:r w:rsidR="009D5C3D" w:rsidRPr="00665D8A">
        <w:t>First Nations</w:t>
      </w:r>
      <w:r w:rsidR="00F9458B" w:rsidRPr="00665D8A">
        <w:t xml:space="preserve"> health workforce</w:t>
      </w:r>
      <w:bookmarkEnd w:id="102"/>
      <w:bookmarkEnd w:id="103"/>
      <w:bookmarkEnd w:id="104"/>
    </w:p>
    <w:tbl>
      <w:tblPr>
        <w:tblStyle w:val="PHNTealtable"/>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4A0" w:firstRow="1" w:lastRow="0" w:firstColumn="1" w:lastColumn="0" w:noHBand="0" w:noVBand="1"/>
        <w:tblDescription w:val="This table details indicator IH6: PHN provides support for Aboriginal and Torres Strait Islander identified health workforce. It is comprised of two columns, and 11 rows. Column one provides the Item of the indicator, and Column two outlines the corresponding description."/>
      </w:tblPr>
      <w:tblGrid>
        <w:gridCol w:w="1571"/>
        <w:gridCol w:w="8156"/>
      </w:tblGrid>
      <w:tr w:rsidR="00F9458B" w:rsidRPr="00F9458B" w14:paraId="45492E0D" w14:textId="77777777" w:rsidTr="009038CB">
        <w:trPr>
          <w:cnfStyle w:val="100000000000" w:firstRow="1" w:lastRow="0" w:firstColumn="0" w:lastColumn="0" w:oddVBand="0" w:evenVBand="0" w:oddHBand="0" w:evenHBand="0" w:firstRowFirstColumn="0" w:firstRowLastColumn="0" w:lastRowFirstColumn="0" w:lastRowLastColumn="0"/>
          <w:tblHeader/>
        </w:trPr>
        <w:tc>
          <w:tcPr>
            <w:tcW w:w="1574" w:type="dxa"/>
            <w:shd w:val="clear" w:color="auto" w:fill="153A6E"/>
          </w:tcPr>
          <w:p w14:paraId="7255714E" w14:textId="77777777" w:rsidR="00F9458B" w:rsidRPr="00716651" w:rsidRDefault="00F9458B" w:rsidP="00665D8A">
            <w:pPr>
              <w:pStyle w:val="TableHeaderWhite"/>
            </w:pPr>
            <w:r w:rsidRPr="00716651">
              <w:t>Item</w:t>
            </w:r>
          </w:p>
        </w:tc>
        <w:tc>
          <w:tcPr>
            <w:tcW w:w="8388" w:type="dxa"/>
            <w:shd w:val="clear" w:color="auto" w:fill="153A6E"/>
          </w:tcPr>
          <w:p w14:paraId="52E8BA8A" w14:textId="77777777" w:rsidR="00F9458B" w:rsidRPr="00716651" w:rsidRDefault="00F9458B" w:rsidP="00665D8A">
            <w:pPr>
              <w:pStyle w:val="TableHeaderWhite"/>
            </w:pPr>
            <w:r w:rsidRPr="00716651">
              <w:t>Description</w:t>
            </w:r>
          </w:p>
        </w:tc>
      </w:tr>
      <w:tr w:rsidR="00F9458B" w:rsidRPr="00F9458B" w14:paraId="55043BCE" w14:textId="77777777" w:rsidTr="00405F47">
        <w:trPr>
          <w:cantSplit/>
        </w:trPr>
        <w:tc>
          <w:tcPr>
            <w:tcW w:w="1574" w:type="dxa"/>
          </w:tcPr>
          <w:p w14:paraId="23789479" w14:textId="77777777" w:rsidR="00F9458B" w:rsidRPr="008A6671" w:rsidRDefault="00F9458B" w:rsidP="00F9458B">
            <w:r w:rsidRPr="008A6671">
              <w:t>Assessment</w:t>
            </w:r>
          </w:p>
        </w:tc>
        <w:tc>
          <w:tcPr>
            <w:tcW w:w="8388" w:type="dxa"/>
          </w:tcPr>
          <w:p w14:paraId="63E4A113" w14:textId="7A669FD4" w:rsidR="00F9458B" w:rsidRPr="008A6671" w:rsidRDefault="00F9458B" w:rsidP="00F9458B">
            <w:r w:rsidRPr="008A6671">
              <w:t>Individual PHN</w:t>
            </w:r>
            <w:r w:rsidR="00910F0B">
              <w:t>.</w:t>
            </w:r>
          </w:p>
        </w:tc>
      </w:tr>
      <w:tr w:rsidR="00F9458B" w:rsidRPr="00F9458B" w14:paraId="19270AF6" w14:textId="77777777" w:rsidTr="009038CB">
        <w:trPr>
          <w:cantSplit/>
        </w:trPr>
        <w:tc>
          <w:tcPr>
            <w:tcW w:w="1574" w:type="dxa"/>
            <w:shd w:val="clear" w:color="auto" w:fill="D72F0D"/>
          </w:tcPr>
          <w:p w14:paraId="1E7728E0" w14:textId="77777777" w:rsidR="00F9458B" w:rsidRPr="0082185D" w:rsidRDefault="00F9458B" w:rsidP="00665D8A">
            <w:pPr>
              <w:pStyle w:val="TableTextwhite"/>
            </w:pPr>
            <w:r w:rsidRPr="0082185D">
              <w:t>Reporting</w:t>
            </w:r>
          </w:p>
        </w:tc>
        <w:tc>
          <w:tcPr>
            <w:tcW w:w="8388" w:type="dxa"/>
            <w:shd w:val="clear" w:color="auto" w:fill="D72F0D"/>
          </w:tcPr>
          <w:p w14:paraId="5C67E773" w14:textId="6490B296" w:rsidR="00F9458B" w:rsidRPr="0082185D" w:rsidRDefault="00F9458B" w:rsidP="00665D8A">
            <w:pPr>
              <w:pStyle w:val="TableTextwhite"/>
            </w:pPr>
            <w:r w:rsidRPr="0082185D">
              <w:t>Twelve monthly by PHN</w:t>
            </w:r>
            <w:r w:rsidR="00910F0B" w:rsidRPr="0082185D">
              <w:t>.</w:t>
            </w:r>
          </w:p>
        </w:tc>
      </w:tr>
      <w:tr w:rsidR="00F9458B" w:rsidRPr="00F9458B" w14:paraId="1FDF7A9D" w14:textId="77777777" w:rsidTr="00405F47">
        <w:trPr>
          <w:cantSplit/>
        </w:trPr>
        <w:tc>
          <w:tcPr>
            <w:tcW w:w="1574" w:type="dxa"/>
          </w:tcPr>
          <w:p w14:paraId="09DC2D3A" w14:textId="77777777" w:rsidR="00F9458B" w:rsidRPr="008A6671" w:rsidRDefault="00F9458B" w:rsidP="00F9458B">
            <w:r w:rsidRPr="008A6671">
              <w:t>Definition</w:t>
            </w:r>
          </w:p>
        </w:tc>
        <w:tc>
          <w:tcPr>
            <w:tcW w:w="8388" w:type="dxa"/>
          </w:tcPr>
          <w:p w14:paraId="5EBFC3D7" w14:textId="1C731634" w:rsidR="00F9458B" w:rsidRPr="008A6671" w:rsidRDefault="00F9458B" w:rsidP="00F9458B">
            <w:pPr>
              <w:rPr>
                <w:rFonts w:eastAsia="Calibri"/>
              </w:rPr>
            </w:pPr>
            <w:r w:rsidRPr="008A6671">
              <w:rPr>
                <w:rFonts w:eastAsia="Calibri"/>
              </w:rPr>
              <w:t xml:space="preserve">PHN provides formal/informal support to improve the capability, capacity and proportion of </w:t>
            </w:r>
            <w:r w:rsidR="009D5C3D" w:rsidRPr="008A6671">
              <w:rPr>
                <w:rFonts w:eastAsia="Calibri"/>
              </w:rPr>
              <w:t>First Nations</w:t>
            </w:r>
            <w:r w:rsidRPr="008A6671">
              <w:rPr>
                <w:rFonts w:eastAsia="Calibri"/>
              </w:rPr>
              <w:t xml:space="preserve"> identified health workforce</w:t>
            </w:r>
            <w:r w:rsidR="00E40FD7">
              <w:rPr>
                <w:rFonts w:eastAsia="Calibri"/>
              </w:rPr>
              <w:t>.</w:t>
            </w:r>
          </w:p>
          <w:p w14:paraId="7DC8EAAA" w14:textId="06277F4B" w:rsidR="00F9458B" w:rsidRPr="008A6671" w:rsidRDefault="00F9458B" w:rsidP="00F9458B">
            <w:pPr>
              <w:rPr>
                <w:rFonts w:eastAsia="Calibri"/>
              </w:rPr>
            </w:pPr>
            <w:r w:rsidRPr="008A6671">
              <w:rPr>
                <w:rFonts w:eastAsia="Calibri"/>
              </w:rPr>
              <w:t xml:space="preserve">Support may include general activities or a workforce strategy/plan which outlines the planned approach by the PHN to improve the </w:t>
            </w:r>
            <w:r w:rsidR="009D5C3D" w:rsidRPr="008A6671">
              <w:rPr>
                <w:rFonts w:eastAsia="Calibri"/>
              </w:rPr>
              <w:t>First Nations</w:t>
            </w:r>
            <w:r w:rsidRPr="008A6671">
              <w:rPr>
                <w:rFonts w:eastAsia="Calibri"/>
              </w:rPr>
              <w:t xml:space="preserve"> identified health workforce. It may be part of a broader workforce strategy/plan for the PHN or separate</w:t>
            </w:r>
            <w:r w:rsidR="00910F0B">
              <w:rPr>
                <w:rFonts w:eastAsia="Calibri"/>
              </w:rPr>
              <w:t>.</w:t>
            </w:r>
          </w:p>
        </w:tc>
      </w:tr>
      <w:tr w:rsidR="00F9458B" w:rsidRPr="00F9458B" w14:paraId="750D9DA5" w14:textId="77777777" w:rsidTr="00405F47">
        <w:trPr>
          <w:cantSplit/>
        </w:trPr>
        <w:tc>
          <w:tcPr>
            <w:tcW w:w="1574" w:type="dxa"/>
          </w:tcPr>
          <w:p w14:paraId="5B6FA071" w14:textId="77777777" w:rsidR="00F9458B" w:rsidRPr="008A6671" w:rsidRDefault="00F9458B" w:rsidP="00F9458B">
            <w:r w:rsidRPr="008A6671">
              <w:t>Purpose</w:t>
            </w:r>
          </w:p>
        </w:tc>
        <w:tc>
          <w:tcPr>
            <w:tcW w:w="8388" w:type="dxa"/>
          </w:tcPr>
          <w:p w14:paraId="646AECDC" w14:textId="2F555E51" w:rsidR="00F9458B" w:rsidRPr="008A6671" w:rsidRDefault="00F9458B" w:rsidP="00F9458B">
            <w:r w:rsidRPr="008A6671">
              <w:rPr>
                <w:rFonts w:eastAsia="Calibri"/>
              </w:rPr>
              <w:t xml:space="preserve">Improving the capacity, capability and proportion of </w:t>
            </w:r>
            <w:r w:rsidR="009D5C3D" w:rsidRPr="008A6671">
              <w:rPr>
                <w:rFonts w:eastAsia="Calibri"/>
              </w:rPr>
              <w:t>First Nations</w:t>
            </w:r>
            <w:r w:rsidRPr="008A6671">
              <w:rPr>
                <w:rFonts w:eastAsia="Calibri"/>
              </w:rPr>
              <w:t xml:space="preserve"> identified health workforce should result in an improvement in the quality of services offered to </w:t>
            </w:r>
            <w:r w:rsidR="009D5C3D" w:rsidRPr="008A6671">
              <w:rPr>
                <w:rFonts w:eastAsia="Calibri"/>
              </w:rPr>
              <w:t>First Nations</w:t>
            </w:r>
            <w:r w:rsidRPr="008A6671">
              <w:rPr>
                <w:rFonts w:eastAsia="Calibri"/>
              </w:rPr>
              <w:t xml:space="preserve"> people </w:t>
            </w:r>
            <w:proofErr w:type="gramStart"/>
            <w:r w:rsidRPr="008A6671">
              <w:rPr>
                <w:rFonts w:eastAsia="Calibri"/>
              </w:rPr>
              <w:t>and also</w:t>
            </w:r>
            <w:proofErr w:type="gramEnd"/>
            <w:r w:rsidRPr="008A6671">
              <w:rPr>
                <w:rFonts w:eastAsia="Calibri"/>
              </w:rPr>
              <w:t xml:space="preserve"> improve the accessibility and cultural </w:t>
            </w:r>
            <w:r w:rsidR="00C40BEB">
              <w:rPr>
                <w:rFonts w:eastAsia="Calibri"/>
              </w:rPr>
              <w:t>safety</w:t>
            </w:r>
            <w:r w:rsidRPr="008A6671">
              <w:rPr>
                <w:rFonts w:eastAsia="Calibri"/>
              </w:rPr>
              <w:t xml:space="preserve"> of services for </w:t>
            </w:r>
            <w:r w:rsidR="009D5C3D" w:rsidRPr="008A6671">
              <w:rPr>
                <w:rFonts w:eastAsia="Calibri"/>
              </w:rPr>
              <w:t>First Nations</w:t>
            </w:r>
            <w:r w:rsidRPr="008A6671">
              <w:rPr>
                <w:rFonts w:eastAsia="Calibri"/>
              </w:rPr>
              <w:t xml:space="preserve"> people</w:t>
            </w:r>
            <w:r w:rsidR="00910F0B">
              <w:rPr>
                <w:rFonts w:eastAsia="Calibri"/>
              </w:rPr>
              <w:t>.</w:t>
            </w:r>
          </w:p>
        </w:tc>
      </w:tr>
      <w:tr w:rsidR="00F9458B" w:rsidRPr="00F9458B" w14:paraId="600DADE7" w14:textId="77777777" w:rsidTr="00405F47">
        <w:trPr>
          <w:cantSplit/>
        </w:trPr>
        <w:tc>
          <w:tcPr>
            <w:tcW w:w="1574" w:type="dxa"/>
          </w:tcPr>
          <w:p w14:paraId="2665A819" w14:textId="77777777" w:rsidR="00F9458B" w:rsidRPr="008A6671" w:rsidRDefault="00F9458B" w:rsidP="00F9458B">
            <w:r w:rsidRPr="008A6671">
              <w:t>Outcome Theme: Quality Care</w:t>
            </w:r>
          </w:p>
        </w:tc>
        <w:tc>
          <w:tcPr>
            <w:tcW w:w="8388" w:type="dxa"/>
          </w:tcPr>
          <w:p w14:paraId="24EE82F4" w14:textId="77777777" w:rsidR="00F9458B" w:rsidRPr="008A6671" w:rsidRDefault="00F9458B" w:rsidP="00F9458B">
            <w:pPr>
              <w:rPr>
                <w:rFonts w:eastAsia="Calibri"/>
              </w:rPr>
            </w:pPr>
            <w:r w:rsidRPr="008A6671">
              <w:rPr>
                <w:rFonts w:eastAsia="Calibri"/>
              </w:rPr>
              <w:t>Outcome:</w:t>
            </w:r>
          </w:p>
          <w:p w14:paraId="6D228322" w14:textId="38365158" w:rsidR="00F9458B" w:rsidRPr="008A6671" w:rsidRDefault="009D5C3D" w:rsidP="00F9458B">
            <w:r w:rsidRPr="008A6671">
              <w:rPr>
                <w:rFonts w:eastAsia="Calibri"/>
              </w:rPr>
              <w:t>First Nations</w:t>
            </w:r>
            <w:r w:rsidR="00F9458B" w:rsidRPr="008A6671">
              <w:rPr>
                <w:rFonts w:eastAsia="Calibri"/>
              </w:rPr>
              <w:t xml:space="preserve"> identified health workforce capability and capacity matches needs of regions</w:t>
            </w:r>
            <w:r w:rsidR="00910F0B">
              <w:rPr>
                <w:rFonts w:eastAsia="Calibri"/>
              </w:rPr>
              <w:t>.</w:t>
            </w:r>
          </w:p>
        </w:tc>
      </w:tr>
      <w:tr w:rsidR="00F9458B" w:rsidRPr="00F9458B" w14:paraId="675A1ECD" w14:textId="77777777" w:rsidTr="00405F47">
        <w:trPr>
          <w:cantSplit/>
        </w:trPr>
        <w:tc>
          <w:tcPr>
            <w:tcW w:w="1574" w:type="dxa"/>
          </w:tcPr>
          <w:p w14:paraId="07D56F2E" w14:textId="77777777" w:rsidR="00F9458B" w:rsidRPr="008A6671" w:rsidRDefault="00F9458B" w:rsidP="00F9458B">
            <w:r w:rsidRPr="008A6671">
              <w:t>Performance Criteria</w:t>
            </w:r>
          </w:p>
        </w:tc>
        <w:tc>
          <w:tcPr>
            <w:tcW w:w="8388" w:type="dxa"/>
          </w:tcPr>
          <w:p w14:paraId="2216FFA5" w14:textId="16DB78D5" w:rsidR="00F9458B" w:rsidRPr="008A6671" w:rsidRDefault="00F9458B" w:rsidP="00F9458B">
            <w:r w:rsidRPr="008A6671">
              <w:rPr>
                <w:rFonts w:eastAsia="Calibri"/>
              </w:rPr>
              <w:t xml:space="preserve">PHN supplies evidence of support provided to </w:t>
            </w:r>
            <w:r w:rsidR="009D5C3D" w:rsidRPr="008A6671">
              <w:rPr>
                <w:rFonts w:eastAsia="Calibri"/>
              </w:rPr>
              <w:t>First Nations</w:t>
            </w:r>
            <w:r w:rsidRPr="008A6671">
              <w:rPr>
                <w:rFonts w:eastAsia="Calibri"/>
              </w:rPr>
              <w:t xml:space="preserve"> identified workforce in its region</w:t>
            </w:r>
            <w:r w:rsidR="00910F0B">
              <w:rPr>
                <w:rFonts w:eastAsia="Calibri"/>
              </w:rPr>
              <w:t>.</w:t>
            </w:r>
          </w:p>
        </w:tc>
      </w:tr>
      <w:tr w:rsidR="00F9458B" w:rsidRPr="00F9458B" w14:paraId="3D304C9F" w14:textId="77777777" w:rsidTr="00405F47">
        <w:trPr>
          <w:cantSplit/>
        </w:trPr>
        <w:tc>
          <w:tcPr>
            <w:tcW w:w="1574" w:type="dxa"/>
          </w:tcPr>
          <w:p w14:paraId="075C91B7" w14:textId="77777777" w:rsidR="00F9458B" w:rsidRPr="008A6671" w:rsidRDefault="00F9458B" w:rsidP="00F9458B">
            <w:r w:rsidRPr="008A6671">
              <w:t>Data Source</w:t>
            </w:r>
          </w:p>
        </w:tc>
        <w:tc>
          <w:tcPr>
            <w:tcW w:w="8388" w:type="dxa"/>
          </w:tcPr>
          <w:p w14:paraId="054EDAE6" w14:textId="7CB75160" w:rsidR="00F9458B" w:rsidRPr="008A6671" w:rsidRDefault="00F9458B" w:rsidP="00F9458B">
            <w:r w:rsidRPr="008A6671">
              <w:rPr>
                <w:rFonts w:eastAsia="Calibri"/>
              </w:rPr>
              <w:t xml:space="preserve">PHN supplies short description of formal/informal support activities provided to </w:t>
            </w:r>
            <w:r w:rsidR="009D5C3D" w:rsidRPr="008A6671">
              <w:rPr>
                <w:rFonts w:eastAsia="Calibri"/>
              </w:rPr>
              <w:t>First Nations</w:t>
            </w:r>
            <w:r w:rsidRPr="008A6671">
              <w:rPr>
                <w:rFonts w:eastAsia="Calibri"/>
              </w:rPr>
              <w:t xml:space="preserve"> identified health workforce and/or provision of a workforce strategy/plan addressing capability, capacity and proportion of </w:t>
            </w:r>
            <w:r w:rsidR="009D5C3D" w:rsidRPr="008A6671">
              <w:rPr>
                <w:rFonts w:eastAsia="Calibri"/>
              </w:rPr>
              <w:t>First Nations</w:t>
            </w:r>
            <w:r w:rsidRPr="008A6671">
              <w:rPr>
                <w:rFonts w:eastAsia="Calibri"/>
              </w:rPr>
              <w:t xml:space="preserve"> identified health workforce</w:t>
            </w:r>
            <w:r w:rsidR="00910F0B">
              <w:rPr>
                <w:rFonts w:eastAsia="Calibri"/>
              </w:rPr>
              <w:t>.</w:t>
            </w:r>
          </w:p>
        </w:tc>
      </w:tr>
      <w:tr w:rsidR="00F9458B" w:rsidRPr="00F9458B" w14:paraId="0C1CB05B" w14:textId="77777777" w:rsidTr="00405F47">
        <w:trPr>
          <w:cantSplit/>
        </w:trPr>
        <w:tc>
          <w:tcPr>
            <w:tcW w:w="1574" w:type="dxa"/>
          </w:tcPr>
          <w:p w14:paraId="00F849E8" w14:textId="77777777" w:rsidR="00F9458B" w:rsidRPr="008A6671" w:rsidRDefault="00F9458B" w:rsidP="00F9458B">
            <w:r w:rsidRPr="008A6671">
              <w:lastRenderedPageBreak/>
              <w:t>Calculation</w:t>
            </w:r>
          </w:p>
        </w:tc>
        <w:tc>
          <w:tcPr>
            <w:tcW w:w="8388" w:type="dxa"/>
          </w:tcPr>
          <w:p w14:paraId="5037EA19" w14:textId="1FB9D374" w:rsidR="00F9458B" w:rsidRPr="008A6671" w:rsidRDefault="00370D32" w:rsidP="00F9458B">
            <w:r w:rsidRPr="008A6671">
              <w:rPr>
                <w:rFonts w:eastAsia="Calibri"/>
              </w:rPr>
              <w:t>Department of Health and Aged Care</w:t>
            </w:r>
            <w:r w:rsidR="00F9458B" w:rsidRPr="008A6671">
              <w:rPr>
                <w:rFonts w:eastAsia="Calibri"/>
              </w:rPr>
              <w:t xml:space="preserve"> will assess the qualitative information provided by the PHN</w:t>
            </w:r>
            <w:r w:rsidR="00910F0B">
              <w:rPr>
                <w:rFonts w:eastAsia="Calibri"/>
              </w:rPr>
              <w:t>.</w:t>
            </w:r>
          </w:p>
        </w:tc>
      </w:tr>
      <w:tr w:rsidR="00F9458B" w:rsidRPr="00F9458B" w14:paraId="439F8579" w14:textId="77777777" w:rsidTr="00405F47">
        <w:trPr>
          <w:cantSplit/>
        </w:trPr>
        <w:tc>
          <w:tcPr>
            <w:tcW w:w="1574" w:type="dxa"/>
          </w:tcPr>
          <w:p w14:paraId="43A647E2" w14:textId="77777777" w:rsidR="00F9458B" w:rsidRPr="008A6671" w:rsidRDefault="00F9458B" w:rsidP="00F9458B">
            <w:r w:rsidRPr="008A6671">
              <w:t>Limitations</w:t>
            </w:r>
          </w:p>
        </w:tc>
        <w:tc>
          <w:tcPr>
            <w:tcW w:w="8388" w:type="dxa"/>
          </w:tcPr>
          <w:p w14:paraId="5D20851D" w14:textId="36F1BB1E" w:rsidR="00F9458B" w:rsidRPr="008A6671" w:rsidRDefault="00F9458B" w:rsidP="00F9458B">
            <w:r w:rsidRPr="008A6671">
              <w:rPr>
                <w:rFonts w:eastAsia="Calibri"/>
              </w:rPr>
              <w:t xml:space="preserve">This indicator does not consider the impact the support or workforce strategy/plan has on improving the capability, capacity and proportion of </w:t>
            </w:r>
            <w:r w:rsidR="009D5C3D" w:rsidRPr="008A6671">
              <w:rPr>
                <w:rFonts w:eastAsia="Calibri"/>
              </w:rPr>
              <w:t>First Nations</w:t>
            </w:r>
            <w:r w:rsidRPr="008A6671">
              <w:rPr>
                <w:rFonts w:eastAsia="Calibri"/>
              </w:rPr>
              <w:t xml:space="preserve"> identified health workforce</w:t>
            </w:r>
            <w:r w:rsidR="00910F0B">
              <w:rPr>
                <w:rFonts w:eastAsia="Calibri"/>
              </w:rPr>
              <w:t>.</w:t>
            </w:r>
          </w:p>
        </w:tc>
      </w:tr>
      <w:tr w:rsidR="00F9458B" w:rsidRPr="00F9458B" w14:paraId="6B669226" w14:textId="77777777" w:rsidTr="00405F47">
        <w:trPr>
          <w:cantSplit/>
        </w:trPr>
        <w:tc>
          <w:tcPr>
            <w:tcW w:w="1574" w:type="dxa"/>
          </w:tcPr>
          <w:p w14:paraId="59D047ED" w14:textId="77777777" w:rsidR="00F9458B" w:rsidRPr="008A6671" w:rsidRDefault="00F9458B" w:rsidP="00F9458B">
            <w:r w:rsidRPr="008A6671">
              <w:t>Additional information</w:t>
            </w:r>
          </w:p>
        </w:tc>
        <w:tc>
          <w:tcPr>
            <w:tcW w:w="8388" w:type="dxa"/>
          </w:tcPr>
          <w:p w14:paraId="26642830" w14:textId="72A44DA7" w:rsidR="00F9458B" w:rsidRPr="008A6671" w:rsidRDefault="00F9458B" w:rsidP="00F9458B">
            <w:r w:rsidRPr="008A6671">
              <w:rPr>
                <w:rFonts w:eastAsia="Calibri"/>
              </w:rPr>
              <w:t>This indicator will be adjusted over time to measure effectiveness of the support and/or workforce strategy/plan</w:t>
            </w:r>
            <w:r w:rsidR="00910F0B">
              <w:rPr>
                <w:rFonts w:eastAsia="Calibri"/>
              </w:rPr>
              <w:t>.</w:t>
            </w:r>
          </w:p>
        </w:tc>
      </w:tr>
    </w:tbl>
    <w:p w14:paraId="32F26656" w14:textId="571F807D" w:rsidR="00F9458B" w:rsidRPr="00665D8A" w:rsidRDefault="00454616" w:rsidP="00665D8A">
      <w:pPr>
        <w:pStyle w:val="Heading2"/>
      </w:pPr>
      <w:bookmarkStart w:id="105" w:name="_Toc517267773"/>
      <w:bookmarkStart w:id="106" w:name="_Toc517334503"/>
      <w:bookmarkStart w:id="107" w:name="_Toc517769820"/>
      <w:r w:rsidRPr="00665D8A">
        <w:t>FN</w:t>
      </w:r>
      <w:r w:rsidR="00F04FED" w:rsidRPr="00665D8A">
        <w:t>7</w:t>
      </w:r>
      <w:r w:rsidR="00F9458B" w:rsidRPr="00665D8A">
        <w:t xml:space="preserve">: ITC processes support </w:t>
      </w:r>
      <w:r w:rsidR="009D5C3D" w:rsidRPr="00665D8A">
        <w:t>First Nations</w:t>
      </w:r>
      <w:r w:rsidR="00F9458B" w:rsidRPr="00665D8A">
        <w:t xml:space="preserve"> people enrolled in the program to access coordinated care</w:t>
      </w:r>
      <w:bookmarkEnd w:id="105"/>
      <w:bookmarkEnd w:id="106"/>
      <w:bookmarkEnd w:id="107"/>
    </w:p>
    <w:tbl>
      <w:tblPr>
        <w:tblStyle w:val="PHNTealtable"/>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4A0" w:firstRow="1" w:lastRow="0" w:firstColumn="1" w:lastColumn="0" w:noHBand="0" w:noVBand="1"/>
        <w:tblDescription w:val="This table details indicator IH7: ITC processes support Aboriginal and Torres Strait Islander people enrolled on the program to access coordinated care. It is comprised of two columns, and 11 rows. Column one provides the Item of the indicator, and Column two outlines the corresponding description."/>
      </w:tblPr>
      <w:tblGrid>
        <w:gridCol w:w="1571"/>
        <w:gridCol w:w="8156"/>
      </w:tblGrid>
      <w:tr w:rsidR="00F9458B" w:rsidRPr="00F9458B" w14:paraId="060AD658" w14:textId="77777777" w:rsidTr="00A40500">
        <w:trPr>
          <w:cnfStyle w:val="100000000000" w:firstRow="1" w:lastRow="0" w:firstColumn="0" w:lastColumn="0" w:oddVBand="0" w:evenVBand="0" w:oddHBand="0" w:evenHBand="0" w:firstRowFirstColumn="0" w:firstRowLastColumn="0" w:lastRowFirstColumn="0" w:lastRowLastColumn="0"/>
          <w:tblHeader/>
        </w:trPr>
        <w:tc>
          <w:tcPr>
            <w:tcW w:w="1571" w:type="dxa"/>
            <w:shd w:val="clear" w:color="auto" w:fill="153A6E"/>
          </w:tcPr>
          <w:p w14:paraId="184CC0D2" w14:textId="77777777" w:rsidR="00F9458B" w:rsidRPr="00716651" w:rsidRDefault="00F9458B" w:rsidP="00665D8A">
            <w:pPr>
              <w:pStyle w:val="TableHeaderWhite"/>
            </w:pPr>
            <w:r w:rsidRPr="00716651">
              <w:t>Item</w:t>
            </w:r>
          </w:p>
        </w:tc>
        <w:tc>
          <w:tcPr>
            <w:tcW w:w="8156" w:type="dxa"/>
            <w:shd w:val="clear" w:color="auto" w:fill="153A6E"/>
          </w:tcPr>
          <w:p w14:paraId="538DE804" w14:textId="77777777" w:rsidR="00F9458B" w:rsidRPr="00716651" w:rsidRDefault="00F9458B" w:rsidP="00665D8A">
            <w:pPr>
              <w:pStyle w:val="TableHeaderWhite"/>
            </w:pPr>
            <w:r w:rsidRPr="00716651">
              <w:t>Description</w:t>
            </w:r>
          </w:p>
        </w:tc>
      </w:tr>
      <w:tr w:rsidR="00F9458B" w:rsidRPr="00F9458B" w14:paraId="60239543" w14:textId="77777777" w:rsidTr="00A40500">
        <w:trPr>
          <w:cantSplit/>
        </w:trPr>
        <w:tc>
          <w:tcPr>
            <w:tcW w:w="1571" w:type="dxa"/>
          </w:tcPr>
          <w:p w14:paraId="68CDAF3B" w14:textId="77777777" w:rsidR="00F9458B" w:rsidRPr="008A6671" w:rsidRDefault="00F9458B" w:rsidP="00F9458B">
            <w:r w:rsidRPr="008A6671">
              <w:t>Assessment</w:t>
            </w:r>
          </w:p>
        </w:tc>
        <w:tc>
          <w:tcPr>
            <w:tcW w:w="8156" w:type="dxa"/>
          </w:tcPr>
          <w:p w14:paraId="35C84C4A" w14:textId="2444051E" w:rsidR="00F9458B" w:rsidRPr="008A6671" w:rsidRDefault="00F9458B" w:rsidP="00F9458B">
            <w:r w:rsidRPr="008A6671">
              <w:t>Individual PHN</w:t>
            </w:r>
            <w:r w:rsidR="00910F0B">
              <w:t>.</w:t>
            </w:r>
          </w:p>
        </w:tc>
      </w:tr>
      <w:tr w:rsidR="00F9458B" w:rsidRPr="00F9458B" w14:paraId="1D463A55" w14:textId="77777777" w:rsidTr="00A40500">
        <w:trPr>
          <w:cantSplit/>
        </w:trPr>
        <w:tc>
          <w:tcPr>
            <w:tcW w:w="1571" w:type="dxa"/>
            <w:shd w:val="clear" w:color="auto" w:fill="D72F0D"/>
          </w:tcPr>
          <w:p w14:paraId="50221823" w14:textId="77777777" w:rsidR="00F9458B" w:rsidRPr="0082185D" w:rsidRDefault="00F9458B" w:rsidP="00665D8A">
            <w:pPr>
              <w:pStyle w:val="TableTextwhite"/>
            </w:pPr>
            <w:r w:rsidRPr="0082185D">
              <w:t>Reporting</w:t>
            </w:r>
          </w:p>
        </w:tc>
        <w:tc>
          <w:tcPr>
            <w:tcW w:w="8156" w:type="dxa"/>
            <w:shd w:val="clear" w:color="auto" w:fill="D72F0D"/>
          </w:tcPr>
          <w:p w14:paraId="4704C6AA" w14:textId="7742BD61" w:rsidR="00F9458B" w:rsidRPr="0082185D" w:rsidRDefault="005F60C6" w:rsidP="00665D8A">
            <w:pPr>
              <w:pStyle w:val="TableTextwhite"/>
            </w:pPr>
            <w:r w:rsidRPr="0082185D">
              <w:t>Twelve monthly by PHN</w:t>
            </w:r>
            <w:r w:rsidR="006A360B" w:rsidRPr="0082185D">
              <w:t>.</w:t>
            </w:r>
          </w:p>
        </w:tc>
      </w:tr>
      <w:tr w:rsidR="00F9458B" w:rsidRPr="00F9458B" w14:paraId="7A9BF134" w14:textId="77777777" w:rsidTr="00A40500">
        <w:trPr>
          <w:cantSplit/>
        </w:trPr>
        <w:tc>
          <w:tcPr>
            <w:tcW w:w="1571" w:type="dxa"/>
          </w:tcPr>
          <w:p w14:paraId="2A3888CD" w14:textId="77777777" w:rsidR="00F9458B" w:rsidRPr="008A6671" w:rsidRDefault="00F9458B" w:rsidP="00F9458B">
            <w:r w:rsidRPr="008A6671">
              <w:t>Definition</w:t>
            </w:r>
          </w:p>
        </w:tc>
        <w:tc>
          <w:tcPr>
            <w:tcW w:w="8156" w:type="dxa"/>
          </w:tcPr>
          <w:p w14:paraId="55E4E39B" w14:textId="77777777" w:rsidR="00F9458B" w:rsidRPr="008A6671" w:rsidRDefault="00F9458B" w:rsidP="00F9458B">
            <w:pPr>
              <w:rPr>
                <w:rFonts w:eastAsia="Calibri"/>
              </w:rPr>
            </w:pPr>
            <w:r w:rsidRPr="008A6671">
              <w:rPr>
                <w:rFonts w:eastAsia="Calibri"/>
              </w:rPr>
              <w:t>ITC processes include:</w:t>
            </w:r>
          </w:p>
          <w:p w14:paraId="48FCA7EB" w14:textId="4E5BCAAA" w:rsidR="00F9458B" w:rsidRPr="008A6671" w:rsidRDefault="00F9458B" w:rsidP="00716651">
            <w:pPr>
              <w:pStyle w:val="ListBullet"/>
            </w:pPr>
            <w:r w:rsidRPr="008A6671">
              <w:t>Referral – the processes to identify possible patients of</w:t>
            </w:r>
            <w:r w:rsidR="00595BDF">
              <w:t xml:space="preserve"> the</w:t>
            </w:r>
            <w:r w:rsidRPr="008A6671">
              <w:t xml:space="preserve"> ITC program</w:t>
            </w:r>
          </w:p>
          <w:p w14:paraId="1FC2D0D1" w14:textId="349A1666" w:rsidR="00F9458B" w:rsidRPr="008A6671" w:rsidRDefault="00F9458B" w:rsidP="00716651">
            <w:pPr>
              <w:pStyle w:val="ListBullet"/>
            </w:pPr>
            <w:r w:rsidRPr="008A6671">
              <w:t xml:space="preserve">Intake – the processes to accept and assess the patients of </w:t>
            </w:r>
            <w:r w:rsidR="00595BDF">
              <w:t xml:space="preserve">the </w:t>
            </w:r>
            <w:r w:rsidRPr="008A6671">
              <w:t>ITC program</w:t>
            </w:r>
            <w:r w:rsidR="00E40FD7" w:rsidRPr="00B02391">
              <w:t>, and</w:t>
            </w:r>
          </w:p>
          <w:p w14:paraId="0FD1B1BA" w14:textId="5958CB0A" w:rsidR="00F9458B" w:rsidRPr="008A6671" w:rsidRDefault="00F9458B" w:rsidP="00716651">
            <w:pPr>
              <w:pStyle w:val="ListBullet"/>
            </w:pPr>
            <w:r w:rsidRPr="008A6671">
              <w:t>Discharge – the processes by which patients leave the care of the ITC program</w:t>
            </w:r>
            <w:r w:rsidR="00910F0B" w:rsidRPr="00B02391">
              <w:t>.</w:t>
            </w:r>
          </w:p>
        </w:tc>
      </w:tr>
      <w:tr w:rsidR="00F9458B" w:rsidRPr="00F9458B" w14:paraId="2F6C9A24" w14:textId="77777777" w:rsidTr="00A40500">
        <w:trPr>
          <w:cantSplit/>
        </w:trPr>
        <w:tc>
          <w:tcPr>
            <w:tcW w:w="1571" w:type="dxa"/>
          </w:tcPr>
          <w:p w14:paraId="4B81406A" w14:textId="77777777" w:rsidR="00F9458B" w:rsidRPr="008A6671" w:rsidRDefault="00F9458B" w:rsidP="00F9458B">
            <w:r w:rsidRPr="008A6671">
              <w:t>Purpose</w:t>
            </w:r>
          </w:p>
        </w:tc>
        <w:tc>
          <w:tcPr>
            <w:tcW w:w="8156" w:type="dxa"/>
          </w:tcPr>
          <w:p w14:paraId="38910B55" w14:textId="3E7220DD" w:rsidR="00F9458B" w:rsidRPr="008A6671" w:rsidRDefault="00F9458B" w:rsidP="00F9458B">
            <w:r w:rsidRPr="008A6671">
              <w:rPr>
                <w:rFonts w:eastAsia="Calibri"/>
              </w:rPr>
              <w:t xml:space="preserve">This indicator provides information on the referral, intake and discharge processes which are supporting </w:t>
            </w:r>
            <w:r w:rsidR="009D5C3D" w:rsidRPr="008A6671">
              <w:rPr>
                <w:rFonts w:eastAsia="Calibri"/>
              </w:rPr>
              <w:t>First Nations</w:t>
            </w:r>
            <w:r w:rsidRPr="008A6671">
              <w:rPr>
                <w:rFonts w:eastAsia="Calibri"/>
              </w:rPr>
              <w:t xml:space="preserve"> people receiving care under the ITC program</w:t>
            </w:r>
            <w:r w:rsidR="00910F0B">
              <w:rPr>
                <w:rFonts w:eastAsia="Calibri"/>
              </w:rPr>
              <w:t>.</w:t>
            </w:r>
          </w:p>
        </w:tc>
      </w:tr>
      <w:tr w:rsidR="00F9458B" w:rsidRPr="00F9458B" w14:paraId="624934C3" w14:textId="77777777" w:rsidTr="00A40500">
        <w:trPr>
          <w:cantSplit/>
        </w:trPr>
        <w:tc>
          <w:tcPr>
            <w:tcW w:w="1571" w:type="dxa"/>
          </w:tcPr>
          <w:p w14:paraId="74621DE2" w14:textId="77777777" w:rsidR="00F9458B" w:rsidRPr="008A6671" w:rsidRDefault="00F9458B" w:rsidP="00F9458B">
            <w:r w:rsidRPr="008A6671">
              <w:t>Outcome Theme: Coordinated Care</w:t>
            </w:r>
          </w:p>
        </w:tc>
        <w:tc>
          <w:tcPr>
            <w:tcW w:w="8156" w:type="dxa"/>
          </w:tcPr>
          <w:p w14:paraId="732159E4" w14:textId="77777777" w:rsidR="00F9458B" w:rsidRPr="008A6671" w:rsidRDefault="00F9458B" w:rsidP="00F9458B">
            <w:pPr>
              <w:rPr>
                <w:rFonts w:eastAsia="Calibri"/>
              </w:rPr>
            </w:pPr>
            <w:r w:rsidRPr="008A6671">
              <w:rPr>
                <w:rFonts w:eastAsia="Calibri"/>
              </w:rPr>
              <w:t>Outcome:</w:t>
            </w:r>
          </w:p>
          <w:p w14:paraId="61826428" w14:textId="3B639D25" w:rsidR="00F9458B" w:rsidRPr="008A6671" w:rsidRDefault="009D5C3D" w:rsidP="00F9458B">
            <w:r w:rsidRPr="008A6671">
              <w:rPr>
                <w:rFonts w:eastAsia="Calibri"/>
              </w:rPr>
              <w:t>First Nations</w:t>
            </w:r>
            <w:r w:rsidR="00F9458B" w:rsidRPr="008A6671">
              <w:rPr>
                <w:rFonts w:eastAsia="Calibri"/>
              </w:rPr>
              <w:t xml:space="preserve"> people with chronic conditions enrolled on the ITC program receive coordinated care</w:t>
            </w:r>
            <w:r w:rsidR="00910F0B">
              <w:rPr>
                <w:rFonts w:eastAsia="Calibri"/>
              </w:rPr>
              <w:t>.</w:t>
            </w:r>
          </w:p>
        </w:tc>
      </w:tr>
      <w:tr w:rsidR="00F9458B" w:rsidRPr="00F9458B" w14:paraId="63F5682A" w14:textId="77777777" w:rsidTr="00A40500">
        <w:trPr>
          <w:cantSplit/>
          <w:trHeight w:val="795"/>
        </w:trPr>
        <w:tc>
          <w:tcPr>
            <w:tcW w:w="1571" w:type="dxa"/>
          </w:tcPr>
          <w:p w14:paraId="2D79FBB3" w14:textId="77777777" w:rsidR="00F9458B" w:rsidRPr="008A6671" w:rsidRDefault="00F9458B" w:rsidP="00F9458B">
            <w:r w:rsidRPr="008A6671">
              <w:t>Performance Criteria</w:t>
            </w:r>
          </w:p>
        </w:tc>
        <w:tc>
          <w:tcPr>
            <w:tcW w:w="8156" w:type="dxa"/>
          </w:tcPr>
          <w:p w14:paraId="3BB9DA38" w14:textId="77906CA1" w:rsidR="00F9458B" w:rsidRPr="008A6671" w:rsidRDefault="00F9458B" w:rsidP="00F9458B">
            <w:r w:rsidRPr="008A6671">
              <w:rPr>
                <w:rFonts w:eastAsia="Calibri"/>
              </w:rPr>
              <w:t>PHN provides evidence of its ITC processes</w:t>
            </w:r>
            <w:r w:rsidR="00910F0B">
              <w:rPr>
                <w:rFonts w:eastAsia="Calibri"/>
              </w:rPr>
              <w:t>.</w:t>
            </w:r>
          </w:p>
        </w:tc>
      </w:tr>
      <w:tr w:rsidR="00F9458B" w:rsidRPr="00F9458B" w14:paraId="53749ED2" w14:textId="77777777" w:rsidTr="00A40500">
        <w:trPr>
          <w:cantSplit/>
        </w:trPr>
        <w:tc>
          <w:tcPr>
            <w:tcW w:w="1571" w:type="dxa"/>
          </w:tcPr>
          <w:p w14:paraId="58A9FA95" w14:textId="77777777" w:rsidR="00F9458B" w:rsidRPr="008A6671" w:rsidRDefault="00F9458B" w:rsidP="00F9458B">
            <w:r w:rsidRPr="008A6671">
              <w:t>Data Source</w:t>
            </w:r>
          </w:p>
        </w:tc>
        <w:tc>
          <w:tcPr>
            <w:tcW w:w="8156" w:type="dxa"/>
          </w:tcPr>
          <w:p w14:paraId="0BFF127B" w14:textId="7AA454AC" w:rsidR="00F9458B" w:rsidRPr="008A6671" w:rsidRDefault="00F9458B" w:rsidP="00F9458B">
            <w:r w:rsidRPr="008A6671">
              <w:rPr>
                <w:rFonts w:eastAsia="Calibri"/>
              </w:rPr>
              <w:t>Short description of referral, intake and discharge processes of ITC program</w:t>
            </w:r>
            <w:r w:rsidR="00910F0B">
              <w:rPr>
                <w:rFonts w:eastAsia="Calibri"/>
              </w:rPr>
              <w:t>.</w:t>
            </w:r>
          </w:p>
        </w:tc>
      </w:tr>
      <w:tr w:rsidR="00F9458B" w:rsidRPr="00F9458B" w14:paraId="24AFDC4F" w14:textId="77777777" w:rsidTr="00A40500">
        <w:trPr>
          <w:cantSplit/>
        </w:trPr>
        <w:tc>
          <w:tcPr>
            <w:tcW w:w="1571" w:type="dxa"/>
          </w:tcPr>
          <w:p w14:paraId="3BFDC996" w14:textId="77777777" w:rsidR="00F9458B" w:rsidRPr="008A6671" w:rsidRDefault="00F9458B" w:rsidP="00F9458B">
            <w:r w:rsidRPr="008A6671">
              <w:t>Calculation</w:t>
            </w:r>
          </w:p>
        </w:tc>
        <w:tc>
          <w:tcPr>
            <w:tcW w:w="8156" w:type="dxa"/>
          </w:tcPr>
          <w:p w14:paraId="122B5D88" w14:textId="0D5131D0" w:rsidR="00F9458B" w:rsidRPr="008A6671" w:rsidRDefault="00370D32" w:rsidP="00F9458B">
            <w:r w:rsidRPr="008A6671">
              <w:rPr>
                <w:rFonts w:eastAsia="Calibri"/>
              </w:rPr>
              <w:t>Department of Health and Aged Care</w:t>
            </w:r>
            <w:r w:rsidR="00F9458B" w:rsidRPr="008A6671">
              <w:rPr>
                <w:rFonts w:eastAsia="Calibri"/>
              </w:rPr>
              <w:t xml:space="preserve"> will assess the qualitative information provided by the PHN</w:t>
            </w:r>
            <w:r w:rsidR="00910F0B">
              <w:rPr>
                <w:rFonts w:eastAsia="Calibri"/>
              </w:rPr>
              <w:t>.</w:t>
            </w:r>
          </w:p>
        </w:tc>
      </w:tr>
      <w:tr w:rsidR="00F9458B" w:rsidRPr="00F9458B" w14:paraId="26F88CC2" w14:textId="77777777" w:rsidTr="00A40500">
        <w:trPr>
          <w:cantSplit/>
        </w:trPr>
        <w:tc>
          <w:tcPr>
            <w:tcW w:w="1571" w:type="dxa"/>
          </w:tcPr>
          <w:p w14:paraId="09A39B7E" w14:textId="77777777" w:rsidR="00F9458B" w:rsidRPr="008A6671" w:rsidRDefault="00F9458B" w:rsidP="00F9458B">
            <w:r w:rsidRPr="008A6671">
              <w:t>Limitations</w:t>
            </w:r>
          </w:p>
        </w:tc>
        <w:tc>
          <w:tcPr>
            <w:tcW w:w="8156" w:type="dxa"/>
          </w:tcPr>
          <w:p w14:paraId="6490ED9D" w14:textId="77777777" w:rsidR="00F9458B" w:rsidRPr="008A6671" w:rsidRDefault="00F9458B" w:rsidP="00F9458B">
            <w:r w:rsidRPr="008A6671">
              <w:t>-</w:t>
            </w:r>
          </w:p>
        </w:tc>
      </w:tr>
      <w:tr w:rsidR="00F9458B" w:rsidRPr="00F9458B" w14:paraId="6AFD9012" w14:textId="77777777" w:rsidTr="00A40500">
        <w:trPr>
          <w:cantSplit/>
        </w:trPr>
        <w:tc>
          <w:tcPr>
            <w:tcW w:w="1571" w:type="dxa"/>
          </w:tcPr>
          <w:p w14:paraId="283CB775" w14:textId="77777777" w:rsidR="00F9458B" w:rsidRPr="008A6671" w:rsidRDefault="00F9458B" w:rsidP="00F9458B">
            <w:r w:rsidRPr="008A6671">
              <w:t>Additional information</w:t>
            </w:r>
          </w:p>
        </w:tc>
        <w:tc>
          <w:tcPr>
            <w:tcW w:w="8156" w:type="dxa"/>
          </w:tcPr>
          <w:p w14:paraId="3C56DA32" w14:textId="77777777" w:rsidR="00F9458B" w:rsidRPr="008A6671" w:rsidRDefault="00F9458B" w:rsidP="00F9458B">
            <w:r w:rsidRPr="008A6671">
              <w:t>-</w:t>
            </w:r>
          </w:p>
        </w:tc>
      </w:tr>
    </w:tbl>
    <w:p w14:paraId="65CF25E0" w14:textId="520B05D7" w:rsidR="00F9458B" w:rsidRPr="00665D8A" w:rsidRDefault="00454616" w:rsidP="00665D8A">
      <w:pPr>
        <w:pStyle w:val="Heading2"/>
      </w:pPr>
      <w:bookmarkStart w:id="108" w:name="_Toc517267774"/>
      <w:bookmarkStart w:id="109" w:name="_Toc517334504"/>
      <w:bookmarkStart w:id="110" w:name="_Toc517769821"/>
      <w:r w:rsidRPr="00665D8A">
        <w:lastRenderedPageBreak/>
        <w:t>FN</w:t>
      </w:r>
      <w:r w:rsidR="00F04FED" w:rsidRPr="00665D8A">
        <w:t>8</w:t>
      </w:r>
      <w:r w:rsidR="00F9458B" w:rsidRPr="00665D8A">
        <w:t>: Rate of population receiving specific health assessments</w:t>
      </w:r>
      <w:bookmarkEnd w:id="108"/>
      <w:bookmarkEnd w:id="109"/>
      <w:bookmarkEnd w:id="110"/>
    </w:p>
    <w:tbl>
      <w:tblPr>
        <w:tblStyle w:val="PHNTealtable"/>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4A0" w:firstRow="1" w:lastRow="0" w:firstColumn="1" w:lastColumn="0" w:noHBand="0" w:noVBand="1"/>
        <w:tblDescription w:val="This table details indicator IH8: Rate of population receiving specific health assessments. It is comprised of two columns, and 11 rows. Column one provides the Item of the indicator, and Column two outlines the corresponding description."/>
      </w:tblPr>
      <w:tblGrid>
        <w:gridCol w:w="1571"/>
        <w:gridCol w:w="8156"/>
      </w:tblGrid>
      <w:tr w:rsidR="00F9458B" w:rsidRPr="00F9458B" w14:paraId="14C2EF8F" w14:textId="77777777" w:rsidTr="009038CB">
        <w:trPr>
          <w:cnfStyle w:val="100000000000" w:firstRow="1" w:lastRow="0" w:firstColumn="0" w:lastColumn="0" w:oddVBand="0" w:evenVBand="0" w:oddHBand="0" w:evenHBand="0" w:firstRowFirstColumn="0" w:firstRowLastColumn="0" w:lastRowFirstColumn="0" w:lastRowLastColumn="0"/>
          <w:tblHeader/>
        </w:trPr>
        <w:tc>
          <w:tcPr>
            <w:tcW w:w="1574" w:type="dxa"/>
            <w:shd w:val="clear" w:color="auto" w:fill="153A6E"/>
          </w:tcPr>
          <w:p w14:paraId="56ECF5EA" w14:textId="77777777" w:rsidR="00F9458B" w:rsidRPr="00716651" w:rsidRDefault="00F9458B" w:rsidP="00665D8A">
            <w:pPr>
              <w:pStyle w:val="TableHeaderWhite"/>
            </w:pPr>
            <w:r w:rsidRPr="00716651">
              <w:t>Item</w:t>
            </w:r>
          </w:p>
        </w:tc>
        <w:tc>
          <w:tcPr>
            <w:tcW w:w="8388" w:type="dxa"/>
            <w:shd w:val="clear" w:color="auto" w:fill="153A6E"/>
          </w:tcPr>
          <w:p w14:paraId="5BA2EF4B" w14:textId="77777777" w:rsidR="00F9458B" w:rsidRPr="00716651" w:rsidRDefault="00F9458B" w:rsidP="00665D8A">
            <w:pPr>
              <w:pStyle w:val="TableHeaderWhite"/>
            </w:pPr>
            <w:r w:rsidRPr="00716651">
              <w:t>Description</w:t>
            </w:r>
          </w:p>
        </w:tc>
      </w:tr>
      <w:tr w:rsidR="00F9458B" w:rsidRPr="00F9458B" w14:paraId="6DC1DCD4" w14:textId="77777777" w:rsidTr="00405F47">
        <w:trPr>
          <w:cantSplit/>
        </w:trPr>
        <w:tc>
          <w:tcPr>
            <w:tcW w:w="1574" w:type="dxa"/>
          </w:tcPr>
          <w:p w14:paraId="156CF63A" w14:textId="77777777" w:rsidR="00F9458B" w:rsidRPr="008A6671" w:rsidRDefault="00F9458B" w:rsidP="00F9458B">
            <w:r w:rsidRPr="008A6671">
              <w:t>Assessment</w:t>
            </w:r>
          </w:p>
        </w:tc>
        <w:tc>
          <w:tcPr>
            <w:tcW w:w="8388" w:type="dxa"/>
          </w:tcPr>
          <w:p w14:paraId="102EC82B" w14:textId="5D5E2B4B" w:rsidR="00F9458B" w:rsidRPr="008A6671" w:rsidRDefault="00F9458B" w:rsidP="00F9458B">
            <w:r w:rsidRPr="008A6671">
              <w:t>PHN Program</w:t>
            </w:r>
            <w:r w:rsidR="00910F0B">
              <w:t>.</w:t>
            </w:r>
          </w:p>
        </w:tc>
      </w:tr>
      <w:tr w:rsidR="00F9458B" w:rsidRPr="00F9458B" w14:paraId="4F668FAB" w14:textId="77777777" w:rsidTr="00405F47">
        <w:trPr>
          <w:cantSplit/>
        </w:trPr>
        <w:tc>
          <w:tcPr>
            <w:tcW w:w="1574" w:type="dxa"/>
          </w:tcPr>
          <w:p w14:paraId="4141AE98" w14:textId="77777777" w:rsidR="00F9458B" w:rsidRPr="008A6671" w:rsidRDefault="00F9458B" w:rsidP="00F9458B">
            <w:r w:rsidRPr="008A6671">
              <w:t>Reporting</w:t>
            </w:r>
          </w:p>
        </w:tc>
        <w:tc>
          <w:tcPr>
            <w:tcW w:w="8388" w:type="dxa"/>
          </w:tcPr>
          <w:p w14:paraId="0FD3E78C" w14:textId="741682BD" w:rsidR="00F9458B" w:rsidRPr="008A6671" w:rsidRDefault="00B24327" w:rsidP="00F9458B">
            <w:r w:rsidRPr="008A6671">
              <w:t>Twelve monthly by Department.</w:t>
            </w:r>
          </w:p>
        </w:tc>
      </w:tr>
      <w:tr w:rsidR="00F9458B" w:rsidRPr="00F9458B" w14:paraId="4B67001F" w14:textId="77777777" w:rsidTr="00405F47">
        <w:trPr>
          <w:cantSplit/>
        </w:trPr>
        <w:tc>
          <w:tcPr>
            <w:tcW w:w="1574" w:type="dxa"/>
          </w:tcPr>
          <w:p w14:paraId="2CA27A99" w14:textId="77777777" w:rsidR="00F9458B" w:rsidRPr="008A6671" w:rsidRDefault="00F9458B" w:rsidP="00F9458B">
            <w:r w:rsidRPr="008A6671">
              <w:t>Definition</w:t>
            </w:r>
          </w:p>
        </w:tc>
        <w:tc>
          <w:tcPr>
            <w:tcW w:w="8388" w:type="dxa"/>
          </w:tcPr>
          <w:p w14:paraId="70461380" w14:textId="74CDAD3B" w:rsidR="00F9458B" w:rsidRPr="008A6671" w:rsidRDefault="008207CF" w:rsidP="00F9458B">
            <w:r w:rsidRPr="008A6671">
              <w:rPr>
                <w:rFonts w:eastAsia="Calibri"/>
              </w:rPr>
              <w:t>Proportion</w:t>
            </w:r>
            <w:r w:rsidR="00F9458B" w:rsidRPr="008A6671">
              <w:rPr>
                <w:rFonts w:eastAsia="Calibri"/>
              </w:rPr>
              <w:t xml:space="preserve"> of </w:t>
            </w:r>
            <w:r w:rsidR="009D5C3D" w:rsidRPr="008A6671">
              <w:rPr>
                <w:rFonts w:eastAsia="Calibri"/>
              </w:rPr>
              <w:t>First Nations</w:t>
            </w:r>
            <w:r w:rsidR="00F9458B" w:rsidRPr="008A6671">
              <w:rPr>
                <w:rFonts w:eastAsia="Calibri"/>
              </w:rPr>
              <w:t xml:space="preserve"> population receiving health </w:t>
            </w:r>
            <w:r w:rsidR="00224E6C" w:rsidRPr="008A6671">
              <w:rPr>
                <w:rFonts w:eastAsia="Calibri"/>
              </w:rPr>
              <w:t xml:space="preserve">checks </w:t>
            </w:r>
            <w:r w:rsidR="00F9458B" w:rsidRPr="008A6671">
              <w:rPr>
                <w:rFonts w:eastAsia="Calibri"/>
              </w:rPr>
              <w:t>(MBS item</w:t>
            </w:r>
            <w:r w:rsidR="00224E6C" w:rsidRPr="008A6671">
              <w:rPr>
                <w:rFonts w:eastAsia="Calibri"/>
              </w:rPr>
              <w:t>s</w:t>
            </w:r>
            <w:r w:rsidR="00F9458B" w:rsidRPr="008A6671">
              <w:rPr>
                <w:rFonts w:eastAsia="Calibri"/>
              </w:rPr>
              <w:t xml:space="preserve"> </w:t>
            </w:r>
            <w:r w:rsidR="00BD7F53" w:rsidRPr="008A6671">
              <w:rPr>
                <w:rFonts w:eastAsia="Calibri"/>
              </w:rPr>
              <w:t>715, 228, 92004, 92011, 92016, and 92023</w:t>
            </w:r>
            <w:r w:rsidR="00F9458B" w:rsidRPr="008A6671">
              <w:rPr>
                <w:rFonts w:eastAsia="Calibri"/>
              </w:rPr>
              <w:t>) for children aged 0-14; adults aged 15-54; adults aged 55 years and over</w:t>
            </w:r>
            <w:r w:rsidR="00910F0B">
              <w:rPr>
                <w:rFonts w:eastAsia="Calibri"/>
              </w:rPr>
              <w:t>.</w:t>
            </w:r>
          </w:p>
        </w:tc>
      </w:tr>
      <w:tr w:rsidR="00F9458B" w:rsidRPr="00F9458B" w14:paraId="28127896" w14:textId="77777777" w:rsidTr="00405F47">
        <w:trPr>
          <w:cantSplit/>
        </w:trPr>
        <w:tc>
          <w:tcPr>
            <w:tcW w:w="1574" w:type="dxa"/>
          </w:tcPr>
          <w:p w14:paraId="497C9162" w14:textId="77777777" w:rsidR="00F9458B" w:rsidRPr="008A6671" w:rsidRDefault="00F9458B" w:rsidP="00F9458B">
            <w:r w:rsidRPr="008A6671">
              <w:t>Purpose</w:t>
            </w:r>
          </w:p>
        </w:tc>
        <w:tc>
          <w:tcPr>
            <w:tcW w:w="8388" w:type="dxa"/>
          </w:tcPr>
          <w:p w14:paraId="4AE23A90" w14:textId="117B97C3" w:rsidR="00F9458B" w:rsidRPr="008A6671" w:rsidRDefault="00F9458B" w:rsidP="00F9458B">
            <w:pPr>
              <w:rPr>
                <w:rFonts w:eastAsia="Calibri"/>
              </w:rPr>
            </w:pPr>
            <w:r w:rsidRPr="008A6671">
              <w:rPr>
                <w:rFonts w:eastAsia="Calibri"/>
              </w:rPr>
              <w:t xml:space="preserve">This indicator shows the degree to which </w:t>
            </w:r>
            <w:r w:rsidR="009D5C3D" w:rsidRPr="008A6671">
              <w:rPr>
                <w:rFonts w:eastAsia="Calibri"/>
              </w:rPr>
              <w:t>First Nations</w:t>
            </w:r>
            <w:r w:rsidRPr="008A6671">
              <w:rPr>
                <w:rFonts w:eastAsia="Calibri"/>
              </w:rPr>
              <w:t xml:space="preserve"> people are accessing a range of primary health care services designed to both identify and prevent health care problems, and to plan and manage treatment in a multidisciplinary manner</w:t>
            </w:r>
            <w:r w:rsidR="00E40FD7">
              <w:rPr>
                <w:rFonts w:eastAsia="Calibri"/>
              </w:rPr>
              <w:t>.</w:t>
            </w:r>
          </w:p>
          <w:p w14:paraId="63ED779C" w14:textId="698514BB" w:rsidR="00F9458B" w:rsidRPr="008A6671" w:rsidRDefault="00F9458B" w:rsidP="00F9458B">
            <w:r w:rsidRPr="008A6671">
              <w:rPr>
                <w:rFonts w:eastAsia="Calibri"/>
              </w:rPr>
              <w:t xml:space="preserve">PHNs will have a role to inform practices and patients of the value of these services </w:t>
            </w:r>
            <w:r w:rsidR="00B550D4">
              <w:rPr>
                <w:rFonts w:eastAsia="Calibri"/>
              </w:rPr>
              <w:t>a</w:t>
            </w:r>
            <w:r w:rsidRPr="008A6671">
              <w:rPr>
                <w:rFonts w:eastAsia="Calibri"/>
              </w:rPr>
              <w:t>nd encourage their use</w:t>
            </w:r>
            <w:r w:rsidR="00910F0B">
              <w:rPr>
                <w:rFonts w:eastAsia="Calibri"/>
              </w:rPr>
              <w:t>.</w:t>
            </w:r>
          </w:p>
        </w:tc>
      </w:tr>
      <w:tr w:rsidR="00F9458B" w:rsidRPr="00F9458B" w14:paraId="0E5071C7" w14:textId="77777777" w:rsidTr="00405F47">
        <w:trPr>
          <w:cantSplit/>
        </w:trPr>
        <w:tc>
          <w:tcPr>
            <w:tcW w:w="1574" w:type="dxa"/>
          </w:tcPr>
          <w:p w14:paraId="67A8CEF5" w14:textId="77777777" w:rsidR="00F9458B" w:rsidRPr="008A6671" w:rsidRDefault="00F9458B" w:rsidP="00F9458B">
            <w:r w:rsidRPr="008A6671">
              <w:t>Outcome Theme: Improving Access</w:t>
            </w:r>
          </w:p>
        </w:tc>
        <w:tc>
          <w:tcPr>
            <w:tcW w:w="8388" w:type="dxa"/>
          </w:tcPr>
          <w:p w14:paraId="52187D3F" w14:textId="77777777" w:rsidR="00F9458B" w:rsidRPr="008A6671" w:rsidRDefault="00F9458B" w:rsidP="00F9458B">
            <w:pPr>
              <w:rPr>
                <w:rFonts w:eastAsia="Calibri"/>
              </w:rPr>
            </w:pPr>
            <w:r w:rsidRPr="008A6671">
              <w:rPr>
                <w:rFonts w:eastAsia="Calibri"/>
              </w:rPr>
              <w:t>Outcome:</w:t>
            </w:r>
          </w:p>
          <w:p w14:paraId="1089B77A" w14:textId="56A92006" w:rsidR="00F9458B" w:rsidRPr="008A6671" w:rsidRDefault="009D5C3D" w:rsidP="00F9458B">
            <w:r w:rsidRPr="008A6671">
              <w:rPr>
                <w:rFonts w:eastAsia="Calibri"/>
              </w:rPr>
              <w:t>First Nations</w:t>
            </w:r>
            <w:r w:rsidR="00F9458B" w:rsidRPr="008A6671">
              <w:rPr>
                <w:rFonts w:eastAsia="Calibri"/>
              </w:rPr>
              <w:t xml:space="preserve"> people </w:t>
            </w:r>
            <w:proofErr w:type="gramStart"/>
            <w:r w:rsidR="00F9458B" w:rsidRPr="008A6671">
              <w:rPr>
                <w:rFonts w:eastAsia="Calibri"/>
              </w:rPr>
              <w:t>are able to</w:t>
            </w:r>
            <w:proofErr w:type="gramEnd"/>
            <w:r w:rsidR="00F9458B" w:rsidRPr="008A6671">
              <w:rPr>
                <w:rFonts w:eastAsia="Calibri"/>
              </w:rPr>
              <w:t xml:space="preserve"> access primary health care services as required</w:t>
            </w:r>
            <w:r w:rsidR="00910F0B">
              <w:rPr>
                <w:rFonts w:eastAsia="Calibri"/>
              </w:rPr>
              <w:t>.</w:t>
            </w:r>
          </w:p>
        </w:tc>
      </w:tr>
      <w:tr w:rsidR="00F9458B" w:rsidRPr="00F9458B" w14:paraId="53390185" w14:textId="77777777" w:rsidTr="00405F47">
        <w:trPr>
          <w:cantSplit/>
        </w:trPr>
        <w:tc>
          <w:tcPr>
            <w:tcW w:w="1574" w:type="dxa"/>
          </w:tcPr>
          <w:p w14:paraId="3F29AA72" w14:textId="77777777" w:rsidR="00F9458B" w:rsidRPr="008A6671" w:rsidRDefault="00F9458B" w:rsidP="00F9458B">
            <w:r w:rsidRPr="008A6671">
              <w:t>Performance Criteria</w:t>
            </w:r>
          </w:p>
        </w:tc>
        <w:tc>
          <w:tcPr>
            <w:tcW w:w="8388" w:type="dxa"/>
          </w:tcPr>
          <w:p w14:paraId="17B9F000" w14:textId="34EFEDBD" w:rsidR="00F9458B" w:rsidRPr="008A6671" w:rsidRDefault="00A75699" w:rsidP="00F9458B">
            <w:r w:rsidRPr="008A6671">
              <w:t>This item does not have performance criteria or a target. It provides context for other indicators and a reference to the healthcare landscape in which PHNs are operating.</w:t>
            </w:r>
          </w:p>
        </w:tc>
      </w:tr>
      <w:tr w:rsidR="00F9458B" w:rsidRPr="00F9458B" w14:paraId="737D7644" w14:textId="77777777" w:rsidTr="00405F47">
        <w:trPr>
          <w:cantSplit/>
        </w:trPr>
        <w:tc>
          <w:tcPr>
            <w:tcW w:w="1574" w:type="dxa"/>
          </w:tcPr>
          <w:p w14:paraId="4CFC3D22" w14:textId="77777777" w:rsidR="00F9458B" w:rsidRPr="008A6671" w:rsidRDefault="00F9458B" w:rsidP="00F9458B">
            <w:r w:rsidRPr="008A6671">
              <w:t>Data Source</w:t>
            </w:r>
          </w:p>
        </w:tc>
        <w:tc>
          <w:tcPr>
            <w:tcW w:w="8388" w:type="dxa"/>
          </w:tcPr>
          <w:p w14:paraId="48189E4B" w14:textId="313E6D5B" w:rsidR="00EF3A38" w:rsidRPr="008A6671" w:rsidRDefault="00EF3A38" w:rsidP="00F9458B">
            <w:pPr>
              <w:rPr>
                <w:rFonts w:eastAsia="Calibri"/>
              </w:rPr>
            </w:pPr>
            <w:r w:rsidRPr="008A6671">
              <w:rPr>
                <w:rFonts w:eastAsia="Calibri"/>
              </w:rPr>
              <w:t xml:space="preserve">AIHW – </w:t>
            </w:r>
            <w:r w:rsidR="00A5139F" w:rsidRPr="008A6671">
              <w:rPr>
                <w:rFonts w:eastAsia="Calibri"/>
              </w:rPr>
              <w:t>proportion of First Nations population receiving health assessments</w:t>
            </w:r>
            <w:r w:rsidR="00910F0B">
              <w:rPr>
                <w:rFonts w:eastAsia="Calibri"/>
              </w:rPr>
              <w:t>.</w:t>
            </w:r>
          </w:p>
        </w:tc>
      </w:tr>
      <w:tr w:rsidR="00F9458B" w:rsidRPr="00F9458B" w14:paraId="6A360FCF" w14:textId="77777777" w:rsidTr="00405F47">
        <w:trPr>
          <w:cantSplit/>
        </w:trPr>
        <w:tc>
          <w:tcPr>
            <w:tcW w:w="1574" w:type="dxa"/>
          </w:tcPr>
          <w:p w14:paraId="2F2EF26F" w14:textId="77777777" w:rsidR="00F9458B" w:rsidRPr="008A6671" w:rsidRDefault="00F9458B" w:rsidP="00F9458B">
            <w:r w:rsidRPr="008A6671">
              <w:t>Calculation</w:t>
            </w:r>
          </w:p>
        </w:tc>
        <w:tc>
          <w:tcPr>
            <w:tcW w:w="8388" w:type="dxa"/>
          </w:tcPr>
          <w:p w14:paraId="42F61A78" w14:textId="77777777" w:rsidR="002617A9" w:rsidRDefault="002617A9" w:rsidP="00F9458B">
            <w:pPr>
              <w:rPr>
                <w:rFonts w:eastAsia="Calibri"/>
              </w:rPr>
            </w:pPr>
            <w:r>
              <w:rPr>
                <w:rFonts w:eastAsia="Calibri"/>
              </w:rPr>
              <w:t xml:space="preserve">Data retrieved from the data source is already calculated to show an uptake percentage </w:t>
            </w:r>
            <w:r w:rsidR="002C3715">
              <w:rPr>
                <w:rFonts w:eastAsia="Calibri"/>
              </w:rPr>
              <w:t xml:space="preserve">in the PHN region. </w:t>
            </w:r>
            <w:r w:rsidR="00A62248">
              <w:rPr>
                <w:rFonts w:eastAsia="Calibri"/>
              </w:rPr>
              <w:t>For reference the calculation is provided below.</w:t>
            </w:r>
          </w:p>
          <w:p w14:paraId="76624256" w14:textId="77777777" w:rsidR="00997731" w:rsidRPr="008E5D2E" w:rsidRDefault="00997731" w:rsidP="00997731">
            <w:pPr>
              <w:rPr>
                <w:rFonts w:eastAsia="Calibri"/>
              </w:rPr>
            </w:pPr>
            <w:r w:rsidRPr="008E5D2E">
              <w:rPr>
                <w:rFonts w:eastAsia="Calibri"/>
              </w:rPr>
              <w:t>Numerator:</w:t>
            </w:r>
          </w:p>
          <w:p w14:paraId="03D8759D" w14:textId="13A11FDA" w:rsidR="00997731" w:rsidRDefault="004D4BF6" w:rsidP="00997731">
            <w:pPr>
              <w:rPr>
                <w:rFonts w:eastAsia="Calibri"/>
              </w:rPr>
            </w:pPr>
            <w:r>
              <w:rPr>
                <w:rFonts w:eastAsia="Calibri"/>
              </w:rPr>
              <w:t>Number</w:t>
            </w:r>
            <w:r w:rsidR="00604D3D" w:rsidRPr="008A6671">
              <w:rPr>
                <w:rFonts w:eastAsia="Calibri"/>
              </w:rPr>
              <w:t xml:space="preserve"> of </w:t>
            </w:r>
            <w:r>
              <w:rPr>
                <w:rFonts w:eastAsia="Calibri"/>
              </w:rPr>
              <w:t xml:space="preserve">patients </w:t>
            </w:r>
            <w:r w:rsidR="002C6267">
              <w:rPr>
                <w:rFonts w:eastAsia="Calibri"/>
              </w:rPr>
              <w:t>who received a health check</w:t>
            </w:r>
            <w:r w:rsidR="006C4542">
              <w:rPr>
                <w:rFonts w:eastAsia="Calibri"/>
              </w:rPr>
              <w:t xml:space="preserve"> in the year</w:t>
            </w:r>
            <w:r w:rsidR="002C6267">
              <w:rPr>
                <w:rFonts w:eastAsia="Calibri"/>
              </w:rPr>
              <w:t>.</w:t>
            </w:r>
          </w:p>
          <w:p w14:paraId="2224CAB9" w14:textId="77777777" w:rsidR="00997731" w:rsidRPr="008E5D2E" w:rsidRDefault="00997731" w:rsidP="00997731">
            <w:pPr>
              <w:rPr>
                <w:rFonts w:eastAsia="Calibri"/>
              </w:rPr>
            </w:pPr>
            <w:r w:rsidRPr="008E5D2E">
              <w:rPr>
                <w:rFonts w:eastAsia="Calibri"/>
              </w:rPr>
              <w:t>Denominator:</w:t>
            </w:r>
          </w:p>
          <w:p w14:paraId="2AAE7589" w14:textId="77777777" w:rsidR="00997731" w:rsidRDefault="00604D3D" w:rsidP="00997731">
            <w:pPr>
              <w:rPr>
                <w:rFonts w:eastAsia="Calibri"/>
              </w:rPr>
            </w:pPr>
            <w:r w:rsidRPr="008A6671">
              <w:rPr>
                <w:rFonts w:eastAsia="Calibri"/>
              </w:rPr>
              <w:t xml:space="preserve">First Nations population </w:t>
            </w:r>
            <w:r w:rsidR="002C6267">
              <w:rPr>
                <w:rFonts w:eastAsia="Calibri"/>
              </w:rPr>
              <w:t xml:space="preserve">at the end of the </w:t>
            </w:r>
            <w:r w:rsidR="003325CB">
              <w:rPr>
                <w:rFonts w:eastAsia="Calibri"/>
              </w:rPr>
              <w:t>year.</w:t>
            </w:r>
          </w:p>
          <w:p w14:paraId="01DFD653" w14:textId="77777777" w:rsidR="00997731" w:rsidRPr="008E5D2E" w:rsidRDefault="00997731" w:rsidP="00997731">
            <w:pPr>
              <w:rPr>
                <w:rFonts w:eastAsia="Calibri"/>
              </w:rPr>
            </w:pPr>
            <w:r w:rsidRPr="008E5D2E">
              <w:rPr>
                <w:rFonts w:eastAsia="Calibri"/>
              </w:rPr>
              <w:t>Computation:</w:t>
            </w:r>
          </w:p>
          <w:p w14:paraId="10C21F55" w14:textId="6A7E5499" w:rsidR="00F6756D" w:rsidRPr="008A6671" w:rsidRDefault="00997731" w:rsidP="00F9458B">
            <w:pPr>
              <w:rPr>
                <w:rFonts w:eastAsia="Calibri"/>
              </w:rPr>
            </w:pPr>
            <w:r w:rsidRPr="008E5D2E">
              <w:rPr>
                <w:rFonts w:eastAsia="Calibri"/>
              </w:rPr>
              <w:t>100 x (numerator / denominator)</w:t>
            </w:r>
            <w:r w:rsidR="00A91DA2" w:rsidRPr="008A6671">
              <w:rPr>
                <w:rFonts w:eastAsia="Calibri"/>
              </w:rPr>
              <w:t xml:space="preserve"> </w:t>
            </w:r>
            <w:r w:rsidR="00314FD5" w:rsidRPr="008A6671">
              <w:rPr>
                <w:rFonts w:eastAsia="Calibri"/>
              </w:rPr>
              <w:t>p</w:t>
            </w:r>
            <w:r w:rsidR="00A91DA2" w:rsidRPr="008A6671">
              <w:rPr>
                <w:rFonts w:eastAsia="Calibri"/>
              </w:rPr>
              <w:t>resented as</w:t>
            </w:r>
            <w:r w:rsidR="00314FD5" w:rsidRPr="008A6671">
              <w:rPr>
                <w:rFonts w:eastAsia="Calibri"/>
              </w:rPr>
              <w:t xml:space="preserve"> </w:t>
            </w:r>
            <w:r w:rsidR="00151525">
              <w:rPr>
                <w:rFonts w:eastAsia="Calibri"/>
              </w:rPr>
              <w:t>an uptake</w:t>
            </w:r>
            <w:r w:rsidR="00314FD5" w:rsidRPr="008A6671">
              <w:rPr>
                <w:rFonts w:eastAsia="Calibri"/>
              </w:rPr>
              <w:t xml:space="preserve"> percentage</w:t>
            </w:r>
            <w:r w:rsidR="007A285C">
              <w:rPr>
                <w:rFonts w:eastAsia="Calibri"/>
              </w:rPr>
              <w:t xml:space="preserve"> in PHN region</w:t>
            </w:r>
            <w:r>
              <w:rPr>
                <w:rFonts w:eastAsia="Calibri"/>
              </w:rPr>
              <w:t>.</w:t>
            </w:r>
          </w:p>
          <w:p w14:paraId="17055C8A" w14:textId="77777777" w:rsidR="00F6756D" w:rsidRPr="008A6671" w:rsidRDefault="00F6756D" w:rsidP="00F9458B">
            <w:pPr>
              <w:rPr>
                <w:rFonts w:eastAsia="Calibri"/>
              </w:rPr>
            </w:pPr>
            <w:r w:rsidRPr="008A6671">
              <w:rPr>
                <w:rFonts w:eastAsia="Calibri"/>
              </w:rPr>
              <w:t>Disaggregation</w:t>
            </w:r>
            <w:r w:rsidR="004675F1" w:rsidRPr="008A6671">
              <w:rPr>
                <w:rFonts w:eastAsia="Calibri"/>
              </w:rPr>
              <w:t>:</w:t>
            </w:r>
          </w:p>
          <w:p w14:paraId="37A9051E" w14:textId="423165DA" w:rsidR="004675F1" w:rsidRPr="008A6671" w:rsidRDefault="004675F1" w:rsidP="00F9458B">
            <w:pPr>
              <w:rPr>
                <w:rFonts w:eastAsia="Calibri"/>
              </w:rPr>
            </w:pPr>
            <w:r w:rsidRPr="008A6671">
              <w:rPr>
                <w:rFonts w:eastAsia="Calibri"/>
              </w:rPr>
              <w:t>Children aged 0-14; adults aged 15-54; adults aged 55 years and over</w:t>
            </w:r>
            <w:r w:rsidR="00E40FD7">
              <w:rPr>
                <w:rFonts w:eastAsia="Calibri"/>
              </w:rPr>
              <w:t>.</w:t>
            </w:r>
          </w:p>
        </w:tc>
      </w:tr>
      <w:tr w:rsidR="00F9458B" w:rsidRPr="00F9458B" w14:paraId="077A4E23" w14:textId="77777777" w:rsidTr="00405F47">
        <w:trPr>
          <w:cantSplit/>
        </w:trPr>
        <w:tc>
          <w:tcPr>
            <w:tcW w:w="1574" w:type="dxa"/>
          </w:tcPr>
          <w:p w14:paraId="37097614" w14:textId="77777777" w:rsidR="00F9458B" w:rsidRPr="008A6671" w:rsidRDefault="00F9458B" w:rsidP="00F9458B">
            <w:r w:rsidRPr="008A6671">
              <w:t>Limitations</w:t>
            </w:r>
          </w:p>
        </w:tc>
        <w:tc>
          <w:tcPr>
            <w:tcW w:w="8388" w:type="dxa"/>
          </w:tcPr>
          <w:p w14:paraId="0103BD1A" w14:textId="7C1D368E" w:rsidR="00F9458B" w:rsidRPr="008A6671" w:rsidRDefault="00F9458B" w:rsidP="00F9458B">
            <w:r w:rsidRPr="008A6671">
              <w:rPr>
                <w:rFonts w:eastAsia="Calibri"/>
              </w:rPr>
              <w:t>This indicator does not reflect the quality of assessment or effectiveness of ongoing care</w:t>
            </w:r>
            <w:r w:rsidR="00910F0B">
              <w:rPr>
                <w:rFonts w:eastAsia="Calibri"/>
              </w:rPr>
              <w:t>.</w:t>
            </w:r>
          </w:p>
        </w:tc>
      </w:tr>
      <w:tr w:rsidR="00F9458B" w:rsidRPr="00F9458B" w14:paraId="7FE53271" w14:textId="77777777" w:rsidTr="00405F47">
        <w:trPr>
          <w:cantSplit/>
        </w:trPr>
        <w:tc>
          <w:tcPr>
            <w:tcW w:w="1574" w:type="dxa"/>
          </w:tcPr>
          <w:p w14:paraId="7A145753" w14:textId="77777777" w:rsidR="00F9458B" w:rsidRPr="008A6671" w:rsidRDefault="00F9458B" w:rsidP="00F9458B">
            <w:r w:rsidRPr="008A6671">
              <w:t>Additional information</w:t>
            </w:r>
          </w:p>
        </w:tc>
        <w:tc>
          <w:tcPr>
            <w:tcW w:w="8388" w:type="dxa"/>
          </w:tcPr>
          <w:p w14:paraId="796702D9" w14:textId="77777777" w:rsidR="00F9458B" w:rsidRPr="008A6671" w:rsidRDefault="00F9458B" w:rsidP="00F9458B">
            <w:r w:rsidRPr="008A6671">
              <w:t>-</w:t>
            </w:r>
          </w:p>
        </w:tc>
      </w:tr>
    </w:tbl>
    <w:p w14:paraId="16CD23BF" w14:textId="77777777" w:rsidR="00F9458B" w:rsidRPr="008A6671" w:rsidRDefault="00F9458B" w:rsidP="00F9458B">
      <w:r w:rsidRPr="008A6671">
        <w:br w:type="page"/>
      </w:r>
    </w:p>
    <w:p w14:paraId="56E11241" w14:textId="77777777" w:rsidR="00F9458B" w:rsidRPr="00F9458B" w:rsidRDefault="00F9458B" w:rsidP="00034E43">
      <w:pPr>
        <w:pStyle w:val="Heading1Orange"/>
      </w:pPr>
      <w:bookmarkStart w:id="111" w:name="_Toc176250624"/>
      <w:bookmarkStart w:id="112" w:name="_Toc522013918"/>
      <w:bookmarkStart w:id="113" w:name="_Toc197069398"/>
      <w:r w:rsidRPr="00F9458B">
        <w:lastRenderedPageBreak/>
        <w:t>Population Health indicators</w:t>
      </w:r>
      <w:bookmarkEnd w:id="111"/>
      <w:bookmarkEnd w:id="112"/>
      <w:bookmarkEnd w:id="113"/>
    </w:p>
    <w:p w14:paraId="1386267A" w14:textId="738AEE4A" w:rsidR="00F9458B" w:rsidRPr="00F9458B" w:rsidRDefault="00F9458B" w:rsidP="00665D8A">
      <w:pPr>
        <w:pStyle w:val="Heading2"/>
      </w:pPr>
      <w:bookmarkStart w:id="114" w:name="_Toc517267775"/>
      <w:bookmarkStart w:id="115" w:name="_Toc517334470"/>
      <w:bookmarkStart w:id="116" w:name="_Toc517769823"/>
      <w:r w:rsidRPr="00F9458B">
        <w:t>PH</w:t>
      </w:r>
      <w:r w:rsidR="00F04FED">
        <w:t>1</w:t>
      </w:r>
      <w:r w:rsidRPr="00F9458B">
        <w:t>: Rate of children fully immunised at 5 years</w:t>
      </w:r>
      <w:bookmarkEnd w:id="114"/>
      <w:bookmarkEnd w:id="115"/>
      <w:bookmarkEnd w:id="116"/>
    </w:p>
    <w:tbl>
      <w:tblPr>
        <w:tblStyle w:val="PHNTealtable"/>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4A0" w:firstRow="1" w:lastRow="0" w:firstColumn="1" w:lastColumn="0" w:noHBand="0" w:noVBand="1"/>
        <w:tblDescription w:val="This table details indicator PH1: Rate of children fully immunised at 5 years. It is comprised of two columns, and 11 rows. Column one provides the Item of the indicator, and Column two outlines the corresponding description.&#10;"/>
      </w:tblPr>
      <w:tblGrid>
        <w:gridCol w:w="1571"/>
        <w:gridCol w:w="8156"/>
      </w:tblGrid>
      <w:tr w:rsidR="00F9458B" w:rsidRPr="00F9458B" w14:paraId="61838073" w14:textId="77777777" w:rsidTr="3A68ABF3">
        <w:trPr>
          <w:cnfStyle w:val="100000000000" w:firstRow="1" w:lastRow="0" w:firstColumn="0" w:lastColumn="0" w:oddVBand="0" w:evenVBand="0" w:oddHBand="0" w:evenHBand="0" w:firstRowFirstColumn="0" w:firstRowLastColumn="0" w:lastRowFirstColumn="0" w:lastRowLastColumn="0"/>
          <w:tblHeader/>
        </w:trPr>
        <w:tc>
          <w:tcPr>
            <w:tcW w:w="1574" w:type="dxa"/>
            <w:shd w:val="clear" w:color="auto" w:fill="153A6E"/>
          </w:tcPr>
          <w:p w14:paraId="1C7EC826" w14:textId="77777777" w:rsidR="00F9458B" w:rsidRPr="00716651" w:rsidRDefault="00F9458B" w:rsidP="00665D8A">
            <w:pPr>
              <w:pStyle w:val="TableHeaderWhite"/>
            </w:pPr>
            <w:r w:rsidRPr="00716651">
              <w:t>Item</w:t>
            </w:r>
          </w:p>
        </w:tc>
        <w:tc>
          <w:tcPr>
            <w:tcW w:w="8388" w:type="dxa"/>
            <w:shd w:val="clear" w:color="auto" w:fill="153A6E"/>
          </w:tcPr>
          <w:p w14:paraId="46D12BA0" w14:textId="77777777" w:rsidR="00F9458B" w:rsidRPr="00716651" w:rsidRDefault="00F9458B" w:rsidP="00665D8A">
            <w:pPr>
              <w:pStyle w:val="TableHeaderWhite"/>
            </w:pPr>
            <w:r w:rsidRPr="00716651">
              <w:t>Description</w:t>
            </w:r>
          </w:p>
        </w:tc>
      </w:tr>
      <w:tr w:rsidR="00F9458B" w:rsidRPr="00F9458B" w14:paraId="16CCD6ED" w14:textId="77777777" w:rsidTr="3A68ABF3">
        <w:trPr>
          <w:cantSplit/>
        </w:trPr>
        <w:tc>
          <w:tcPr>
            <w:tcW w:w="1574" w:type="dxa"/>
          </w:tcPr>
          <w:p w14:paraId="0CE3A821" w14:textId="77777777" w:rsidR="00F9458B" w:rsidRPr="008A6671" w:rsidRDefault="00F9458B" w:rsidP="00F9458B">
            <w:r w:rsidRPr="008A6671">
              <w:t>Assessment</w:t>
            </w:r>
          </w:p>
        </w:tc>
        <w:tc>
          <w:tcPr>
            <w:tcW w:w="8388" w:type="dxa"/>
          </w:tcPr>
          <w:p w14:paraId="14B5A021" w14:textId="7964EEF9" w:rsidR="00F9458B" w:rsidRPr="008A6671" w:rsidRDefault="00F9458B" w:rsidP="00F9458B">
            <w:r w:rsidRPr="008A6671">
              <w:t>PHN Program</w:t>
            </w:r>
            <w:r w:rsidR="00910F0B">
              <w:t>.</w:t>
            </w:r>
          </w:p>
        </w:tc>
      </w:tr>
      <w:tr w:rsidR="00F9458B" w:rsidRPr="00F9458B" w14:paraId="17FC0E2C" w14:textId="77777777" w:rsidTr="3A68ABF3">
        <w:trPr>
          <w:cantSplit/>
        </w:trPr>
        <w:tc>
          <w:tcPr>
            <w:tcW w:w="1574" w:type="dxa"/>
          </w:tcPr>
          <w:p w14:paraId="4B5DF9C5" w14:textId="77777777" w:rsidR="00F9458B" w:rsidRPr="008A6671" w:rsidRDefault="00F9458B" w:rsidP="00F9458B">
            <w:r w:rsidRPr="008A6671">
              <w:t>Reporting</w:t>
            </w:r>
          </w:p>
        </w:tc>
        <w:tc>
          <w:tcPr>
            <w:tcW w:w="8388" w:type="dxa"/>
          </w:tcPr>
          <w:p w14:paraId="6F43D2D4" w14:textId="226DB9EA" w:rsidR="00F9458B" w:rsidRPr="008A6671" w:rsidRDefault="00B24327" w:rsidP="00F9458B">
            <w:r w:rsidRPr="008A6671">
              <w:t>Twelve monthly by Department.</w:t>
            </w:r>
          </w:p>
        </w:tc>
      </w:tr>
      <w:tr w:rsidR="00F9458B" w:rsidRPr="00F9458B" w14:paraId="4DFC5A87" w14:textId="77777777" w:rsidTr="3A68ABF3">
        <w:trPr>
          <w:cantSplit/>
        </w:trPr>
        <w:tc>
          <w:tcPr>
            <w:tcW w:w="1574" w:type="dxa"/>
          </w:tcPr>
          <w:p w14:paraId="3BB86AE7" w14:textId="77777777" w:rsidR="00F9458B" w:rsidRPr="008A6671" w:rsidRDefault="00F9458B" w:rsidP="00F9458B">
            <w:r w:rsidRPr="008A6671">
              <w:t>Definition</w:t>
            </w:r>
          </w:p>
        </w:tc>
        <w:tc>
          <w:tcPr>
            <w:tcW w:w="8388" w:type="dxa"/>
          </w:tcPr>
          <w:p w14:paraId="2CE9ED3F" w14:textId="5B4C8440" w:rsidR="00F9458B" w:rsidRPr="008A6671" w:rsidRDefault="00F9458B" w:rsidP="00F9458B">
            <w:pPr>
              <w:rPr>
                <w:rFonts w:eastAsia="Calibri"/>
              </w:rPr>
            </w:pPr>
            <w:r w:rsidRPr="008A6671">
              <w:rPr>
                <w:rFonts w:eastAsia="Calibri"/>
              </w:rPr>
              <w:t>Childhood immunisation coverage is an indicator of the Australian Governments’ objective to achieve high immunisation coverage for children to prevent selected vaccine preventable diseases. Childhood immunisation rates are a well-established performance indicator and reported in national health care agreements and frameworks</w:t>
            </w:r>
            <w:r w:rsidR="00E40FD7">
              <w:rPr>
                <w:rFonts w:eastAsia="Calibri"/>
              </w:rPr>
              <w:t>.</w:t>
            </w:r>
          </w:p>
          <w:p w14:paraId="253F4EBF" w14:textId="217A6311" w:rsidR="00F9458B" w:rsidRPr="008A6671" w:rsidRDefault="00F9458B" w:rsidP="00F9458B">
            <w:pPr>
              <w:rPr>
                <w:rFonts w:eastAsia="Calibri"/>
              </w:rPr>
            </w:pPr>
            <w:r w:rsidRPr="008A6671">
              <w:rPr>
                <w:rFonts w:eastAsia="Calibri"/>
              </w:rPr>
              <w:t>Childhood immunisation is defined as the number of children who are fully immunised in the Australian Immunisation Register (AIR) at 5 years</w:t>
            </w:r>
            <w:r w:rsidR="00E40FD7">
              <w:rPr>
                <w:rFonts w:eastAsia="Calibri"/>
              </w:rPr>
              <w:t>.</w:t>
            </w:r>
          </w:p>
          <w:p w14:paraId="08BCCC75" w14:textId="436F89E4" w:rsidR="00F9458B" w:rsidRPr="008A6671" w:rsidRDefault="00584D15" w:rsidP="00F9458B">
            <w:r>
              <w:rPr>
                <w:rFonts w:eastAsia="Calibri"/>
              </w:rPr>
              <w:t>‘</w:t>
            </w:r>
            <w:r w:rsidR="00F9458B" w:rsidRPr="008E5D2E">
              <w:rPr>
                <w:rFonts w:eastAsia="Calibri"/>
              </w:rPr>
              <w:t>Fully immunised</w:t>
            </w:r>
            <w:r>
              <w:rPr>
                <w:rFonts w:eastAsia="Calibri"/>
              </w:rPr>
              <w:t>’</w:t>
            </w:r>
            <w:r w:rsidR="00F9458B" w:rsidRPr="008A6671">
              <w:rPr>
                <w:rFonts w:eastAsia="Calibri"/>
              </w:rPr>
              <w:t xml:space="preserve"> at 5 years (60 to &lt;63 months) of age is defined as a child having a record on the AIR of 4 doses of a DTP-containing vaccine; 4 doses of polio vaccine; and 2 doses of an MMR-containing vaccine</w:t>
            </w:r>
            <w:r w:rsidR="00910F0B">
              <w:rPr>
                <w:rFonts w:eastAsia="Calibri"/>
              </w:rPr>
              <w:t>.</w:t>
            </w:r>
          </w:p>
        </w:tc>
      </w:tr>
      <w:tr w:rsidR="00F9458B" w:rsidRPr="00F9458B" w14:paraId="38FABA2A" w14:textId="77777777" w:rsidTr="3A68ABF3">
        <w:trPr>
          <w:cantSplit/>
        </w:trPr>
        <w:tc>
          <w:tcPr>
            <w:tcW w:w="1574" w:type="dxa"/>
          </w:tcPr>
          <w:p w14:paraId="6529C575" w14:textId="77777777" w:rsidR="00F9458B" w:rsidRPr="008A6671" w:rsidRDefault="00F9458B" w:rsidP="00F9458B">
            <w:r w:rsidRPr="008A6671">
              <w:t>Purpose</w:t>
            </w:r>
          </w:p>
        </w:tc>
        <w:tc>
          <w:tcPr>
            <w:tcW w:w="8388" w:type="dxa"/>
          </w:tcPr>
          <w:p w14:paraId="0E89003C" w14:textId="2973B7BA" w:rsidR="00F9458B" w:rsidRPr="008A6671" w:rsidRDefault="00F9458B" w:rsidP="00F9458B">
            <w:pPr>
              <w:rPr>
                <w:rFonts w:eastAsia="Calibri"/>
              </w:rPr>
            </w:pPr>
            <w:r w:rsidRPr="008A6671">
              <w:rPr>
                <w:rFonts w:eastAsia="Calibri"/>
              </w:rPr>
              <w:t>There is evidence of a link between immunisation and better health outcomes. Rates are also reported internationally, which allows local comparisons to be made with Organisation of Economic Cooperation and Development (OECD) countries</w:t>
            </w:r>
            <w:r w:rsidR="00E40FD7">
              <w:rPr>
                <w:rFonts w:eastAsia="Calibri"/>
              </w:rPr>
              <w:t>.</w:t>
            </w:r>
          </w:p>
          <w:p w14:paraId="38DAB266" w14:textId="575C2041" w:rsidR="00F9458B" w:rsidRPr="008A6671" w:rsidRDefault="00F9458B" w:rsidP="00F9458B">
            <w:r w:rsidRPr="008A6671">
              <w:rPr>
                <w:rFonts w:eastAsia="Calibri"/>
              </w:rPr>
              <w:t>This indicator appears to be sensitive to change over time and it is possible to report at the PHN and sub-PHN level to detect any variations and identify regional hotspots</w:t>
            </w:r>
            <w:r w:rsidR="00910F0B">
              <w:rPr>
                <w:rFonts w:eastAsia="Calibri"/>
              </w:rPr>
              <w:t>.</w:t>
            </w:r>
          </w:p>
        </w:tc>
      </w:tr>
      <w:tr w:rsidR="00F9458B" w:rsidRPr="00F9458B" w14:paraId="1B936669" w14:textId="77777777" w:rsidTr="3A68ABF3">
        <w:trPr>
          <w:cantSplit/>
        </w:trPr>
        <w:tc>
          <w:tcPr>
            <w:tcW w:w="1574" w:type="dxa"/>
          </w:tcPr>
          <w:p w14:paraId="05C49F33" w14:textId="77777777" w:rsidR="00F9458B" w:rsidRPr="008A6671" w:rsidRDefault="00F9458B" w:rsidP="00F9458B">
            <w:r w:rsidRPr="008A6671">
              <w:t>Outcome Theme: Quality Care</w:t>
            </w:r>
          </w:p>
        </w:tc>
        <w:tc>
          <w:tcPr>
            <w:tcW w:w="8388" w:type="dxa"/>
          </w:tcPr>
          <w:p w14:paraId="631C1502" w14:textId="77777777" w:rsidR="00F9458B" w:rsidRPr="008A6671" w:rsidRDefault="00F9458B" w:rsidP="00F9458B">
            <w:pPr>
              <w:rPr>
                <w:rFonts w:eastAsia="Calibri"/>
              </w:rPr>
            </w:pPr>
            <w:r w:rsidRPr="008A6671">
              <w:rPr>
                <w:rFonts w:eastAsia="Calibri"/>
              </w:rPr>
              <w:t>Outcome:</w:t>
            </w:r>
          </w:p>
          <w:p w14:paraId="475ED162" w14:textId="044E349C" w:rsidR="00F9458B" w:rsidRPr="008A6671" w:rsidRDefault="00F9458B" w:rsidP="00F9458B">
            <w:pPr>
              <w:rPr>
                <w:rFonts w:eastAsia="Calibri"/>
              </w:rPr>
            </w:pPr>
            <w:r w:rsidRPr="008A6671">
              <w:rPr>
                <w:rFonts w:eastAsia="Calibri"/>
              </w:rPr>
              <w:t>PHNs support health care providers to address factors impacting population health</w:t>
            </w:r>
            <w:r w:rsidR="00910F0B">
              <w:rPr>
                <w:rFonts w:eastAsia="Calibri"/>
              </w:rPr>
              <w:t>.</w:t>
            </w:r>
          </w:p>
        </w:tc>
      </w:tr>
      <w:tr w:rsidR="00F9458B" w:rsidRPr="00F9458B" w14:paraId="3DEEC86B" w14:textId="77777777" w:rsidTr="3A68ABF3">
        <w:trPr>
          <w:cantSplit/>
        </w:trPr>
        <w:tc>
          <w:tcPr>
            <w:tcW w:w="1574" w:type="dxa"/>
          </w:tcPr>
          <w:p w14:paraId="00CC7A67" w14:textId="77777777" w:rsidR="00F9458B" w:rsidRPr="008A6671" w:rsidRDefault="00F9458B" w:rsidP="00F9458B">
            <w:r w:rsidRPr="008A6671">
              <w:t>Performance Criteria</w:t>
            </w:r>
          </w:p>
        </w:tc>
        <w:tc>
          <w:tcPr>
            <w:tcW w:w="8388" w:type="dxa"/>
          </w:tcPr>
          <w:p w14:paraId="5D56E86F" w14:textId="73ACF7B2" w:rsidR="00D87EBF" w:rsidRPr="008A6671" w:rsidRDefault="00522608" w:rsidP="00F9458B">
            <w:r w:rsidRPr="008A6671">
              <w:t>The national childhood immunisation target is 95%</w:t>
            </w:r>
            <w:r w:rsidR="00D87EBF" w:rsidRPr="008A6671">
              <w:t>, which</w:t>
            </w:r>
            <w:r w:rsidR="00260986" w:rsidRPr="008A6671">
              <w:t xml:space="preserve"> is considered when interpreting results.</w:t>
            </w:r>
          </w:p>
          <w:p w14:paraId="3F8073FF" w14:textId="234D4EFF" w:rsidR="00522608" w:rsidRPr="008A6671" w:rsidRDefault="00D87EBF" w:rsidP="00F9458B">
            <w:r w:rsidRPr="008A6671">
              <w:t xml:space="preserve">Otherwise, </w:t>
            </w:r>
            <w:r w:rsidR="00A75699" w:rsidRPr="008A6671">
              <w:t>this item does not have performance criteria or a target. It provides context for other indicators and a reference to the healthcare landscape in which PHNs are operating.</w:t>
            </w:r>
          </w:p>
        </w:tc>
      </w:tr>
      <w:tr w:rsidR="00F9458B" w:rsidRPr="00F9458B" w14:paraId="46E71180" w14:textId="77777777" w:rsidTr="3A68ABF3">
        <w:trPr>
          <w:cantSplit/>
        </w:trPr>
        <w:tc>
          <w:tcPr>
            <w:tcW w:w="1574" w:type="dxa"/>
          </w:tcPr>
          <w:p w14:paraId="0C8B7A74" w14:textId="77777777" w:rsidR="00F9458B" w:rsidRPr="008A6671" w:rsidRDefault="00F9458B" w:rsidP="00F9458B">
            <w:r w:rsidRPr="008A6671">
              <w:t>Data Source</w:t>
            </w:r>
          </w:p>
        </w:tc>
        <w:tc>
          <w:tcPr>
            <w:tcW w:w="8388" w:type="dxa"/>
          </w:tcPr>
          <w:p w14:paraId="5DE575DA" w14:textId="2C9C9341" w:rsidR="00F9458B" w:rsidRPr="008A6671" w:rsidRDefault="004D5EC4" w:rsidP="00F9458B">
            <w:r w:rsidRPr="008A6671">
              <w:rPr>
                <w:rFonts w:eastAsia="Calibri"/>
              </w:rPr>
              <w:t xml:space="preserve">Quarterly </w:t>
            </w:r>
            <w:r w:rsidR="005C413A" w:rsidRPr="008A6671">
              <w:rPr>
                <w:rFonts w:eastAsia="Calibri"/>
              </w:rPr>
              <w:t>AIR</w:t>
            </w:r>
            <w:r w:rsidR="00E448F0" w:rsidRPr="008A6671">
              <w:rPr>
                <w:rFonts w:eastAsia="Calibri"/>
              </w:rPr>
              <w:t xml:space="preserve"> data published on the Department of Health and Aged Care website.</w:t>
            </w:r>
          </w:p>
        </w:tc>
      </w:tr>
      <w:tr w:rsidR="00F9458B" w:rsidRPr="00F9458B" w14:paraId="32137F27" w14:textId="77777777" w:rsidTr="3A68ABF3">
        <w:trPr>
          <w:cantSplit/>
        </w:trPr>
        <w:tc>
          <w:tcPr>
            <w:tcW w:w="1574" w:type="dxa"/>
          </w:tcPr>
          <w:p w14:paraId="29972528" w14:textId="77777777" w:rsidR="00F9458B" w:rsidRPr="008A6671" w:rsidRDefault="00F9458B" w:rsidP="00F9458B">
            <w:r w:rsidRPr="008A6671">
              <w:lastRenderedPageBreak/>
              <w:t>Calculation</w:t>
            </w:r>
          </w:p>
        </w:tc>
        <w:tc>
          <w:tcPr>
            <w:tcW w:w="8388" w:type="dxa"/>
          </w:tcPr>
          <w:p w14:paraId="21B88A10" w14:textId="52AF0A2B" w:rsidR="005C413A" w:rsidRPr="008A6671" w:rsidRDefault="005C413A" w:rsidP="00F9458B">
            <w:pPr>
              <w:rPr>
                <w:rFonts w:eastAsia="Calibri"/>
              </w:rPr>
            </w:pPr>
            <w:r w:rsidRPr="008A6671">
              <w:rPr>
                <w:rFonts w:eastAsia="Calibri"/>
              </w:rPr>
              <w:t xml:space="preserve">Data retrieved from the </w:t>
            </w:r>
            <w:r w:rsidR="00B731F0" w:rsidRPr="008A6671">
              <w:rPr>
                <w:rFonts w:eastAsia="Calibri"/>
              </w:rPr>
              <w:t>data source</w:t>
            </w:r>
            <w:r w:rsidR="007814DA" w:rsidRPr="008A6671">
              <w:rPr>
                <w:rFonts w:eastAsia="Calibri"/>
              </w:rPr>
              <w:t xml:space="preserve"> is</w:t>
            </w:r>
            <w:r w:rsidRPr="008A6671" w:rsidDel="007814DA">
              <w:rPr>
                <w:rFonts w:eastAsia="Calibri"/>
              </w:rPr>
              <w:t xml:space="preserve"> </w:t>
            </w:r>
            <w:r w:rsidR="00754646" w:rsidRPr="008A6671">
              <w:rPr>
                <w:rFonts w:eastAsia="Calibri"/>
              </w:rPr>
              <w:t>already calcul</w:t>
            </w:r>
            <w:r w:rsidR="008B543B" w:rsidRPr="008A6671">
              <w:rPr>
                <w:rFonts w:eastAsia="Calibri"/>
              </w:rPr>
              <w:t xml:space="preserve">ated to </w:t>
            </w:r>
            <w:r w:rsidR="004A4018">
              <w:rPr>
                <w:rFonts w:eastAsia="Calibri"/>
              </w:rPr>
              <w:t>show</w:t>
            </w:r>
            <w:r w:rsidR="008B543B" w:rsidRPr="008A6671">
              <w:rPr>
                <w:rFonts w:eastAsia="Calibri"/>
              </w:rPr>
              <w:t xml:space="preserve"> rate</w:t>
            </w:r>
            <w:r w:rsidR="00630F1A" w:rsidRPr="008A6671">
              <w:rPr>
                <w:rFonts w:eastAsia="Calibri"/>
              </w:rPr>
              <w:t xml:space="preserve">. For reference the calculation is provided below. </w:t>
            </w:r>
          </w:p>
          <w:p w14:paraId="26793837" w14:textId="77777777" w:rsidR="00F9458B" w:rsidRPr="008A6671" w:rsidRDefault="00F9458B" w:rsidP="00F9458B">
            <w:pPr>
              <w:rPr>
                <w:rFonts w:eastAsia="Calibri"/>
              </w:rPr>
            </w:pPr>
            <w:r w:rsidRPr="008A6671">
              <w:rPr>
                <w:rFonts w:eastAsia="Calibri"/>
              </w:rPr>
              <w:t>Numerator:</w:t>
            </w:r>
          </w:p>
          <w:p w14:paraId="136E50CD" w14:textId="3B48D2AC" w:rsidR="00F9458B" w:rsidRPr="008A6671" w:rsidRDefault="00F9458B" w:rsidP="00F9458B">
            <w:pPr>
              <w:rPr>
                <w:rFonts w:eastAsia="Calibri"/>
              </w:rPr>
            </w:pPr>
            <w:r w:rsidRPr="008A6671">
              <w:rPr>
                <w:rFonts w:eastAsia="Calibri"/>
              </w:rPr>
              <w:t>Children who turned 5 years of age in the reference year who</w:t>
            </w:r>
            <w:r w:rsidR="00B550D4">
              <w:rPr>
                <w:rFonts w:eastAsia="Calibri"/>
              </w:rPr>
              <w:t xml:space="preserve"> were</w:t>
            </w:r>
            <w:r w:rsidRPr="008A6671">
              <w:rPr>
                <w:rFonts w:eastAsia="Calibri"/>
              </w:rPr>
              <w:t xml:space="preserve"> recorded as fully vaccinated on the Australian Immunisation Register in the reference year</w:t>
            </w:r>
            <w:r w:rsidR="00E40FD7">
              <w:rPr>
                <w:rFonts w:eastAsia="Calibri"/>
              </w:rPr>
              <w:t>.</w:t>
            </w:r>
          </w:p>
          <w:p w14:paraId="0A1E9281" w14:textId="77777777" w:rsidR="00F9458B" w:rsidRPr="008A6671" w:rsidRDefault="00F9458B" w:rsidP="00F9458B">
            <w:pPr>
              <w:rPr>
                <w:rFonts w:eastAsia="Calibri"/>
              </w:rPr>
            </w:pPr>
            <w:r w:rsidRPr="008A6671">
              <w:rPr>
                <w:rFonts w:eastAsia="Calibri"/>
              </w:rPr>
              <w:t>Denominator:</w:t>
            </w:r>
          </w:p>
          <w:p w14:paraId="51E72405" w14:textId="2E4F0929" w:rsidR="00F9458B" w:rsidRPr="008A6671" w:rsidRDefault="00F9458B" w:rsidP="00F9458B">
            <w:pPr>
              <w:rPr>
                <w:rFonts w:eastAsia="Calibri"/>
              </w:rPr>
            </w:pPr>
            <w:r w:rsidRPr="008A6671">
              <w:rPr>
                <w:rFonts w:eastAsia="Calibri"/>
              </w:rPr>
              <w:t>Number of children 5 years in the reference year registered on AIR</w:t>
            </w:r>
            <w:r w:rsidR="00E40FD7">
              <w:rPr>
                <w:rFonts w:eastAsia="Calibri"/>
              </w:rPr>
              <w:t>.</w:t>
            </w:r>
          </w:p>
          <w:p w14:paraId="2B5DC6C2" w14:textId="77777777" w:rsidR="00F9458B" w:rsidRPr="008A6671" w:rsidRDefault="00F9458B" w:rsidP="00F9458B">
            <w:pPr>
              <w:rPr>
                <w:rFonts w:eastAsia="Calibri"/>
              </w:rPr>
            </w:pPr>
            <w:r w:rsidRPr="008A6671">
              <w:rPr>
                <w:rFonts w:eastAsia="Calibri"/>
              </w:rPr>
              <w:t>Computation:</w:t>
            </w:r>
          </w:p>
          <w:p w14:paraId="479ECC61" w14:textId="1C9E7B0B" w:rsidR="00F9458B" w:rsidRPr="008A6671" w:rsidRDefault="00F9458B" w:rsidP="00F9458B">
            <w:r w:rsidRPr="008A6671">
              <w:rPr>
                <w:rFonts w:eastAsia="Calibri"/>
              </w:rPr>
              <w:t xml:space="preserve">100 x (numerator / denominator) </w:t>
            </w:r>
            <w:r w:rsidR="00BB5D6F" w:rsidRPr="008A6671">
              <w:t>presented as a percentage</w:t>
            </w:r>
            <w:r w:rsidR="00BB5D6F">
              <w:t xml:space="preserve"> of children vaccinated</w:t>
            </w:r>
            <w:r w:rsidR="00BB5D6F" w:rsidRPr="008A6671">
              <w:t xml:space="preserve"> in PHN region</w:t>
            </w:r>
            <w:r w:rsidR="00BB5D6F">
              <w:t>.</w:t>
            </w:r>
          </w:p>
        </w:tc>
      </w:tr>
      <w:tr w:rsidR="00F9458B" w:rsidRPr="00F9458B" w14:paraId="3C9EA732" w14:textId="77777777" w:rsidTr="3A68ABF3">
        <w:trPr>
          <w:cantSplit/>
        </w:trPr>
        <w:tc>
          <w:tcPr>
            <w:tcW w:w="1574" w:type="dxa"/>
          </w:tcPr>
          <w:p w14:paraId="3101D3CF" w14:textId="77777777" w:rsidR="00F9458B" w:rsidRPr="008A6671" w:rsidRDefault="00F9458B" w:rsidP="00F9458B">
            <w:r w:rsidRPr="008A6671">
              <w:t>Limitations</w:t>
            </w:r>
          </w:p>
        </w:tc>
        <w:tc>
          <w:tcPr>
            <w:tcW w:w="8388" w:type="dxa"/>
          </w:tcPr>
          <w:p w14:paraId="2E278178" w14:textId="30288CF4" w:rsidR="00F9458B" w:rsidRPr="008A6671" w:rsidRDefault="00F9458B" w:rsidP="00F9458B">
            <w:r w:rsidRPr="008A6671">
              <w:rPr>
                <w:rFonts w:eastAsia="Calibri"/>
              </w:rPr>
              <w:t>PHNs’ capacity to directly influence childhood immunisation rates may be affected by service delivery arrangements and incentive schemes</w:t>
            </w:r>
            <w:r w:rsidR="001D60D7">
              <w:rPr>
                <w:rFonts w:eastAsia="Calibri"/>
              </w:rPr>
              <w:t>.</w:t>
            </w:r>
          </w:p>
        </w:tc>
      </w:tr>
      <w:tr w:rsidR="00F9458B" w:rsidRPr="00F9458B" w14:paraId="02D072F9" w14:textId="77777777" w:rsidTr="3A68ABF3">
        <w:trPr>
          <w:cantSplit/>
        </w:trPr>
        <w:tc>
          <w:tcPr>
            <w:tcW w:w="1574" w:type="dxa"/>
          </w:tcPr>
          <w:p w14:paraId="2D80F165" w14:textId="77777777" w:rsidR="00F9458B" w:rsidRPr="008A6671" w:rsidRDefault="00F9458B" w:rsidP="00F9458B">
            <w:r w:rsidRPr="008A6671">
              <w:t>Additional information</w:t>
            </w:r>
          </w:p>
        </w:tc>
        <w:tc>
          <w:tcPr>
            <w:tcW w:w="8388" w:type="dxa"/>
          </w:tcPr>
          <w:p w14:paraId="46B98D6D" w14:textId="002C07E3" w:rsidR="00F9458B" w:rsidRPr="008A6671" w:rsidRDefault="00F9458B" w:rsidP="00F9458B">
            <w:pPr>
              <w:rPr>
                <w:rFonts w:eastAsia="Calibri"/>
              </w:rPr>
            </w:pPr>
            <w:r w:rsidRPr="008A6671">
              <w:rPr>
                <w:rFonts w:eastAsia="Calibri"/>
              </w:rPr>
              <w:t>Nationally consistent immunisation data are available 3 months after the period that providers submit immunisation records after providing the service (December, March, June and September</w:t>
            </w:r>
            <w:r w:rsidRPr="008E5D2E">
              <w:rPr>
                <w:rFonts w:eastAsia="Calibri"/>
              </w:rPr>
              <w:t>)</w:t>
            </w:r>
            <w:r w:rsidR="00E40FD7">
              <w:rPr>
                <w:rFonts w:eastAsia="Calibri"/>
              </w:rPr>
              <w:t>.</w:t>
            </w:r>
          </w:p>
          <w:p w14:paraId="5773715A" w14:textId="23E517D9" w:rsidR="00F9458B" w:rsidRPr="008A6671" w:rsidRDefault="00F9458B" w:rsidP="00F9458B">
            <w:pPr>
              <w:rPr>
                <w:rFonts w:eastAsia="Calibri"/>
              </w:rPr>
            </w:pPr>
            <w:r w:rsidRPr="008A6671">
              <w:rPr>
                <w:rFonts w:eastAsia="Calibri"/>
              </w:rPr>
              <w:t xml:space="preserve">Standard coverage reports for all children, and for </w:t>
            </w:r>
            <w:r w:rsidR="007709CF" w:rsidRPr="008A6671">
              <w:rPr>
                <w:rFonts w:eastAsia="Calibri"/>
              </w:rPr>
              <w:t xml:space="preserve">First Nations </w:t>
            </w:r>
            <w:r w:rsidRPr="008A6671">
              <w:rPr>
                <w:rFonts w:eastAsia="Calibri"/>
              </w:rPr>
              <w:t xml:space="preserve">children, are produced on a regular basis at the postcode and Statistical Area </w:t>
            </w:r>
            <w:r w:rsidRPr="008E5D2E">
              <w:rPr>
                <w:rFonts w:eastAsia="Calibri"/>
              </w:rPr>
              <w:t>Level</w:t>
            </w:r>
            <w:r w:rsidR="0094737C">
              <w:rPr>
                <w:rFonts w:eastAsia="Calibri"/>
              </w:rPr>
              <w:t>s</w:t>
            </w:r>
            <w:r w:rsidRPr="008A6671">
              <w:rPr>
                <w:rFonts w:eastAsia="Calibri"/>
              </w:rPr>
              <w:t xml:space="preserve"> 2 and 3. Coverage at these geographical levels is grouped within state and territory boundaries (e.g. postcodes for South Australia, SA3 for Western Australia</w:t>
            </w:r>
            <w:r w:rsidRPr="008E5D2E">
              <w:rPr>
                <w:rFonts w:eastAsia="Calibri"/>
              </w:rPr>
              <w:t>)</w:t>
            </w:r>
            <w:r w:rsidR="00B37BB2">
              <w:rPr>
                <w:rFonts w:eastAsia="Calibri"/>
              </w:rPr>
              <w:t>.</w:t>
            </w:r>
          </w:p>
        </w:tc>
      </w:tr>
    </w:tbl>
    <w:p w14:paraId="11CF0DEC" w14:textId="494C291C" w:rsidR="00F9458B" w:rsidRPr="00665D8A" w:rsidRDefault="00F04FED" w:rsidP="00665D8A">
      <w:pPr>
        <w:pStyle w:val="Heading2"/>
      </w:pPr>
      <w:bookmarkStart w:id="117" w:name="_Toc517267776"/>
      <w:bookmarkStart w:id="118" w:name="_Toc517334471"/>
      <w:bookmarkStart w:id="119" w:name="_Toc517769824"/>
      <w:r w:rsidRPr="00665D8A">
        <w:t>PH2: Cancer screening rates for cervical, bowel and breast cancer</w:t>
      </w:r>
      <w:bookmarkEnd w:id="117"/>
      <w:bookmarkEnd w:id="118"/>
      <w:bookmarkEnd w:id="119"/>
    </w:p>
    <w:tbl>
      <w:tblPr>
        <w:tblStyle w:val="PHNTealtable"/>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4A0" w:firstRow="1" w:lastRow="0" w:firstColumn="1" w:lastColumn="0" w:noHBand="0" w:noVBand="1"/>
        <w:tblDescription w:val="This table details indicator PH2: Cancer screening rates for cervical, bowel and breast cancer. It is comprised of two columns, and 11 rows. Column one provides the Item of the indicator, and Column two outlines the corresponding description."/>
      </w:tblPr>
      <w:tblGrid>
        <w:gridCol w:w="1571"/>
        <w:gridCol w:w="8156"/>
      </w:tblGrid>
      <w:tr w:rsidR="00F9458B" w:rsidRPr="00F9458B" w14:paraId="723989FF" w14:textId="77777777" w:rsidTr="009038CB">
        <w:trPr>
          <w:cnfStyle w:val="100000000000" w:firstRow="1" w:lastRow="0" w:firstColumn="0" w:lastColumn="0" w:oddVBand="0" w:evenVBand="0" w:oddHBand="0" w:evenHBand="0" w:firstRowFirstColumn="0" w:firstRowLastColumn="0" w:lastRowFirstColumn="0" w:lastRowLastColumn="0"/>
          <w:tblHeader/>
        </w:trPr>
        <w:tc>
          <w:tcPr>
            <w:tcW w:w="1574" w:type="dxa"/>
            <w:shd w:val="clear" w:color="auto" w:fill="153A6E"/>
          </w:tcPr>
          <w:p w14:paraId="4F55D60C" w14:textId="77777777" w:rsidR="00F9458B" w:rsidRPr="00716651" w:rsidRDefault="00F9458B" w:rsidP="00665D8A">
            <w:pPr>
              <w:pStyle w:val="TableHeaderWhite"/>
            </w:pPr>
            <w:r w:rsidRPr="00716651">
              <w:t>Item</w:t>
            </w:r>
          </w:p>
        </w:tc>
        <w:tc>
          <w:tcPr>
            <w:tcW w:w="8388" w:type="dxa"/>
            <w:shd w:val="clear" w:color="auto" w:fill="153A6E"/>
          </w:tcPr>
          <w:p w14:paraId="2B0176DB" w14:textId="77777777" w:rsidR="00F9458B" w:rsidRPr="00716651" w:rsidRDefault="00F9458B" w:rsidP="00665D8A">
            <w:pPr>
              <w:pStyle w:val="TableHeaderWhite"/>
            </w:pPr>
            <w:r w:rsidRPr="00716651">
              <w:t>Description</w:t>
            </w:r>
          </w:p>
        </w:tc>
      </w:tr>
      <w:tr w:rsidR="00F9458B" w:rsidRPr="00F9458B" w14:paraId="261EDBF5" w14:textId="77777777" w:rsidTr="00405F47">
        <w:trPr>
          <w:cantSplit/>
        </w:trPr>
        <w:tc>
          <w:tcPr>
            <w:tcW w:w="1574" w:type="dxa"/>
          </w:tcPr>
          <w:p w14:paraId="246FDEB2" w14:textId="77777777" w:rsidR="00F9458B" w:rsidRPr="008A6671" w:rsidRDefault="00F9458B" w:rsidP="00F9458B">
            <w:r w:rsidRPr="008A6671">
              <w:t>Assessment</w:t>
            </w:r>
          </w:p>
        </w:tc>
        <w:tc>
          <w:tcPr>
            <w:tcW w:w="8388" w:type="dxa"/>
          </w:tcPr>
          <w:p w14:paraId="72BF0B3B" w14:textId="3397EE41" w:rsidR="00F9458B" w:rsidRPr="008A6671" w:rsidRDefault="00F9458B" w:rsidP="00F9458B">
            <w:pPr>
              <w:rPr>
                <w:rFonts w:eastAsia="Calibri"/>
              </w:rPr>
            </w:pPr>
            <w:r w:rsidRPr="008A6671">
              <w:rPr>
                <w:rFonts w:eastAsia="Calibri"/>
              </w:rPr>
              <w:t>PHN Program</w:t>
            </w:r>
            <w:r w:rsidR="00B37BB2">
              <w:rPr>
                <w:rFonts w:eastAsia="Calibri"/>
              </w:rPr>
              <w:t>.</w:t>
            </w:r>
          </w:p>
        </w:tc>
      </w:tr>
      <w:tr w:rsidR="00F9458B" w:rsidRPr="00F9458B" w14:paraId="7F86D6F5" w14:textId="77777777" w:rsidTr="00405F47">
        <w:trPr>
          <w:cantSplit/>
        </w:trPr>
        <w:tc>
          <w:tcPr>
            <w:tcW w:w="1574" w:type="dxa"/>
          </w:tcPr>
          <w:p w14:paraId="08E913DC" w14:textId="77777777" w:rsidR="00F9458B" w:rsidRPr="008A6671" w:rsidRDefault="00F9458B" w:rsidP="00F9458B">
            <w:r w:rsidRPr="008A6671">
              <w:t>Reporting</w:t>
            </w:r>
          </w:p>
        </w:tc>
        <w:tc>
          <w:tcPr>
            <w:tcW w:w="8388" w:type="dxa"/>
          </w:tcPr>
          <w:p w14:paraId="70AB87D5" w14:textId="3B9037BA" w:rsidR="00F9458B" w:rsidRPr="008A6671" w:rsidRDefault="005F00A1" w:rsidP="00F9458B">
            <w:pPr>
              <w:rPr>
                <w:rFonts w:eastAsia="Calibri"/>
              </w:rPr>
            </w:pPr>
            <w:r w:rsidRPr="008A6671">
              <w:t>Twelve monthly by Department.</w:t>
            </w:r>
          </w:p>
        </w:tc>
      </w:tr>
      <w:tr w:rsidR="00F9458B" w:rsidRPr="00F9458B" w14:paraId="2BDF2F83" w14:textId="77777777" w:rsidTr="00405F47">
        <w:trPr>
          <w:cantSplit/>
        </w:trPr>
        <w:tc>
          <w:tcPr>
            <w:tcW w:w="1574" w:type="dxa"/>
          </w:tcPr>
          <w:p w14:paraId="72F17A73" w14:textId="77777777" w:rsidR="00F9458B" w:rsidRPr="008A6671" w:rsidRDefault="00F9458B" w:rsidP="00F9458B">
            <w:r w:rsidRPr="008A6671">
              <w:t>Definition</w:t>
            </w:r>
          </w:p>
        </w:tc>
        <w:tc>
          <w:tcPr>
            <w:tcW w:w="8388" w:type="dxa"/>
          </w:tcPr>
          <w:p w14:paraId="34F37AF3" w14:textId="669BFAA5" w:rsidR="00F9458B" w:rsidRPr="008A6671" w:rsidRDefault="00F9458B" w:rsidP="00F9458B">
            <w:pPr>
              <w:rPr>
                <w:rFonts w:eastAsia="Calibri"/>
              </w:rPr>
            </w:pPr>
            <w:r w:rsidRPr="008A6671">
              <w:rPr>
                <w:rFonts w:eastAsia="Calibri"/>
              </w:rPr>
              <w:t>Cancer screening rates are participation rates in breast, bowel and cervical cancer screening programs</w:t>
            </w:r>
            <w:r w:rsidR="00E40FD7">
              <w:rPr>
                <w:rFonts w:eastAsia="Calibri"/>
              </w:rPr>
              <w:t>.</w:t>
            </w:r>
          </w:p>
          <w:p w14:paraId="7BC088C7" w14:textId="77777777" w:rsidR="00F9458B" w:rsidRPr="008A6671" w:rsidRDefault="00F9458B" w:rsidP="00F9458B">
            <w:pPr>
              <w:rPr>
                <w:rFonts w:eastAsia="Calibri"/>
              </w:rPr>
            </w:pPr>
            <w:r w:rsidRPr="008A6671">
              <w:rPr>
                <w:rFonts w:eastAsia="Calibri"/>
              </w:rPr>
              <w:t>Screening population cohorts are:</w:t>
            </w:r>
          </w:p>
          <w:p w14:paraId="244C2598" w14:textId="6ABA604B" w:rsidR="00F9458B" w:rsidRPr="008A6671" w:rsidRDefault="00F9458B" w:rsidP="00716651">
            <w:pPr>
              <w:pStyle w:val="ListBullet"/>
            </w:pPr>
            <w:r w:rsidRPr="008A6671">
              <w:t>Breast – women aged 50 to 74 years who undertake screening every 2 years</w:t>
            </w:r>
            <w:r w:rsidR="00E40FD7" w:rsidRPr="00FD6B52">
              <w:t>.</w:t>
            </w:r>
          </w:p>
          <w:p w14:paraId="184AEFE5" w14:textId="4D0B64C8" w:rsidR="00F9458B" w:rsidRPr="008A6671" w:rsidRDefault="00F9458B" w:rsidP="00716651">
            <w:pPr>
              <w:pStyle w:val="ListBullet"/>
            </w:pPr>
            <w:r w:rsidRPr="008A6671">
              <w:t xml:space="preserve">Bowel – </w:t>
            </w:r>
            <w:r w:rsidR="00162068" w:rsidRPr="008A6671">
              <w:t>people</w:t>
            </w:r>
            <w:r w:rsidRPr="008A6671">
              <w:t xml:space="preserve"> aged 50 to 74 years who are invited to screen in a </w:t>
            </w:r>
            <w:proofErr w:type="gramStart"/>
            <w:r w:rsidRPr="008A6671">
              <w:t>24 month</w:t>
            </w:r>
            <w:proofErr w:type="gramEnd"/>
            <w:r w:rsidRPr="008A6671">
              <w:t xml:space="preserve"> period who returned a completed test within this period or the following 6 months</w:t>
            </w:r>
            <w:r w:rsidR="00E40FD7" w:rsidRPr="00FD6B52">
              <w:t>.</w:t>
            </w:r>
          </w:p>
          <w:p w14:paraId="0DE1D619" w14:textId="00EE3827" w:rsidR="00F9458B" w:rsidRPr="008A6671" w:rsidRDefault="00F9458B" w:rsidP="00716651">
            <w:pPr>
              <w:pStyle w:val="ListBullet"/>
            </w:pPr>
            <w:r w:rsidRPr="008A6671">
              <w:t xml:space="preserve">Cervical – women </w:t>
            </w:r>
            <w:r w:rsidR="00406223" w:rsidRPr="008A6671">
              <w:t>and people with a cervi</w:t>
            </w:r>
            <w:r w:rsidR="00070F31" w:rsidRPr="008A6671">
              <w:t>x</w:t>
            </w:r>
            <w:r w:rsidRPr="008A6671">
              <w:t xml:space="preserve"> aged 25 to 74 years who undertake the Cervical Screening Test every 5 years</w:t>
            </w:r>
            <w:r w:rsidR="00B37BB2" w:rsidRPr="00FD6B52">
              <w:t>.</w:t>
            </w:r>
          </w:p>
        </w:tc>
      </w:tr>
      <w:tr w:rsidR="00F9458B" w:rsidRPr="00F9458B" w14:paraId="22A8B548" w14:textId="77777777" w:rsidTr="00405F47">
        <w:trPr>
          <w:cantSplit/>
        </w:trPr>
        <w:tc>
          <w:tcPr>
            <w:tcW w:w="1574" w:type="dxa"/>
          </w:tcPr>
          <w:p w14:paraId="2C2E716F" w14:textId="77777777" w:rsidR="00F9458B" w:rsidRPr="008A6671" w:rsidRDefault="00F9458B" w:rsidP="00F9458B">
            <w:r w:rsidRPr="008A6671">
              <w:t>Purpose</w:t>
            </w:r>
          </w:p>
        </w:tc>
        <w:tc>
          <w:tcPr>
            <w:tcW w:w="8388" w:type="dxa"/>
          </w:tcPr>
          <w:p w14:paraId="0CC275AF" w14:textId="0CC38200" w:rsidR="00F9458B" w:rsidRPr="008A6671" w:rsidRDefault="00F9458B" w:rsidP="00F9458B">
            <w:pPr>
              <w:rPr>
                <w:rFonts w:eastAsia="Calibri"/>
              </w:rPr>
            </w:pPr>
            <w:r w:rsidRPr="008A6671">
              <w:rPr>
                <w:rFonts w:eastAsia="Calibri"/>
              </w:rPr>
              <w:t>Screening programs are effective in the early detection of cancers in people with no symptoms. This allows for the early treatment of discovered cancers and reduces death rates. Participation in screening programs is the single most important factor in achieving these outcomes and can be measured and reported for target populations</w:t>
            </w:r>
            <w:r w:rsidR="00E40FD7">
              <w:rPr>
                <w:rFonts w:eastAsia="Calibri"/>
              </w:rPr>
              <w:t>.</w:t>
            </w:r>
          </w:p>
          <w:p w14:paraId="1B29838F" w14:textId="418D2400" w:rsidR="00F9458B" w:rsidRPr="008A6671" w:rsidRDefault="00F9458B" w:rsidP="00F9458B">
            <w:r w:rsidRPr="008A6671">
              <w:rPr>
                <w:rFonts w:eastAsia="Calibri"/>
              </w:rPr>
              <w:t>PHNs can help to improve participation rates in the national breast, bowel and cervical cancer screening programs, particularly in regions with low screening participation rates</w:t>
            </w:r>
            <w:r w:rsidR="00B37BB2">
              <w:rPr>
                <w:rFonts w:eastAsia="Calibri"/>
              </w:rPr>
              <w:t>.</w:t>
            </w:r>
          </w:p>
        </w:tc>
      </w:tr>
      <w:tr w:rsidR="00F9458B" w:rsidRPr="00F9458B" w14:paraId="34036530" w14:textId="77777777" w:rsidTr="00405F47">
        <w:trPr>
          <w:cantSplit/>
        </w:trPr>
        <w:tc>
          <w:tcPr>
            <w:tcW w:w="1574" w:type="dxa"/>
          </w:tcPr>
          <w:p w14:paraId="3D3F44B4" w14:textId="77777777" w:rsidR="00F9458B" w:rsidRPr="008A6671" w:rsidRDefault="00F9458B" w:rsidP="00F9458B">
            <w:r w:rsidRPr="008A6671">
              <w:lastRenderedPageBreak/>
              <w:t>Outcome Theme: Quality Care</w:t>
            </w:r>
          </w:p>
        </w:tc>
        <w:tc>
          <w:tcPr>
            <w:tcW w:w="8388" w:type="dxa"/>
          </w:tcPr>
          <w:p w14:paraId="3F3B740C" w14:textId="77777777" w:rsidR="00F9458B" w:rsidRPr="008A6671" w:rsidRDefault="00F9458B" w:rsidP="00F9458B">
            <w:pPr>
              <w:rPr>
                <w:rFonts w:eastAsia="Calibri"/>
              </w:rPr>
            </w:pPr>
            <w:r w:rsidRPr="008A6671">
              <w:rPr>
                <w:rFonts w:eastAsia="Calibri"/>
              </w:rPr>
              <w:t>Outcome:</w:t>
            </w:r>
          </w:p>
          <w:p w14:paraId="66DFD536" w14:textId="1FC9B14C" w:rsidR="00F9458B" w:rsidRPr="008A6671" w:rsidRDefault="00F9458B" w:rsidP="00F9458B">
            <w:pPr>
              <w:rPr>
                <w:rFonts w:eastAsia="Calibri"/>
              </w:rPr>
            </w:pPr>
            <w:r w:rsidRPr="008A6671">
              <w:rPr>
                <w:rFonts w:eastAsia="Calibri"/>
              </w:rPr>
              <w:t>PHNs support health care providers to address factors impacting population health</w:t>
            </w:r>
            <w:r w:rsidR="00B37BB2">
              <w:rPr>
                <w:rFonts w:eastAsia="Calibri"/>
              </w:rPr>
              <w:t>.</w:t>
            </w:r>
          </w:p>
        </w:tc>
      </w:tr>
      <w:tr w:rsidR="00F9458B" w:rsidRPr="00F9458B" w14:paraId="676A10F7" w14:textId="77777777" w:rsidTr="00405F47">
        <w:trPr>
          <w:cantSplit/>
        </w:trPr>
        <w:tc>
          <w:tcPr>
            <w:tcW w:w="1574" w:type="dxa"/>
          </w:tcPr>
          <w:p w14:paraId="014DC3D9" w14:textId="77777777" w:rsidR="00F9458B" w:rsidRPr="008A6671" w:rsidRDefault="00F9458B" w:rsidP="00F9458B">
            <w:r w:rsidRPr="008A6671">
              <w:t>Performance Criteria</w:t>
            </w:r>
          </w:p>
        </w:tc>
        <w:tc>
          <w:tcPr>
            <w:tcW w:w="8388" w:type="dxa"/>
          </w:tcPr>
          <w:p w14:paraId="1D9E9295" w14:textId="7B2B024E" w:rsidR="00F9458B" w:rsidRPr="008A6671" w:rsidRDefault="00A75699" w:rsidP="00F9458B">
            <w:r w:rsidRPr="008A6671">
              <w:t>This item does not have performance criteria or a target. It provides context for other indicators and a reference to the healthcare landscape in which PHNs are operating.</w:t>
            </w:r>
          </w:p>
        </w:tc>
      </w:tr>
      <w:tr w:rsidR="00F9458B" w:rsidRPr="00F9458B" w14:paraId="23B791F8" w14:textId="77777777" w:rsidTr="00405F47">
        <w:trPr>
          <w:cantSplit/>
        </w:trPr>
        <w:tc>
          <w:tcPr>
            <w:tcW w:w="1574" w:type="dxa"/>
          </w:tcPr>
          <w:p w14:paraId="6B19CA14" w14:textId="77777777" w:rsidR="00F9458B" w:rsidRPr="008A6671" w:rsidRDefault="00F9458B" w:rsidP="00F9458B">
            <w:r w:rsidRPr="008A6671">
              <w:t>Data Source</w:t>
            </w:r>
          </w:p>
        </w:tc>
        <w:tc>
          <w:tcPr>
            <w:tcW w:w="8388" w:type="dxa"/>
          </w:tcPr>
          <w:p w14:paraId="576A4A77" w14:textId="0A60606D" w:rsidR="00F9458B" w:rsidRPr="008A6671" w:rsidRDefault="008C66D4" w:rsidP="00F9458B">
            <w:r w:rsidRPr="008A6671">
              <w:rPr>
                <w:rFonts w:eastAsia="Calibri"/>
              </w:rPr>
              <w:t>AIHW</w:t>
            </w:r>
            <w:r w:rsidR="00B75832" w:rsidRPr="008A6671">
              <w:rPr>
                <w:rFonts w:eastAsia="Calibri"/>
              </w:rPr>
              <w:t xml:space="preserve">; </w:t>
            </w:r>
            <w:r w:rsidR="00F9458B" w:rsidRPr="008A6671">
              <w:rPr>
                <w:rFonts w:eastAsia="Calibri"/>
              </w:rPr>
              <w:t>Breast</w:t>
            </w:r>
            <w:r w:rsidR="00964D18" w:rsidRPr="008A6671">
              <w:rPr>
                <w:rFonts w:eastAsia="Calibri"/>
              </w:rPr>
              <w:t xml:space="preserve"> </w:t>
            </w:r>
            <w:r w:rsidR="00F9458B" w:rsidRPr="008A6671">
              <w:rPr>
                <w:rFonts w:eastAsia="Calibri"/>
              </w:rPr>
              <w:t xml:space="preserve">Screen Australia </w:t>
            </w:r>
            <w:r w:rsidR="00CA5930" w:rsidRPr="008A6671">
              <w:rPr>
                <w:rFonts w:eastAsia="Calibri"/>
              </w:rPr>
              <w:t>Monitoring Report</w:t>
            </w:r>
            <w:r w:rsidR="00F9458B" w:rsidRPr="008A6671">
              <w:rPr>
                <w:rFonts w:eastAsia="Calibri"/>
              </w:rPr>
              <w:t xml:space="preserve">, </w:t>
            </w:r>
            <w:r w:rsidR="00E45C12" w:rsidRPr="008A6671">
              <w:rPr>
                <w:rFonts w:eastAsia="Calibri"/>
              </w:rPr>
              <w:t xml:space="preserve">National </w:t>
            </w:r>
            <w:r w:rsidR="00F9458B" w:rsidRPr="008A6671">
              <w:rPr>
                <w:rFonts w:eastAsia="Calibri"/>
              </w:rPr>
              <w:t xml:space="preserve">Bowel </w:t>
            </w:r>
            <w:r w:rsidR="008B507E">
              <w:rPr>
                <w:rFonts w:eastAsia="Calibri"/>
              </w:rPr>
              <w:t xml:space="preserve">Cancer </w:t>
            </w:r>
            <w:r w:rsidR="00F9458B" w:rsidRPr="008A6671">
              <w:rPr>
                <w:rFonts w:eastAsia="Calibri"/>
              </w:rPr>
              <w:t>Screening Program</w:t>
            </w:r>
            <w:r w:rsidR="00754E60" w:rsidRPr="008A6671">
              <w:rPr>
                <w:rFonts w:eastAsia="Calibri"/>
              </w:rPr>
              <w:t xml:space="preserve"> </w:t>
            </w:r>
            <w:r w:rsidR="00E67402" w:rsidRPr="008A6671">
              <w:rPr>
                <w:rFonts w:eastAsia="Calibri"/>
              </w:rPr>
              <w:t>(NB</w:t>
            </w:r>
            <w:r w:rsidR="008B507E">
              <w:rPr>
                <w:rFonts w:eastAsia="Calibri"/>
              </w:rPr>
              <w:t>C</w:t>
            </w:r>
            <w:r w:rsidR="00E67402" w:rsidRPr="008A6671">
              <w:rPr>
                <w:rFonts w:eastAsia="Calibri"/>
              </w:rPr>
              <w:t>SP)</w:t>
            </w:r>
            <w:r w:rsidR="00754E60" w:rsidRPr="008A6671">
              <w:rPr>
                <w:rFonts w:eastAsia="Calibri"/>
              </w:rPr>
              <w:t xml:space="preserve"> Monitoring Report</w:t>
            </w:r>
            <w:r w:rsidR="00F9458B" w:rsidRPr="008A6671">
              <w:rPr>
                <w:rFonts w:eastAsia="Calibri"/>
              </w:rPr>
              <w:t xml:space="preserve"> and </w:t>
            </w:r>
            <w:r w:rsidR="00012A02" w:rsidRPr="008A6671">
              <w:rPr>
                <w:rFonts w:eastAsia="Calibri"/>
              </w:rPr>
              <w:t>National</w:t>
            </w:r>
            <w:r w:rsidR="00F9458B" w:rsidRPr="008A6671">
              <w:rPr>
                <w:rFonts w:eastAsia="Calibri"/>
              </w:rPr>
              <w:t xml:space="preserve"> Cervical Screening Program</w:t>
            </w:r>
            <w:r w:rsidR="00A53CFF" w:rsidRPr="008A6671">
              <w:rPr>
                <w:rFonts w:eastAsia="Calibri"/>
              </w:rPr>
              <w:t xml:space="preserve"> </w:t>
            </w:r>
            <w:r w:rsidR="00F97247" w:rsidRPr="008A6671">
              <w:rPr>
                <w:rFonts w:eastAsia="Calibri"/>
              </w:rPr>
              <w:t>(NCSP)</w:t>
            </w:r>
            <w:r w:rsidR="00A53CFF" w:rsidRPr="008A6671">
              <w:rPr>
                <w:rFonts w:eastAsia="Calibri"/>
              </w:rPr>
              <w:t xml:space="preserve"> Monitoring Report</w:t>
            </w:r>
            <w:r w:rsidR="001D768C" w:rsidRPr="008A6671">
              <w:rPr>
                <w:rFonts w:eastAsia="Calibri"/>
              </w:rPr>
              <w:t>.</w:t>
            </w:r>
          </w:p>
        </w:tc>
      </w:tr>
      <w:tr w:rsidR="00F9458B" w:rsidRPr="00F9458B" w14:paraId="0880F652" w14:textId="77777777" w:rsidTr="00405F47">
        <w:trPr>
          <w:cantSplit/>
        </w:trPr>
        <w:tc>
          <w:tcPr>
            <w:tcW w:w="1574" w:type="dxa"/>
          </w:tcPr>
          <w:p w14:paraId="5467AFA8" w14:textId="77777777" w:rsidR="00F9458B" w:rsidRPr="008A6671" w:rsidRDefault="00F9458B" w:rsidP="00F9458B">
            <w:r w:rsidRPr="008A6671">
              <w:t>Calculation</w:t>
            </w:r>
          </w:p>
        </w:tc>
        <w:tc>
          <w:tcPr>
            <w:tcW w:w="8388" w:type="dxa"/>
          </w:tcPr>
          <w:p w14:paraId="3CFCEC3C" w14:textId="3D7EC36A" w:rsidR="003376AE" w:rsidRPr="008A6671" w:rsidRDefault="00D86143" w:rsidP="00F9458B">
            <w:pPr>
              <w:rPr>
                <w:rFonts w:eastAsia="Calibri"/>
              </w:rPr>
            </w:pPr>
            <w:r w:rsidRPr="008A6671">
              <w:rPr>
                <w:rFonts w:eastAsia="Calibri"/>
              </w:rPr>
              <w:t>Data availability differs between each cancer screening progra</w:t>
            </w:r>
            <w:r w:rsidR="00E57003" w:rsidRPr="008A6671">
              <w:rPr>
                <w:rFonts w:eastAsia="Calibri"/>
              </w:rPr>
              <w:t>m</w:t>
            </w:r>
            <w:r w:rsidR="002B4170" w:rsidRPr="008A6671">
              <w:rPr>
                <w:rFonts w:eastAsia="Calibri"/>
              </w:rPr>
              <w:t xml:space="preserve"> due to the methods of collection and monitoring</w:t>
            </w:r>
            <w:r w:rsidR="003376AE" w:rsidRPr="008A6671">
              <w:rPr>
                <w:rFonts w:eastAsia="Calibri"/>
              </w:rPr>
              <w:t>:</w:t>
            </w:r>
          </w:p>
          <w:p w14:paraId="1EFB4EE6" w14:textId="739E0F01" w:rsidR="00A2791D" w:rsidRPr="008A6671" w:rsidRDefault="00012A02" w:rsidP="00716651">
            <w:pPr>
              <w:pStyle w:val="ListBullet"/>
            </w:pPr>
            <w:r w:rsidRPr="008A6671">
              <w:t xml:space="preserve">National </w:t>
            </w:r>
            <w:r w:rsidR="00702FED" w:rsidRPr="008A6671">
              <w:t>Cervical</w:t>
            </w:r>
            <w:r w:rsidRPr="008A6671">
              <w:t xml:space="preserve"> Screening Program </w:t>
            </w:r>
            <w:r w:rsidR="00BD20FE" w:rsidRPr="008A6671">
              <w:t>data</w:t>
            </w:r>
            <w:r w:rsidRPr="008A6671">
              <w:t xml:space="preserve"> is </w:t>
            </w:r>
            <w:r w:rsidR="000543EA" w:rsidRPr="008A6671">
              <w:t>published annually</w:t>
            </w:r>
            <w:r w:rsidR="00D56847" w:rsidRPr="008A6671">
              <w:t xml:space="preserve"> however </w:t>
            </w:r>
            <w:r w:rsidR="0079706D" w:rsidRPr="008A6671">
              <w:t>is only a</w:t>
            </w:r>
            <w:r w:rsidR="007A5125" w:rsidRPr="008A6671">
              <w:t xml:space="preserve">vailable for </w:t>
            </w:r>
            <w:r w:rsidR="00F352DA" w:rsidRPr="008A6671">
              <w:t>aggregate years</w:t>
            </w:r>
            <w:r w:rsidR="005A0A54" w:rsidRPr="008A6671">
              <w:t xml:space="preserve"> at </w:t>
            </w:r>
            <w:r w:rsidR="00351E69" w:rsidRPr="008A6671">
              <w:t xml:space="preserve">PHN level. </w:t>
            </w:r>
            <w:r w:rsidR="00A93A8F" w:rsidRPr="008A6671">
              <w:t>In addition</w:t>
            </w:r>
            <w:r w:rsidR="000534E0" w:rsidRPr="008A6671">
              <w:t>, delays in the completeness of some data impacts</w:t>
            </w:r>
            <w:r w:rsidR="00A93A8F" w:rsidRPr="008A6671" w:rsidDel="000534E0">
              <w:t xml:space="preserve"> </w:t>
            </w:r>
            <w:r w:rsidR="0094330E" w:rsidRPr="008A6671">
              <w:t xml:space="preserve">on calculation of performance indicators and </w:t>
            </w:r>
            <w:r w:rsidR="0013166A" w:rsidRPr="008A6671">
              <w:t xml:space="preserve">how soon data can be used. </w:t>
            </w:r>
          </w:p>
          <w:p w14:paraId="28CAB4B2" w14:textId="37D91B5B" w:rsidR="00F9458B" w:rsidRPr="008A6671" w:rsidRDefault="00F9458B" w:rsidP="00F9458B">
            <w:pPr>
              <w:rPr>
                <w:rFonts w:eastAsia="Calibri"/>
              </w:rPr>
            </w:pPr>
            <w:r w:rsidRPr="008A6671">
              <w:rPr>
                <w:rFonts w:eastAsia="Calibri"/>
              </w:rPr>
              <w:t>Numerator:</w:t>
            </w:r>
          </w:p>
          <w:p w14:paraId="0382E364" w14:textId="4A149B31" w:rsidR="00F9458B" w:rsidRPr="008A6671" w:rsidRDefault="00F9458B" w:rsidP="00F9458B">
            <w:pPr>
              <w:rPr>
                <w:rFonts w:eastAsia="Calibri"/>
              </w:rPr>
            </w:pPr>
            <w:r w:rsidRPr="008A6671">
              <w:rPr>
                <w:rFonts w:eastAsia="Calibri"/>
              </w:rPr>
              <w:t>Participants in screening</w:t>
            </w:r>
            <w:r w:rsidR="00E40FD7">
              <w:rPr>
                <w:rFonts w:eastAsia="Calibri"/>
              </w:rPr>
              <w:t>.</w:t>
            </w:r>
          </w:p>
          <w:p w14:paraId="4F5A14D2" w14:textId="77777777" w:rsidR="00F9458B" w:rsidRPr="008A6671" w:rsidRDefault="00F9458B" w:rsidP="00F9458B">
            <w:pPr>
              <w:rPr>
                <w:rFonts w:eastAsia="Calibri"/>
              </w:rPr>
            </w:pPr>
            <w:r w:rsidRPr="008A6671">
              <w:rPr>
                <w:rFonts w:eastAsia="Calibri"/>
              </w:rPr>
              <w:t>Denominator:</w:t>
            </w:r>
          </w:p>
          <w:p w14:paraId="4DDD9D8C" w14:textId="1DE2DC4C" w:rsidR="00F9458B" w:rsidRPr="008A6671" w:rsidRDefault="00F9458B" w:rsidP="00F9458B">
            <w:pPr>
              <w:rPr>
                <w:rFonts w:eastAsia="Calibri"/>
              </w:rPr>
            </w:pPr>
            <w:r w:rsidRPr="008A6671">
              <w:rPr>
                <w:rFonts w:eastAsia="Calibri"/>
              </w:rPr>
              <w:t xml:space="preserve">Estimate of persons in </w:t>
            </w:r>
            <w:r w:rsidR="005E71CE">
              <w:rPr>
                <w:rFonts w:eastAsia="Calibri"/>
              </w:rPr>
              <w:t>screening</w:t>
            </w:r>
            <w:r w:rsidRPr="008A6671">
              <w:rPr>
                <w:rFonts w:eastAsia="Calibri"/>
              </w:rPr>
              <w:t xml:space="preserve"> population</w:t>
            </w:r>
            <w:r w:rsidR="005E71CE">
              <w:rPr>
                <w:rFonts w:eastAsia="Calibri"/>
              </w:rPr>
              <w:t xml:space="preserve"> cohort</w:t>
            </w:r>
            <w:r w:rsidR="00E40FD7">
              <w:rPr>
                <w:rFonts w:eastAsia="Calibri"/>
              </w:rPr>
              <w:t>.</w:t>
            </w:r>
          </w:p>
          <w:p w14:paraId="49F1D4DB" w14:textId="77777777" w:rsidR="00F9458B" w:rsidRPr="008A6671" w:rsidRDefault="00F9458B" w:rsidP="00F9458B">
            <w:pPr>
              <w:rPr>
                <w:rFonts w:eastAsia="Calibri"/>
              </w:rPr>
            </w:pPr>
            <w:r w:rsidRPr="008A6671">
              <w:rPr>
                <w:rFonts w:eastAsia="Calibri"/>
              </w:rPr>
              <w:t>Computation:</w:t>
            </w:r>
          </w:p>
          <w:p w14:paraId="5D7FBCF5" w14:textId="42636523" w:rsidR="00F9458B" w:rsidRPr="008A6671" w:rsidRDefault="00F9458B" w:rsidP="00F9458B">
            <w:pPr>
              <w:rPr>
                <w:rFonts w:eastAsia="Calibri"/>
              </w:rPr>
            </w:pPr>
            <w:r w:rsidRPr="008A6671">
              <w:rPr>
                <w:rFonts w:eastAsia="Calibri"/>
              </w:rPr>
              <w:t>100 x (numerator / denominator) presented as a percentage in PHN region</w:t>
            </w:r>
            <w:r w:rsidR="00B37BB2">
              <w:rPr>
                <w:rFonts w:eastAsia="Calibri"/>
              </w:rPr>
              <w:t>.</w:t>
            </w:r>
          </w:p>
        </w:tc>
      </w:tr>
      <w:tr w:rsidR="00F9458B" w:rsidRPr="00F9458B" w14:paraId="7977E529" w14:textId="77777777" w:rsidTr="00405F47">
        <w:trPr>
          <w:cantSplit/>
        </w:trPr>
        <w:tc>
          <w:tcPr>
            <w:tcW w:w="1574" w:type="dxa"/>
          </w:tcPr>
          <w:p w14:paraId="5676702B" w14:textId="77777777" w:rsidR="00F9458B" w:rsidRPr="008A6671" w:rsidRDefault="00F9458B" w:rsidP="00F9458B">
            <w:r w:rsidRPr="008A6671">
              <w:t>Limitations</w:t>
            </w:r>
          </w:p>
        </w:tc>
        <w:tc>
          <w:tcPr>
            <w:tcW w:w="8388" w:type="dxa"/>
          </w:tcPr>
          <w:p w14:paraId="18BA0D4C" w14:textId="0980FB08" w:rsidR="00F9458B" w:rsidRPr="008A6671" w:rsidRDefault="009D5C3D" w:rsidP="00F9458B">
            <w:pPr>
              <w:rPr>
                <w:rFonts w:eastAsia="Calibri"/>
              </w:rPr>
            </w:pPr>
            <w:r w:rsidRPr="008A6671">
              <w:rPr>
                <w:rFonts w:eastAsia="Calibri"/>
              </w:rPr>
              <w:t>First Nations</w:t>
            </w:r>
            <w:r w:rsidR="00F9458B" w:rsidRPr="008A6671">
              <w:rPr>
                <w:rFonts w:eastAsia="Calibri"/>
              </w:rPr>
              <w:t xml:space="preserve"> populations and culturally and linguistically diverse populations are not routinely identified in all cancer screening registers</w:t>
            </w:r>
            <w:r w:rsidR="0028507E" w:rsidRPr="008A6671">
              <w:rPr>
                <w:rFonts w:eastAsia="Calibri"/>
              </w:rPr>
              <w:t>.</w:t>
            </w:r>
          </w:p>
          <w:p w14:paraId="349CD0C3" w14:textId="342B263E" w:rsidR="00F9458B" w:rsidRPr="008A6671" w:rsidRDefault="009D5C3D" w:rsidP="00F9458B">
            <w:pPr>
              <w:rPr>
                <w:rFonts w:eastAsia="Calibri"/>
              </w:rPr>
            </w:pPr>
            <w:r w:rsidRPr="008A6671">
              <w:rPr>
                <w:rFonts w:eastAsia="Calibri"/>
              </w:rPr>
              <w:t>First Nations</w:t>
            </w:r>
            <w:r w:rsidR="00F9458B" w:rsidRPr="008A6671">
              <w:rPr>
                <w:rFonts w:eastAsia="Calibri"/>
              </w:rPr>
              <w:t xml:space="preserve"> population data is only available at PHN level for breast screening participation</w:t>
            </w:r>
            <w:r w:rsidR="0028507E" w:rsidRPr="008A6671">
              <w:rPr>
                <w:rFonts w:eastAsia="Calibri"/>
              </w:rPr>
              <w:t>.</w:t>
            </w:r>
          </w:p>
          <w:p w14:paraId="7F018C7F" w14:textId="01EDB7A6" w:rsidR="00F9458B" w:rsidRPr="008A6671" w:rsidRDefault="00F9458B" w:rsidP="00F9458B">
            <w:r w:rsidRPr="008A6671">
              <w:rPr>
                <w:rFonts w:eastAsia="Calibri"/>
              </w:rPr>
              <w:t>Due to the introduction of the Cervical Screening Test and the change to the screening population, there will be no baseline data available for the Cervical Screening Program</w:t>
            </w:r>
            <w:r w:rsidR="00B37BB2">
              <w:rPr>
                <w:rFonts w:eastAsia="Calibri"/>
              </w:rPr>
              <w:t>.</w:t>
            </w:r>
          </w:p>
        </w:tc>
      </w:tr>
      <w:tr w:rsidR="00F9458B" w:rsidRPr="00F9458B" w14:paraId="4893A39F" w14:textId="77777777" w:rsidTr="00405F47">
        <w:trPr>
          <w:cantSplit/>
        </w:trPr>
        <w:tc>
          <w:tcPr>
            <w:tcW w:w="1574" w:type="dxa"/>
          </w:tcPr>
          <w:p w14:paraId="079F4E02" w14:textId="77777777" w:rsidR="00F9458B" w:rsidRPr="008A6671" w:rsidRDefault="00F9458B" w:rsidP="00F9458B">
            <w:r w:rsidRPr="008A6671">
              <w:t>Additional information</w:t>
            </w:r>
          </w:p>
        </w:tc>
        <w:tc>
          <w:tcPr>
            <w:tcW w:w="8388" w:type="dxa"/>
          </w:tcPr>
          <w:p w14:paraId="05805CCD" w14:textId="77777777" w:rsidR="00F9458B" w:rsidRPr="008A6671" w:rsidRDefault="00F9458B" w:rsidP="00F9458B">
            <w:pPr>
              <w:rPr>
                <w:rFonts w:eastAsia="Calibri"/>
              </w:rPr>
            </w:pPr>
            <w:r w:rsidRPr="008A6671">
              <w:rPr>
                <w:rFonts w:eastAsia="Calibri"/>
              </w:rPr>
              <w:t>Future developments:</w:t>
            </w:r>
          </w:p>
          <w:p w14:paraId="7F1944A6" w14:textId="77777777" w:rsidR="00360361" w:rsidRDefault="00A1680E" w:rsidP="00660068">
            <w:pPr>
              <w:rPr>
                <w:rFonts w:eastAsia="Calibri"/>
              </w:rPr>
            </w:pPr>
            <w:r>
              <w:rPr>
                <w:rFonts w:eastAsia="Calibri"/>
              </w:rPr>
              <w:t xml:space="preserve">From 1 July 2024, people aged 45-49 years old became eligible to screen through the </w:t>
            </w:r>
            <w:r w:rsidR="001A53D6">
              <w:rPr>
                <w:rFonts w:eastAsia="Calibri"/>
              </w:rPr>
              <w:t xml:space="preserve">NBCSP </w:t>
            </w:r>
            <w:r>
              <w:rPr>
                <w:rFonts w:eastAsia="Calibri"/>
              </w:rPr>
              <w:t xml:space="preserve">and can now request their first bowel cancer screening kit be sent to them. </w:t>
            </w:r>
            <w:r w:rsidR="00233173" w:rsidRPr="00360361">
              <w:rPr>
                <w:rFonts w:eastAsia="Calibri"/>
              </w:rPr>
              <w:t xml:space="preserve">Due to the ‘opt in’ nature of their engagement with the </w:t>
            </w:r>
            <w:r w:rsidR="000554B0">
              <w:rPr>
                <w:rFonts w:eastAsia="Calibri"/>
              </w:rPr>
              <w:t>NBCSP</w:t>
            </w:r>
            <w:r w:rsidR="00233173" w:rsidRPr="00360361">
              <w:rPr>
                <w:rFonts w:eastAsia="Calibri"/>
              </w:rPr>
              <w:t xml:space="preserve">, the calculation of participation of the new </w:t>
            </w:r>
            <w:proofErr w:type="gramStart"/>
            <w:r w:rsidR="00233173" w:rsidRPr="00360361">
              <w:rPr>
                <w:rFonts w:eastAsia="Calibri"/>
              </w:rPr>
              <w:t>45-49 year old</w:t>
            </w:r>
            <w:proofErr w:type="gramEnd"/>
            <w:r w:rsidR="00233173" w:rsidRPr="00360361">
              <w:rPr>
                <w:rFonts w:eastAsia="Calibri"/>
              </w:rPr>
              <w:t xml:space="preserve"> </w:t>
            </w:r>
            <w:r w:rsidR="00AB3B6F">
              <w:rPr>
                <w:rFonts w:eastAsia="Calibri"/>
              </w:rPr>
              <w:t xml:space="preserve">cohort </w:t>
            </w:r>
            <w:r w:rsidR="00233173" w:rsidRPr="00360361">
              <w:rPr>
                <w:rFonts w:eastAsia="Calibri"/>
              </w:rPr>
              <w:t>is being refined.</w:t>
            </w:r>
            <w:r w:rsidR="000554B0">
              <w:rPr>
                <w:rFonts w:eastAsia="Calibri"/>
              </w:rPr>
              <w:t xml:space="preserve"> </w:t>
            </w:r>
            <w:r>
              <w:rPr>
                <w:rFonts w:eastAsia="Calibri"/>
              </w:rPr>
              <w:t>People aged 50-74 years old will continue to receive a bowel cancer screening kit in the post. People receiving a screening kit will continue to do so every 2 years.</w:t>
            </w:r>
          </w:p>
          <w:p w14:paraId="19CBFED6" w14:textId="217C5CBD" w:rsidR="008477D3" w:rsidRPr="00F972FF" w:rsidRDefault="00C20146" w:rsidP="008477D3">
            <w:pPr>
              <w:rPr>
                <w:rFonts w:eastAsia="Calibri"/>
              </w:rPr>
            </w:pPr>
            <w:r>
              <w:rPr>
                <w:rFonts w:eastAsia="Calibri"/>
              </w:rPr>
              <w:t xml:space="preserve">A </w:t>
            </w:r>
            <w:r w:rsidR="00F9458B" w:rsidRPr="008A6671">
              <w:rPr>
                <w:rFonts w:eastAsia="Calibri"/>
              </w:rPr>
              <w:t>Cervical Screening Test</w:t>
            </w:r>
            <w:r w:rsidR="008477D3">
              <w:rPr>
                <w:rFonts w:eastAsia="Calibri"/>
              </w:rPr>
              <w:t xml:space="preserve"> is</w:t>
            </w:r>
            <w:r w:rsidR="008477D3" w:rsidRPr="00F972FF">
              <w:rPr>
                <w:rFonts w:eastAsia="Calibri"/>
              </w:rPr>
              <w:t xml:space="preserve"> undertaken</w:t>
            </w:r>
            <w:r w:rsidR="00F9458B" w:rsidRPr="008A6671">
              <w:rPr>
                <w:rFonts w:eastAsia="Calibri"/>
              </w:rPr>
              <w:t xml:space="preserve"> every </w:t>
            </w:r>
            <w:r w:rsidR="008477D3" w:rsidRPr="00F972FF">
              <w:rPr>
                <w:rFonts w:eastAsia="Calibri"/>
              </w:rPr>
              <w:t>five</w:t>
            </w:r>
            <w:r w:rsidR="00F9458B" w:rsidRPr="008A6671">
              <w:rPr>
                <w:rFonts w:eastAsia="Calibri"/>
              </w:rPr>
              <w:t xml:space="preserve"> years</w:t>
            </w:r>
            <w:r w:rsidR="008477D3" w:rsidRPr="00F972FF">
              <w:rPr>
                <w:rFonts w:eastAsia="Calibri"/>
              </w:rPr>
              <w:t xml:space="preserve"> in women and people with a cervix 25-74 years of age, using a primary human papillomavirus (HPV) test with partial genotyping</w:t>
            </w:r>
            <w:r w:rsidR="008477D3" w:rsidRPr="008E5D2E">
              <w:rPr>
                <w:rFonts w:eastAsia="Calibri"/>
              </w:rPr>
              <w:t xml:space="preserve"> and </w:t>
            </w:r>
            <w:r w:rsidR="008477D3" w:rsidRPr="00F972FF">
              <w:rPr>
                <w:rFonts w:eastAsia="Calibri"/>
              </w:rPr>
              <w:t>liquid-based cytology triage.</w:t>
            </w:r>
          </w:p>
          <w:p w14:paraId="541F1C75" w14:textId="74EFD253" w:rsidR="00F9458B" w:rsidRPr="008A6671" w:rsidRDefault="008477D3" w:rsidP="00660068">
            <w:r>
              <w:rPr>
                <w:rFonts w:eastAsia="Calibri"/>
              </w:rPr>
              <w:t>From 1 July 2022, a</w:t>
            </w:r>
            <w:r w:rsidRPr="00F972FF">
              <w:rPr>
                <w:rFonts w:eastAsia="Calibri"/>
              </w:rPr>
              <w:t>nyone eligible for a Cervical Screening</w:t>
            </w:r>
            <w:r w:rsidR="00F9458B" w:rsidRPr="008A6671">
              <w:rPr>
                <w:rFonts w:eastAsia="Calibri"/>
              </w:rPr>
              <w:t xml:space="preserve"> Test </w:t>
            </w:r>
            <w:r>
              <w:rPr>
                <w:rFonts w:eastAsia="Calibri"/>
              </w:rPr>
              <w:t>is</w:t>
            </w:r>
            <w:r w:rsidRPr="00F972FF">
              <w:rPr>
                <w:rFonts w:eastAsia="Calibri"/>
              </w:rPr>
              <w:t xml:space="preserve"> given a choice of HPV testing either through self-collection</w:t>
            </w:r>
            <w:r w:rsidRPr="00665D8A">
              <w:rPr>
                <w:rFonts w:eastAsia="Calibri"/>
              </w:rPr>
              <w:t xml:space="preserve"> </w:t>
            </w:r>
            <w:r w:rsidRPr="00F972FF">
              <w:rPr>
                <w:rFonts w:eastAsia="Calibri"/>
              </w:rPr>
              <w:t>of a vaginal sample or clinician-collection of a sample from the cervix.</w:t>
            </w:r>
          </w:p>
        </w:tc>
      </w:tr>
    </w:tbl>
    <w:p w14:paraId="62F8F2E9" w14:textId="77777777" w:rsidR="00F9458B" w:rsidRPr="008A6671" w:rsidRDefault="00F9458B" w:rsidP="00F9458B">
      <w:r w:rsidRPr="008A6671">
        <w:br w:type="page"/>
      </w:r>
    </w:p>
    <w:p w14:paraId="038BC0EC" w14:textId="262101B9" w:rsidR="00F9458B" w:rsidRPr="00F9458B" w:rsidRDefault="00F9458B" w:rsidP="00034E43">
      <w:pPr>
        <w:pStyle w:val="Heading1Orange"/>
      </w:pPr>
      <w:bookmarkStart w:id="120" w:name="_Toc176250625"/>
      <w:bookmarkStart w:id="121" w:name="_Toc522013919"/>
      <w:bookmarkStart w:id="122" w:name="_Toc197069399"/>
      <w:r w:rsidRPr="00F9458B">
        <w:lastRenderedPageBreak/>
        <w:t>Workforce indicators</w:t>
      </w:r>
      <w:bookmarkEnd w:id="120"/>
      <w:bookmarkEnd w:id="121"/>
      <w:bookmarkEnd w:id="122"/>
    </w:p>
    <w:p w14:paraId="2374BCE8" w14:textId="2CA4AD20" w:rsidR="00F9458B" w:rsidRPr="00665D8A" w:rsidRDefault="00F04FED" w:rsidP="00665D8A">
      <w:pPr>
        <w:pStyle w:val="Heading2"/>
      </w:pPr>
      <w:bookmarkStart w:id="123" w:name="_Toc517267777"/>
      <w:bookmarkStart w:id="124" w:name="_Toc517334452"/>
      <w:bookmarkStart w:id="125" w:name="_Toc517769826"/>
      <w:r w:rsidRPr="00665D8A">
        <w:t>W1: Rate of drug and alcohol treatment service providers with suitable accreditation</w:t>
      </w:r>
      <w:bookmarkEnd w:id="123"/>
      <w:bookmarkEnd w:id="124"/>
      <w:bookmarkEnd w:id="125"/>
    </w:p>
    <w:tbl>
      <w:tblPr>
        <w:tblStyle w:val="PHNTealtable"/>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4A0" w:firstRow="1" w:lastRow="0" w:firstColumn="1" w:lastColumn="0" w:noHBand="0" w:noVBand="1"/>
        <w:tblDescription w:val="This table details indicator W1: Rate of drug and alcohol providers with suitable accreditation. It is comprised of two columns, and 11 rows. Column one provides the Item of the indicator, and Column two outlines the corresponding description.&#10;"/>
      </w:tblPr>
      <w:tblGrid>
        <w:gridCol w:w="1571"/>
        <w:gridCol w:w="8156"/>
      </w:tblGrid>
      <w:tr w:rsidR="00F9458B" w:rsidRPr="00F9458B" w14:paraId="44A09AB5" w14:textId="77777777" w:rsidTr="3A68ABF3">
        <w:trPr>
          <w:cnfStyle w:val="100000000000" w:firstRow="1" w:lastRow="0" w:firstColumn="0" w:lastColumn="0" w:oddVBand="0" w:evenVBand="0" w:oddHBand="0" w:evenHBand="0" w:firstRowFirstColumn="0" w:firstRowLastColumn="0" w:lastRowFirstColumn="0" w:lastRowLastColumn="0"/>
          <w:tblHeader/>
        </w:trPr>
        <w:tc>
          <w:tcPr>
            <w:tcW w:w="1574" w:type="dxa"/>
            <w:shd w:val="clear" w:color="auto" w:fill="153A6E"/>
          </w:tcPr>
          <w:p w14:paraId="507FD956" w14:textId="77777777" w:rsidR="00F9458B" w:rsidRPr="00716651" w:rsidRDefault="00F9458B" w:rsidP="00665D8A">
            <w:pPr>
              <w:pStyle w:val="TableHeaderWhite"/>
            </w:pPr>
            <w:r w:rsidRPr="00716651">
              <w:t>Item</w:t>
            </w:r>
          </w:p>
        </w:tc>
        <w:tc>
          <w:tcPr>
            <w:tcW w:w="8388" w:type="dxa"/>
            <w:shd w:val="clear" w:color="auto" w:fill="153A6E"/>
          </w:tcPr>
          <w:p w14:paraId="53C195E7" w14:textId="77777777" w:rsidR="00F9458B" w:rsidRPr="00716651" w:rsidRDefault="00F9458B" w:rsidP="00665D8A">
            <w:pPr>
              <w:pStyle w:val="TableHeaderWhite"/>
            </w:pPr>
            <w:r w:rsidRPr="00716651">
              <w:t>Description</w:t>
            </w:r>
          </w:p>
        </w:tc>
      </w:tr>
      <w:tr w:rsidR="00F9458B" w:rsidRPr="00F9458B" w14:paraId="7A4DECA8" w14:textId="77777777" w:rsidTr="3A68ABF3">
        <w:trPr>
          <w:cantSplit/>
        </w:trPr>
        <w:tc>
          <w:tcPr>
            <w:tcW w:w="1574" w:type="dxa"/>
          </w:tcPr>
          <w:p w14:paraId="605BD8C9" w14:textId="77777777" w:rsidR="00F9458B" w:rsidRPr="008A6671" w:rsidRDefault="00F9458B" w:rsidP="00F9458B">
            <w:r w:rsidRPr="008A6671">
              <w:t>Assessment</w:t>
            </w:r>
          </w:p>
        </w:tc>
        <w:tc>
          <w:tcPr>
            <w:tcW w:w="8388" w:type="dxa"/>
          </w:tcPr>
          <w:p w14:paraId="3E98785A" w14:textId="1A42559C" w:rsidR="00F9458B" w:rsidRPr="008A6671" w:rsidRDefault="00F9458B" w:rsidP="00F9458B">
            <w:r w:rsidRPr="008A6671">
              <w:t>Individual PHN</w:t>
            </w:r>
            <w:r w:rsidR="00B37BB2">
              <w:t>.</w:t>
            </w:r>
          </w:p>
        </w:tc>
      </w:tr>
      <w:tr w:rsidR="00F9458B" w:rsidRPr="00F9458B" w14:paraId="5087F714" w14:textId="77777777" w:rsidTr="3A68ABF3">
        <w:trPr>
          <w:cantSplit/>
        </w:trPr>
        <w:tc>
          <w:tcPr>
            <w:tcW w:w="1574" w:type="dxa"/>
          </w:tcPr>
          <w:p w14:paraId="1A7CF2AD" w14:textId="77777777" w:rsidR="00F9458B" w:rsidRPr="008A6671" w:rsidRDefault="00F9458B" w:rsidP="00F9458B">
            <w:r w:rsidRPr="008A6671">
              <w:t>Reporting</w:t>
            </w:r>
          </w:p>
        </w:tc>
        <w:tc>
          <w:tcPr>
            <w:tcW w:w="8388" w:type="dxa"/>
          </w:tcPr>
          <w:p w14:paraId="4676A440" w14:textId="76804DF6" w:rsidR="00F9458B" w:rsidRPr="008A6671" w:rsidRDefault="002B107A" w:rsidP="00F9458B">
            <w:r w:rsidRPr="008A6671">
              <w:t>Twelve monthly by Department.</w:t>
            </w:r>
          </w:p>
        </w:tc>
      </w:tr>
      <w:tr w:rsidR="00F9458B" w:rsidRPr="00F9458B" w14:paraId="0A05B723" w14:textId="77777777" w:rsidTr="3A68ABF3">
        <w:trPr>
          <w:cantSplit/>
        </w:trPr>
        <w:tc>
          <w:tcPr>
            <w:tcW w:w="1574" w:type="dxa"/>
          </w:tcPr>
          <w:p w14:paraId="0B1E8D37" w14:textId="77777777" w:rsidR="00F9458B" w:rsidRPr="008A6671" w:rsidRDefault="00F9458B" w:rsidP="00F9458B">
            <w:r w:rsidRPr="008A6671">
              <w:t>Definition</w:t>
            </w:r>
          </w:p>
        </w:tc>
        <w:tc>
          <w:tcPr>
            <w:tcW w:w="8388" w:type="dxa"/>
          </w:tcPr>
          <w:p w14:paraId="2E1C2D61" w14:textId="7DDAF572" w:rsidR="00F9458B" w:rsidRPr="008A6671" w:rsidRDefault="00F9458B" w:rsidP="00F9458B">
            <w:r w:rsidRPr="008A6671">
              <w:rPr>
                <w:rFonts w:eastAsia="Calibri"/>
              </w:rPr>
              <w:t>Number of commissioned service providers which have completed or are completing accreditation</w:t>
            </w:r>
            <w:r w:rsidR="00B37BB2">
              <w:rPr>
                <w:rFonts w:eastAsia="Calibri"/>
              </w:rPr>
              <w:t>.</w:t>
            </w:r>
          </w:p>
        </w:tc>
      </w:tr>
      <w:tr w:rsidR="00F9458B" w:rsidRPr="00F9458B" w14:paraId="1A0483B3" w14:textId="77777777" w:rsidTr="3A68ABF3">
        <w:trPr>
          <w:cantSplit/>
        </w:trPr>
        <w:tc>
          <w:tcPr>
            <w:tcW w:w="1574" w:type="dxa"/>
          </w:tcPr>
          <w:p w14:paraId="184F657A" w14:textId="77777777" w:rsidR="00F9458B" w:rsidRPr="008A6671" w:rsidRDefault="00F9458B" w:rsidP="00F9458B">
            <w:r w:rsidRPr="008A6671">
              <w:t>Purpose</w:t>
            </w:r>
          </w:p>
        </w:tc>
        <w:tc>
          <w:tcPr>
            <w:tcW w:w="8388" w:type="dxa"/>
          </w:tcPr>
          <w:p w14:paraId="38F4AFCB" w14:textId="540703F5" w:rsidR="00F9458B" w:rsidRPr="008A6671" w:rsidRDefault="00F9458B" w:rsidP="00F9458B">
            <w:pPr>
              <w:rPr>
                <w:rFonts w:eastAsia="Calibri"/>
              </w:rPr>
            </w:pPr>
            <w:r w:rsidRPr="008A6671">
              <w:rPr>
                <w:rFonts w:eastAsia="Calibri"/>
              </w:rPr>
              <w:t xml:space="preserve">PHN aims to promote quality improvement approaches and support health professionals through education and training. PHN also facilitates </w:t>
            </w:r>
            <w:proofErr w:type="gramStart"/>
            <w:r w:rsidRPr="008A6671">
              <w:rPr>
                <w:rFonts w:eastAsia="Calibri"/>
              </w:rPr>
              <w:t>evidence based</w:t>
            </w:r>
            <w:proofErr w:type="gramEnd"/>
            <w:r w:rsidRPr="008A6671">
              <w:rPr>
                <w:rFonts w:eastAsia="Calibri"/>
              </w:rPr>
              <w:t xml:space="preserve"> treatments</w:t>
            </w:r>
            <w:r w:rsidR="00E40FD7">
              <w:rPr>
                <w:rFonts w:eastAsia="Calibri"/>
              </w:rPr>
              <w:t>.</w:t>
            </w:r>
          </w:p>
          <w:p w14:paraId="1E08DA9C" w14:textId="2C2FBD6C" w:rsidR="00F9458B" w:rsidRPr="008A6671" w:rsidRDefault="00F9458B" w:rsidP="00F9458B">
            <w:pPr>
              <w:rPr>
                <w:rFonts w:eastAsia="Calibri"/>
              </w:rPr>
            </w:pPr>
            <w:r w:rsidRPr="008A6671">
              <w:rPr>
                <w:rFonts w:eastAsia="Calibri"/>
              </w:rPr>
              <w:t>PHN will need to maintain records of commissioned services providers’ accreditation status</w:t>
            </w:r>
            <w:r w:rsidR="00E40FD7">
              <w:rPr>
                <w:rFonts w:eastAsia="Calibri"/>
              </w:rPr>
              <w:t>.</w:t>
            </w:r>
          </w:p>
          <w:p w14:paraId="54B760AC" w14:textId="3E82B5E5" w:rsidR="00F9458B" w:rsidRPr="008A6671" w:rsidRDefault="00F9458B" w:rsidP="00F9458B">
            <w:r w:rsidRPr="008A6671">
              <w:rPr>
                <w:rFonts w:eastAsia="Calibri"/>
              </w:rPr>
              <w:t>It is the Department’s expectation that all specialist drug and alcohol treatment service providers are accredited or are working towards accreditation</w:t>
            </w:r>
            <w:r w:rsidR="00B37BB2">
              <w:rPr>
                <w:rFonts w:eastAsia="Calibri"/>
              </w:rPr>
              <w:t>.</w:t>
            </w:r>
          </w:p>
        </w:tc>
      </w:tr>
      <w:tr w:rsidR="00F9458B" w:rsidRPr="00F9458B" w14:paraId="53C85310" w14:textId="77777777" w:rsidTr="3A68ABF3">
        <w:trPr>
          <w:cantSplit/>
        </w:trPr>
        <w:tc>
          <w:tcPr>
            <w:tcW w:w="1574" w:type="dxa"/>
          </w:tcPr>
          <w:p w14:paraId="3A3D1C01" w14:textId="77777777" w:rsidR="00F9458B" w:rsidRPr="008A6671" w:rsidRDefault="00F9458B" w:rsidP="00F9458B">
            <w:r w:rsidRPr="008A6671">
              <w:t>Outcome Theme: Quality Care</w:t>
            </w:r>
          </w:p>
        </w:tc>
        <w:tc>
          <w:tcPr>
            <w:tcW w:w="8388" w:type="dxa"/>
          </w:tcPr>
          <w:p w14:paraId="5568321F" w14:textId="77777777" w:rsidR="00F9458B" w:rsidRPr="008A6671" w:rsidRDefault="00F9458B" w:rsidP="00F9458B">
            <w:pPr>
              <w:rPr>
                <w:rFonts w:eastAsia="Calibri"/>
              </w:rPr>
            </w:pPr>
            <w:r w:rsidRPr="008A6671">
              <w:rPr>
                <w:rFonts w:eastAsia="Calibri"/>
              </w:rPr>
              <w:t>Outcome:</w:t>
            </w:r>
          </w:p>
          <w:p w14:paraId="1957AE59" w14:textId="3788EDFB" w:rsidR="00F9458B" w:rsidRPr="008A6671" w:rsidRDefault="00F9458B" w:rsidP="00F9458B">
            <w:r w:rsidRPr="008A6671">
              <w:rPr>
                <w:rFonts w:eastAsia="Calibri"/>
              </w:rPr>
              <w:t>Local workforce has suitable cultural and clinical skills to address health needs of PHN region</w:t>
            </w:r>
            <w:r w:rsidR="00B37BB2">
              <w:rPr>
                <w:rFonts w:eastAsia="Calibri"/>
              </w:rPr>
              <w:t>.</w:t>
            </w:r>
          </w:p>
        </w:tc>
      </w:tr>
      <w:tr w:rsidR="00F9458B" w:rsidRPr="00F9458B" w14:paraId="0629B6C2" w14:textId="77777777" w:rsidTr="3A68ABF3">
        <w:trPr>
          <w:cantSplit/>
        </w:trPr>
        <w:tc>
          <w:tcPr>
            <w:tcW w:w="1574" w:type="dxa"/>
          </w:tcPr>
          <w:p w14:paraId="472778A2" w14:textId="77777777" w:rsidR="00F9458B" w:rsidRPr="008A6671" w:rsidRDefault="00F9458B" w:rsidP="00F9458B">
            <w:r w:rsidRPr="008A6671">
              <w:t>Performance Criteria</w:t>
            </w:r>
          </w:p>
        </w:tc>
        <w:tc>
          <w:tcPr>
            <w:tcW w:w="8388" w:type="dxa"/>
          </w:tcPr>
          <w:p w14:paraId="504BC74D" w14:textId="1B1E7D38" w:rsidR="00F9458B" w:rsidRPr="008A6671" w:rsidRDefault="00F9458B" w:rsidP="00F9458B">
            <w:r w:rsidRPr="008A6671">
              <w:rPr>
                <w:rFonts w:eastAsia="Calibri"/>
              </w:rPr>
              <w:t>All specialist drug and alcohol treatment service providers have or are working towards accreditation</w:t>
            </w:r>
            <w:r w:rsidR="00B37BB2">
              <w:rPr>
                <w:rFonts w:eastAsia="Calibri"/>
              </w:rPr>
              <w:t>.</w:t>
            </w:r>
          </w:p>
        </w:tc>
      </w:tr>
      <w:tr w:rsidR="00F9458B" w:rsidRPr="00F9458B" w14:paraId="38995B28" w14:textId="77777777" w:rsidTr="3A68ABF3">
        <w:trPr>
          <w:cantSplit/>
        </w:trPr>
        <w:tc>
          <w:tcPr>
            <w:tcW w:w="1574" w:type="dxa"/>
          </w:tcPr>
          <w:p w14:paraId="0954E588" w14:textId="77777777" w:rsidR="00F9458B" w:rsidRPr="008A6671" w:rsidRDefault="00F9458B" w:rsidP="00F9458B">
            <w:r w:rsidRPr="008A6671">
              <w:t>Data Source</w:t>
            </w:r>
          </w:p>
        </w:tc>
        <w:tc>
          <w:tcPr>
            <w:tcW w:w="8388" w:type="dxa"/>
          </w:tcPr>
          <w:p w14:paraId="18F63699" w14:textId="7BB6884F" w:rsidR="00F9458B" w:rsidRPr="008A6671" w:rsidRDefault="00F9458B" w:rsidP="00F9458B">
            <w:r w:rsidRPr="008A6671">
              <w:rPr>
                <w:rFonts w:eastAsia="Calibri"/>
              </w:rPr>
              <w:t>Drug and Therapeutic Information Service (DATIS) reporting – Indicator 3.2</w:t>
            </w:r>
            <w:r w:rsidR="00B37BB2">
              <w:rPr>
                <w:rFonts w:eastAsia="Calibri"/>
              </w:rPr>
              <w:t>.</w:t>
            </w:r>
          </w:p>
        </w:tc>
      </w:tr>
      <w:tr w:rsidR="00F9458B" w:rsidRPr="00F9458B" w14:paraId="40EBB30B" w14:textId="77777777" w:rsidTr="3A68ABF3">
        <w:trPr>
          <w:cantSplit/>
        </w:trPr>
        <w:tc>
          <w:tcPr>
            <w:tcW w:w="1574" w:type="dxa"/>
          </w:tcPr>
          <w:p w14:paraId="6E4AE39F" w14:textId="77777777" w:rsidR="00F9458B" w:rsidRPr="008A6671" w:rsidRDefault="00F9458B" w:rsidP="00F9458B">
            <w:r w:rsidRPr="008A6671">
              <w:t>Calculation</w:t>
            </w:r>
          </w:p>
        </w:tc>
        <w:tc>
          <w:tcPr>
            <w:tcW w:w="8388" w:type="dxa"/>
          </w:tcPr>
          <w:p w14:paraId="4A0B3FA6" w14:textId="77777777" w:rsidR="00F9458B" w:rsidRPr="008A6671" w:rsidRDefault="00F9458B" w:rsidP="00F9458B">
            <w:pPr>
              <w:rPr>
                <w:rFonts w:eastAsia="Calibri"/>
              </w:rPr>
            </w:pPr>
            <w:r w:rsidRPr="008A6671">
              <w:rPr>
                <w:rFonts w:eastAsia="Calibri"/>
              </w:rPr>
              <w:t>Numerator:</w:t>
            </w:r>
          </w:p>
          <w:p w14:paraId="2C95AAEF" w14:textId="06E32792" w:rsidR="00F9458B" w:rsidRPr="008A6671" w:rsidRDefault="00F9458B" w:rsidP="00F9458B">
            <w:pPr>
              <w:rPr>
                <w:rFonts w:eastAsia="Calibri"/>
              </w:rPr>
            </w:pPr>
            <w:r w:rsidRPr="008A6671">
              <w:rPr>
                <w:rFonts w:eastAsia="Calibri"/>
              </w:rPr>
              <w:t>Number of commissioned service providers which have completed or are working towards accreditation</w:t>
            </w:r>
            <w:r w:rsidR="00E40FD7">
              <w:rPr>
                <w:rFonts w:eastAsia="Calibri"/>
              </w:rPr>
              <w:t>.</w:t>
            </w:r>
          </w:p>
          <w:p w14:paraId="04CB4E52" w14:textId="77777777" w:rsidR="00F9458B" w:rsidRPr="008A6671" w:rsidRDefault="00F9458B" w:rsidP="00F9458B">
            <w:pPr>
              <w:rPr>
                <w:rFonts w:eastAsia="Calibri"/>
              </w:rPr>
            </w:pPr>
            <w:r w:rsidRPr="008A6671">
              <w:rPr>
                <w:rFonts w:eastAsia="Calibri"/>
              </w:rPr>
              <w:t>Denominator:</w:t>
            </w:r>
          </w:p>
          <w:p w14:paraId="06885BCF" w14:textId="7F6A18F8" w:rsidR="00F9458B" w:rsidRPr="008A6671" w:rsidRDefault="00F9458B" w:rsidP="00F9458B">
            <w:pPr>
              <w:rPr>
                <w:rFonts w:eastAsia="Calibri"/>
              </w:rPr>
            </w:pPr>
            <w:r w:rsidRPr="008A6671">
              <w:rPr>
                <w:rFonts w:eastAsia="Calibri"/>
              </w:rPr>
              <w:t>Total number of commissioned drug and alcohol service providers in PHN region</w:t>
            </w:r>
            <w:r w:rsidR="00E40FD7">
              <w:rPr>
                <w:rFonts w:eastAsia="Calibri"/>
              </w:rPr>
              <w:t>.</w:t>
            </w:r>
          </w:p>
          <w:p w14:paraId="3836DAA2" w14:textId="77777777" w:rsidR="00F9458B" w:rsidRPr="008A6671" w:rsidRDefault="00F9458B" w:rsidP="00F9458B">
            <w:pPr>
              <w:rPr>
                <w:rFonts w:eastAsia="Calibri"/>
              </w:rPr>
            </w:pPr>
            <w:r w:rsidRPr="008A6671">
              <w:rPr>
                <w:rFonts w:eastAsia="Calibri"/>
              </w:rPr>
              <w:t>Computation:</w:t>
            </w:r>
          </w:p>
          <w:p w14:paraId="2B6E48CD" w14:textId="57ABF21C" w:rsidR="00F9458B" w:rsidRPr="008A6671" w:rsidRDefault="00F9458B" w:rsidP="00F9458B">
            <w:r w:rsidRPr="008A6671">
              <w:rPr>
                <w:rFonts w:eastAsia="Calibri"/>
              </w:rPr>
              <w:t xml:space="preserve">100x (numerator / denominator) presented as a </w:t>
            </w:r>
            <w:r w:rsidR="001441C7">
              <w:rPr>
                <w:rFonts w:eastAsia="Calibri"/>
              </w:rPr>
              <w:t>percentage of service providers.</w:t>
            </w:r>
          </w:p>
        </w:tc>
      </w:tr>
      <w:tr w:rsidR="00F9458B" w:rsidRPr="00F9458B" w14:paraId="545BFB7E" w14:textId="77777777" w:rsidTr="3A68ABF3">
        <w:trPr>
          <w:cantSplit/>
        </w:trPr>
        <w:tc>
          <w:tcPr>
            <w:tcW w:w="1574" w:type="dxa"/>
          </w:tcPr>
          <w:p w14:paraId="2D408D48" w14:textId="77777777" w:rsidR="00F9458B" w:rsidRPr="008A6671" w:rsidRDefault="00F9458B" w:rsidP="00F9458B">
            <w:r w:rsidRPr="008A6671">
              <w:t>Limitations</w:t>
            </w:r>
          </w:p>
        </w:tc>
        <w:tc>
          <w:tcPr>
            <w:tcW w:w="8388" w:type="dxa"/>
          </w:tcPr>
          <w:p w14:paraId="2078C64B" w14:textId="77777777" w:rsidR="00F9458B" w:rsidRPr="008A6671" w:rsidRDefault="00F9458B" w:rsidP="00F9458B">
            <w:r w:rsidRPr="008A6671">
              <w:t>-</w:t>
            </w:r>
          </w:p>
        </w:tc>
      </w:tr>
      <w:tr w:rsidR="00F9458B" w:rsidRPr="00F9458B" w14:paraId="72EC6B13" w14:textId="77777777" w:rsidTr="3A68ABF3">
        <w:trPr>
          <w:cantSplit/>
        </w:trPr>
        <w:tc>
          <w:tcPr>
            <w:tcW w:w="1574" w:type="dxa"/>
          </w:tcPr>
          <w:p w14:paraId="67CBFF37" w14:textId="77777777" w:rsidR="00F9458B" w:rsidRPr="008A6671" w:rsidRDefault="00F9458B" w:rsidP="00F9458B">
            <w:r w:rsidRPr="008A6671">
              <w:t>Additional information</w:t>
            </w:r>
          </w:p>
        </w:tc>
        <w:tc>
          <w:tcPr>
            <w:tcW w:w="8388" w:type="dxa"/>
          </w:tcPr>
          <w:p w14:paraId="180AD725" w14:textId="77777777" w:rsidR="00F9458B" w:rsidRPr="008A6671" w:rsidRDefault="00F9458B" w:rsidP="00F9458B">
            <w:r w:rsidRPr="008A6671">
              <w:t>-</w:t>
            </w:r>
          </w:p>
        </w:tc>
      </w:tr>
    </w:tbl>
    <w:p w14:paraId="621B5E6C" w14:textId="19597032" w:rsidR="00F9458B" w:rsidRPr="00665D8A" w:rsidRDefault="00F04FED" w:rsidP="00665D8A">
      <w:pPr>
        <w:pStyle w:val="Heading2"/>
      </w:pPr>
      <w:bookmarkStart w:id="126" w:name="_Toc517267778"/>
      <w:bookmarkStart w:id="127" w:name="_Toc517334453"/>
      <w:bookmarkStart w:id="128" w:name="_Toc517769827"/>
      <w:r w:rsidRPr="00665D8A">
        <w:t>W2: PHN support for drug and alcohol commissioned health professionals</w:t>
      </w:r>
      <w:bookmarkEnd w:id="126"/>
      <w:bookmarkEnd w:id="127"/>
      <w:bookmarkEnd w:id="128"/>
    </w:p>
    <w:tbl>
      <w:tblPr>
        <w:tblStyle w:val="PHNTealtable"/>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4A0" w:firstRow="1" w:lastRow="0" w:firstColumn="1" w:lastColumn="0" w:noHBand="0" w:noVBand="1"/>
        <w:tblDescription w:val="This table details indicator W2: PHN support for drug and alcohol commissioned health professionals. It is comprised of two columns, and 11 rows. Column one provides the Item of the indicator, and Column two outlines the corresponding description.&#10;"/>
      </w:tblPr>
      <w:tblGrid>
        <w:gridCol w:w="1570"/>
        <w:gridCol w:w="8157"/>
      </w:tblGrid>
      <w:tr w:rsidR="00F9458B" w:rsidRPr="00F9458B" w14:paraId="51FA5B3B" w14:textId="77777777" w:rsidTr="009038CB">
        <w:trPr>
          <w:cnfStyle w:val="100000000000" w:firstRow="1" w:lastRow="0" w:firstColumn="0" w:lastColumn="0" w:oddVBand="0" w:evenVBand="0" w:oddHBand="0" w:evenHBand="0" w:firstRowFirstColumn="0" w:firstRowLastColumn="0" w:lastRowFirstColumn="0" w:lastRowLastColumn="0"/>
          <w:tblHeader/>
        </w:trPr>
        <w:tc>
          <w:tcPr>
            <w:tcW w:w="1574" w:type="dxa"/>
            <w:shd w:val="clear" w:color="auto" w:fill="153A6E"/>
          </w:tcPr>
          <w:p w14:paraId="4F023392" w14:textId="77777777" w:rsidR="00F9458B" w:rsidRPr="00716651" w:rsidRDefault="00F9458B" w:rsidP="00665D8A">
            <w:pPr>
              <w:pStyle w:val="TableHeaderWhite"/>
            </w:pPr>
            <w:r w:rsidRPr="00716651">
              <w:t>Item</w:t>
            </w:r>
          </w:p>
        </w:tc>
        <w:tc>
          <w:tcPr>
            <w:tcW w:w="8388" w:type="dxa"/>
            <w:shd w:val="clear" w:color="auto" w:fill="153A6E"/>
          </w:tcPr>
          <w:p w14:paraId="228135D1" w14:textId="77777777" w:rsidR="00F9458B" w:rsidRPr="00716651" w:rsidRDefault="00F9458B" w:rsidP="00665D8A">
            <w:pPr>
              <w:pStyle w:val="TableHeaderWhite"/>
            </w:pPr>
            <w:r w:rsidRPr="00716651">
              <w:t>Description</w:t>
            </w:r>
          </w:p>
        </w:tc>
      </w:tr>
      <w:tr w:rsidR="00F9458B" w:rsidRPr="00F9458B" w14:paraId="66D52BFB" w14:textId="77777777" w:rsidTr="00405F47">
        <w:trPr>
          <w:cantSplit/>
        </w:trPr>
        <w:tc>
          <w:tcPr>
            <w:tcW w:w="1574" w:type="dxa"/>
          </w:tcPr>
          <w:p w14:paraId="0C8ACB24" w14:textId="77777777" w:rsidR="00F9458B" w:rsidRPr="008A6671" w:rsidRDefault="00F9458B" w:rsidP="00F9458B">
            <w:r w:rsidRPr="008A6671">
              <w:t>Assessment</w:t>
            </w:r>
          </w:p>
        </w:tc>
        <w:tc>
          <w:tcPr>
            <w:tcW w:w="8388" w:type="dxa"/>
          </w:tcPr>
          <w:p w14:paraId="439FDC59" w14:textId="1B37F236" w:rsidR="00F9458B" w:rsidRPr="008A6671" w:rsidRDefault="00F9458B" w:rsidP="00F9458B">
            <w:r w:rsidRPr="008A6671">
              <w:t>Individual PHN</w:t>
            </w:r>
            <w:r w:rsidR="00B37BB2">
              <w:t>.</w:t>
            </w:r>
          </w:p>
        </w:tc>
      </w:tr>
      <w:tr w:rsidR="00F9458B" w:rsidRPr="00F9458B" w14:paraId="5683433E" w14:textId="77777777" w:rsidTr="00405F47">
        <w:trPr>
          <w:cantSplit/>
        </w:trPr>
        <w:tc>
          <w:tcPr>
            <w:tcW w:w="1574" w:type="dxa"/>
          </w:tcPr>
          <w:p w14:paraId="1B051A5F" w14:textId="77777777" w:rsidR="00F9458B" w:rsidRPr="008A6671" w:rsidRDefault="00F9458B" w:rsidP="00F9458B">
            <w:r w:rsidRPr="008A6671">
              <w:t>Reporting</w:t>
            </w:r>
          </w:p>
        </w:tc>
        <w:tc>
          <w:tcPr>
            <w:tcW w:w="8388" w:type="dxa"/>
          </w:tcPr>
          <w:p w14:paraId="2DD16E5A" w14:textId="33E0B5C9" w:rsidR="00F9458B" w:rsidRPr="008A6671" w:rsidRDefault="002B107A" w:rsidP="00F9458B">
            <w:r w:rsidRPr="008A6671">
              <w:t>Twelve monthly by Department.</w:t>
            </w:r>
          </w:p>
        </w:tc>
      </w:tr>
      <w:tr w:rsidR="00F9458B" w:rsidRPr="00F9458B" w14:paraId="027CE923" w14:textId="77777777" w:rsidTr="00405F47">
        <w:trPr>
          <w:cantSplit/>
        </w:trPr>
        <w:tc>
          <w:tcPr>
            <w:tcW w:w="1574" w:type="dxa"/>
          </w:tcPr>
          <w:p w14:paraId="04B7857B" w14:textId="77777777" w:rsidR="00F9458B" w:rsidRPr="008A6671" w:rsidRDefault="00F9458B" w:rsidP="00F9458B">
            <w:r w:rsidRPr="008A6671">
              <w:lastRenderedPageBreak/>
              <w:t>Definition</w:t>
            </w:r>
          </w:p>
        </w:tc>
        <w:tc>
          <w:tcPr>
            <w:tcW w:w="8388" w:type="dxa"/>
          </w:tcPr>
          <w:p w14:paraId="0F887F00" w14:textId="4C53CEB8" w:rsidR="00F9458B" w:rsidRPr="008A6671" w:rsidRDefault="00F9458B" w:rsidP="00F9458B">
            <w:r w:rsidRPr="008A6671">
              <w:rPr>
                <w:rFonts w:eastAsia="Calibri"/>
              </w:rPr>
              <w:t>Support provided by PHN to drug and alcohol commissioned health professionals including number of education/training modules delivered</w:t>
            </w:r>
            <w:r w:rsidR="00B37BB2">
              <w:rPr>
                <w:rFonts w:eastAsia="Calibri"/>
              </w:rPr>
              <w:t>.</w:t>
            </w:r>
          </w:p>
        </w:tc>
      </w:tr>
      <w:tr w:rsidR="00F9458B" w:rsidRPr="00F9458B" w14:paraId="1DF4D578" w14:textId="77777777" w:rsidTr="00405F47">
        <w:trPr>
          <w:cantSplit/>
        </w:trPr>
        <w:tc>
          <w:tcPr>
            <w:tcW w:w="1574" w:type="dxa"/>
          </w:tcPr>
          <w:p w14:paraId="0D0897CB" w14:textId="77777777" w:rsidR="00F9458B" w:rsidRPr="008A6671" w:rsidRDefault="00F9458B" w:rsidP="00F9458B">
            <w:r w:rsidRPr="008A6671">
              <w:t>Purpose</w:t>
            </w:r>
          </w:p>
        </w:tc>
        <w:tc>
          <w:tcPr>
            <w:tcW w:w="8388" w:type="dxa"/>
          </w:tcPr>
          <w:p w14:paraId="1DB40371" w14:textId="462E3F29" w:rsidR="00F9458B" w:rsidRPr="008A6671" w:rsidRDefault="00F9458B" w:rsidP="00F9458B">
            <w:pPr>
              <w:rPr>
                <w:rFonts w:eastAsia="Calibri"/>
              </w:rPr>
            </w:pPr>
            <w:r w:rsidRPr="008A6671">
              <w:rPr>
                <w:rFonts w:eastAsia="Calibri"/>
              </w:rPr>
              <w:t>PHN aims to promote quality improvement approaches and support health professionals through education and training. This indicator will reflect how PHNs demonstrate support for health professionals in the management of drug and alcohol dependence and related morbidities</w:t>
            </w:r>
            <w:r w:rsidR="00B37BB2">
              <w:rPr>
                <w:rFonts w:eastAsia="Calibri"/>
              </w:rPr>
              <w:t>.</w:t>
            </w:r>
          </w:p>
        </w:tc>
      </w:tr>
      <w:tr w:rsidR="00F9458B" w:rsidRPr="00F9458B" w14:paraId="4015C297" w14:textId="77777777" w:rsidTr="00405F47">
        <w:trPr>
          <w:cantSplit/>
        </w:trPr>
        <w:tc>
          <w:tcPr>
            <w:tcW w:w="1574" w:type="dxa"/>
          </w:tcPr>
          <w:p w14:paraId="54AE1580" w14:textId="77777777" w:rsidR="00F9458B" w:rsidRPr="008A6671" w:rsidRDefault="00F9458B" w:rsidP="00F9458B">
            <w:r w:rsidRPr="008A6671">
              <w:t>Outcome Theme: Quality Care</w:t>
            </w:r>
          </w:p>
        </w:tc>
        <w:tc>
          <w:tcPr>
            <w:tcW w:w="8388" w:type="dxa"/>
          </w:tcPr>
          <w:p w14:paraId="357BBAD6" w14:textId="77777777" w:rsidR="00F9458B" w:rsidRPr="008A6671" w:rsidRDefault="00F9458B" w:rsidP="00F9458B">
            <w:pPr>
              <w:rPr>
                <w:rFonts w:eastAsia="Calibri"/>
              </w:rPr>
            </w:pPr>
            <w:r w:rsidRPr="008A6671">
              <w:rPr>
                <w:rFonts w:eastAsia="Calibri"/>
              </w:rPr>
              <w:t>Outcome:</w:t>
            </w:r>
          </w:p>
          <w:p w14:paraId="66BB721D" w14:textId="7739EB52" w:rsidR="00F9458B" w:rsidRPr="008A6671" w:rsidRDefault="00F9458B" w:rsidP="00F9458B">
            <w:r w:rsidRPr="008A6671">
              <w:rPr>
                <w:rFonts w:eastAsia="Calibri"/>
              </w:rPr>
              <w:t>Local workforce has suitable cultural and clinical skills to address health needs of PHN region</w:t>
            </w:r>
            <w:r w:rsidR="00B37BB2">
              <w:rPr>
                <w:rFonts w:eastAsia="Calibri"/>
              </w:rPr>
              <w:t>.</w:t>
            </w:r>
          </w:p>
        </w:tc>
      </w:tr>
      <w:tr w:rsidR="00F9458B" w:rsidRPr="00F9458B" w14:paraId="6DEC10E2" w14:textId="77777777" w:rsidTr="00405F47">
        <w:trPr>
          <w:cantSplit/>
        </w:trPr>
        <w:tc>
          <w:tcPr>
            <w:tcW w:w="1574" w:type="dxa"/>
          </w:tcPr>
          <w:p w14:paraId="1DD6DE98" w14:textId="77777777" w:rsidR="00F9458B" w:rsidRPr="008A6671" w:rsidRDefault="00F9458B" w:rsidP="00F9458B">
            <w:r w:rsidRPr="008A6671">
              <w:t>Performance Criteria</w:t>
            </w:r>
          </w:p>
        </w:tc>
        <w:tc>
          <w:tcPr>
            <w:tcW w:w="8388" w:type="dxa"/>
          </w:tcPr>
          <w:p w14:paraId="5726287C" w14:textId="0405AA6B" w:rsidR="00F9458B" w:rsidRPr="008A6671" w:rsidRDefault="00F9458B" w:rsidP="00F9458B">
            <w:r w:rsidRPr="008A6671">
              <w:rPr>
                <w:rFonts w:eastAsia="Calibri"/>
              </w:rPr>
              <w:t>PHN supplies evidence of support provided to drug and alcohol commissioned health professionals</w:t>
            </w:r>
            <w:r w:rsidR="00B37BB2">
              <w:rPr>
                <w:rFonts w:eastAsia="Calibri"/>
              </w:rPr>
              <w:t>.</w:t>
            </w:r>
          </w:p>
        </w:tc>
      </w:tr>
      <w:tr w:rsidR="00F9458B" w:rsidRPr="00F9458B" w14:paraId="6E36FC43" w14:textId="77777777" w:rsidTr="00405F47">
        <w:trPr>
          <w:cantSplit/>
        </w:trPr>
        <w:tc>
          <w:tcPr>
            <w:tcW w:w="1574" w:type="dxa"/>
          </w:tcPr>
          <w:p w14:paraId="1450A743" w14:textId="77777777" w:rsidR="00F9458B" w:rsidRPr="008A6671" w:rsidRDefault="00F9458B" w:rsidP="00F9458B">
            <w:r w:rsidRPr="008A6671">
              <w:t>Data Source</w:t>
            </w:r>
          </w:p>
        </w:tc>
        <w:tc>
          <w:tcPr>
            <w:tcW w:w="8388" w:type="dxa"/>
          </w:tcPr>
          <w:p w14:paraId="752D843D" w14:textId="686787A3" w:rsidR="00F9458B" w:rsidRPr="008A6671" w:rsidRDefault="00F9458B" w:rsidP="00F9458B">
            <w:r w:rsidRPr="008A6671">
              <w:rPr>
                <w:rFonts w:eastAsia="Calibri"/>
              </w:rPr>
              <w:t>Drug and Therapeutic Information Service (DATIS) reporting – Indicator 3.1</w:t>
            </w:r>
            <w:r w:rsidR="009220E1">
              <w:rPr>
                <w:rFonts w:eastAsia="Calibri"/>
              </w:rPr>
              <w:t>.</w:t>
            </w:r>
          </w:p>
        </w:tc>
      </w:tr>
      <w:tr w:rsidR="00F9458B" w:rsidRPr="00F9458B" w14:paraId="2429C140" w14:textId="77777777" w:rsidTr="00405F47">
        <w:trPr>
          <w:cantSplit/>
        </w:trPr>
        <w:tc>
          <w:tcPr>
            <w:tcW w:w="1574" w:type="dxa"/>
          </w:tcPr>
          <w:p w14:paraId="4E7889F4" w14:textId="77777777" w:rsidR="00F9458B" w:rsidRPr="008A6671" w:rsidRDefault="00F9458B" w:rsidP="00F9458B">
            <w:r w:rsidRPr="008A6671">
              <w:t>Calculation</w:t>
            </w:r>
          </w:p>
        </w:tc>
        <w:tc>
          <w:tcPr>
            <w:tcW w:w="8388" w:type="dxa"/>
          </w:tcPr>
          <w:p w14:paraId="015139F9" w14:textId="66CB5DF7" w:rsidR="00F9458B" w:rsidRPr="008A6671" w:rsidRDefault="00F9458B" w:rsidP="00F9458B">
            <w:r w:rsidRPr="008A6671">
              <w:rPr>
                <w:rFonts w:eastAsia="Calibri"/>
              </w:rPr>
              <w:t>Number and type of completed education and/or training modules for health professionals, relating to the management of drug and alcohol dependence and related morbidities</w:t>
            </w:r>
            <w:r w:rsidR="00B37BB2">
              <w:rPr>
                <w:rFonts w:eastAsia="Calibri"/>
              </w:rPr>
              <w:t>.</w:t>
            </w:r>
          </w:p>
        </w:tc>
      </w:tr>
      <w:tr w:rsidR="00F9458B" w:rsidRPr="00F9458B" w14:paraId="344592F6" w14:textId="77777777" w:rsidTr="00405F47">
        <w:trPr>
          <w:cantSplit/>
        </w:trPr>
        <w:tc>
          <w:tcPr>
            <w:tcW w:w="1574" w:type="dxa"/>
          </w:tcPr>
          <w:p w14:paraId="70E78C24" w14:textId="77777777" w:rsidR="00F9458B" w:rsidRPr="008A6671" w:rsidRDefault="00F9458B" w:rsidP="00F9458B">
            <w:r w:rsidRPr="008A6671">
              <w:t>Limitations</w:t>
            </w:r>
          </w:p>
        </w:tc>
        <w:tc>
          <w:tcPr>
            <w:tcW w:w="8388" w:type="dxa"/>
          </w:tcPr>
          <w:p w14:paraId="7DF828E3" w14:textId="77777777" w:rsidR="00F9458B" w:rsidRPr="008A6671" w:rsidRDefault="00F9458B" w:rsidP="00F9458B">
            <w:r w:rsidRPr="008A6671">
              <w:t>-</w:t>
            </w:r>
          </w:p>
        </w:tc>
      </w:tr>
      <w:tr w:rsidR="00F9458B" w:rsidRPr="00F9458B" w14:paraId="29B04E04" w14:textId="77777777" w:rsidTr="00405F47">
        <w:trPr>
          <w:cantSplit/>
        </w:trPr>
        <w:tc>
          <w:tcPr>
            <w:tcW w:w="1574" w:type="dxa"/>
          </w:tcPr>
          <w:p w14:paraId="6C23C301" w14:textId="77777777" w:rsidR="00F9458B" w:rsidRPr="008A6671" w:rsidRDefault="00F9458B" w:rsidP="00F9458B">
            <w:r w:rsidRPr="008A6671">
              <w:t>Additional information</w:t>
            </w:r>
          </w:p>
        </w:tc>
        <w:tc>
          <w:tcPr>
            <w:tcW w:w="8388" w:type="dxa"/>
          </w:tcPr>
          <w:p w14:paraId="32FCDCD3" w14:textId="22E0C032" w:rsidR="00F9458B" w:rsidRPr="008A6671" w:rsidRDefault="00F9458B" w:rsidP="00F9458B">
            <w:r w:rsidRPr="008A6671">
              <w:rPr>
                <w:rFonts w:eastAsia="Calibri"/>
              </w:rPr>
              <w:t>Data from this indicator will be used to interpret and provide context to other indicators including P4</w:t>
            </w:r>
            <w:r w:rsidR="00B37BB2">
              <w:rPr>
                <w:rFonts w:eastAsia="Calibri"/>
              </w:rPr>
              <w:t>.</w:t>
            </w:r>
          </w:p>
        </w:tc>
      </w:tr>
    </w:tbl>
    <w:p w14:paraId="0102629C" w14:textId="1A34221C" w:rsidR="00F9458B" w:rsidRPr="00665D8A" w:rsidRDefault="00F04FED" w:rsidP="00665D8A">
      <w:pPr>
        <w:pStyle w:val="Heading2"/>
      </w:pPr>
      <w:bookmarkStart w:id="129" w:name="_Toc517267779"/>
      <w:bookmarkStart w:id="130" w:name="_Toc517334454"/>
      <w:bookmarkStart w:id="131" w:name="_Toc517769828"/>
      <w:r w:rsidRPr="00665D8A">
        <w:t>W3: PHN Commissioning Framework</w:t>
      </w:r>
      <w:bookmarkEnd w:id="129"/>
      <w:bookmarkEnd w:id="130"/>
      <w:bookmarkEnd w:id="131"/>
    </w:p>
    <w:tbl>
      <w:tblPr>
        <w:tblStyle w:val="PHNTealtable"/>
        <w:tblW w:w="972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ayout w:type="fixed"/>
        <w:tblLook w:val="04A0" w:firstRow="1" w:lastRow="0" w:firstColumn="1" w:lastColumn="0" w:noHBand="0" w:noVBand="1"/>
        <w:tblDescription w:val="This table details indicator W3: PHN Commissioning Framework. It is comprised of two columns, and 12 rows. Column one provides the Item of the indicator, and Column two outlines the corresponding description."/>
      </w:tblPr>
      <w:tblGrid>
        <w:gridCol w:w="1691"/>
        <w:gridCol w:w="8037"/>
      </w:tblGrid>
      <w:tr w:rsidR="00F9458B" w:rsidRPr="00F9458B" w14:paraId="61899313" w14:textId="77777777" w:rsidTr="004F6955">
        <w:trPr>
          <w:cnfStyle w:val="100000000000" w:firstRow="1" w:lastRow="0" w:firstColumn="0" w:lastColumn="0" w:oddVBand="0" w:evenVBand="0" w:oddHBand="0" w:evenHBand="0" w:firstRowFirstColumn="0" w:firstRowLastColumn="0" w:lastRowFirstColumn="0" w:lastRowLastColumn="0"/>
          <w:tblHeader/>
        </w:trPr>
        <w:tc>
          <w:tcPr>
            <w:tcW w:w="1691" w:type="dxa"/>
            <w:shd w:val="clear" w:color="auto" w:fill="153A6E"/>
          </w:tcPr>
          <w:p w14:paraId="538DA54E" w14:textId="12489685" w:rsidR="00F9458B" w:rsidRPr="00716651" w:rsidRDefault="00F9458B" w:rsidP="00665D8A">
            <w:pPr>
              <w:pStyle w:val="TableHeaderWhite"/>
            </w:pPr>
            <w:r w:rsidRPr="00716651">
              <w:t>Item</w:t>
            </w:r>
          </w:p>
        </w:tc>
        <w:tc>
          <w:tcPr>
            <w:tcW w:w="8037" w:type="dxa"/>
            <w:shd w:val="clear" w:color="auto" w:fill="153A6E"/>
          </w:tcPr>
          <w:p w14:paraId="7C0B88BC" w14:textId="72F3E943" w:rsidR="00F9458B" w:rsidRPr="00716651" w:rsidRDefault="00F9458B" w:rsidP="00665D8A">
            <w:pPr>
              <w:pStyle w:val="TableHeaderWhite"/>
            </w:pPr>
            <w:r w:rsidRPr="00716651">
              <w:t>Description</w:t>
            </w:r>
          </w:p>
        </w:tc>
      </w:tr>
      <w:tr w:rsidR="00F9458B" w:rsidRPr="00F9458B" w14:paraId="60B72E65" w14:textId="77777777" w:rsidTr="004F6955">
        <w:trPr>
          <w:cantSplit/>
        </w:trPr>
        <w:tc>
          <w:tcPr>
            <w:tcW w:w="1691" w:type="dxa"/>
          </w:tcPr>
          <w:p w14:paraId="75DC26A0" w14:textId="2A59B867" w:rsidR="00F9458B" w:rsidRPr="008A6671" w:rsidRDefault="00F9458B" w:rsidP="00F9458B">
            <w:r w:rsidRPr="008A6671">
              <w:t>Assessment</w:t>
            </w:r>
          </w:p>
        </w:tc>
        <w:tc>
          <w:tcPr>
            <w:tcW w:w="8037" w:type="dxa"/>
          </w:tcPr>
          <w:p w14:paraId="19C2C974" w14:textId="05C32471" w:rsidR="00F9458B" w:rsidRPr="008A6671" w:rsidRDefault="00F9458B" w:rsidP="00F9458B">
            <w:r w:rsidRPr="008A6671">
              <w:t>Individual PHN</w:t>
            </w:r>
          </w:p>
        </w:tc>
      </w:tr>
      <w:tr w:rsidR="00F9458B" w:rsidRPr="00F9458B" w14:paraId="0578E64C" w14:textId="77777777" w:rsidTr="004F6955">
        <w:trPr>
          <w:cantSplit/>
        </w:trPr>
        <w:tc>
          <w:tcPr>
            <w:tcW w:w="1691" w:type="dxa"/>
            <w:shd w:val="clear" w:color="auto" w:fill="D72F0D"/>
          </w:tcPr>
          <w:p w14:paraId="6E7BCEED" w14:textId="689FDF22" w:rsidR="00F9458B" w:rsidRPr="0082185D" w:rsidRDefault="00F9458B" w:rsidP="00665D8A">
            <w:pPr>
              <w:pStyle w:val="TableTextwhite"/>
            </w:pPr>
            <w:r w:rsidRPr="0082185D">
              <w:t>Reporting</w:t>
            </w:r>
          </w:p>
        </w:tc>
        <w:tc>
          <w:tcPr>
            <w:tcW w:w="8037" w:type="dxa"/>
            <w:shd w:val="clear" w:color="auto" w:fill="D72F0D"/>
          </w:tcPr>
          <w:p w14:paraId="1EBE4C11" w14:textId="4F04077B" w:rsidR="00F9458B" w:rsidRPr="0082185D" w:rsidRDefault="00F9458B" w:rsidP="00665D8A">
            <w:pPr>
              <w:pStyle w:val="TableTextwhite"/>
            </w:pPr>
            <w:r w:rsidRPr="0082185D">
              <w:t>PHN - Twelve monthly by PHN</w:t>
            </w:r>
          </w:p>
        </w:tc>
      </w:tr>
      <w:tr w:rsidR="00F9458B" w:rsidRPr="00F9458B" w14:paraId="0AC90F54" w14:textId="77777777" w:rsidTr="004F6955">
        <w:trPr>
          <w:cantSplit/>
        </w:trPr>
        <w:tc>
          <w:tcPr>
            <w:tcW w:w="1691" w:type="dxa"/>
          </w:tcPr>
          <w:p w14:paraId="0A2794FB" w14:textId="68F5E79A" w:rsidR="00F9458B" w:rsidRPr="008A6671" w:rsidRDefault="00F9458B" w:rsidP="00F9458B">
            <w:r w:rsidRPr="008A6671">
              <w:t>Definition</w:t>
            </w:r>
          </w:p>
        </w:tc>
        <w:tc>
          <w:tcPr>
            <w:tcW w:w="8037" w:type="dxa"/>
          </w:tcPr>
          <w:p w14:paraId="2B8B0A78" w14:textId="1AC28420" w:rsidR="00F9458B" w:rsidRPr="008A6671" w:rsidRDefault="00F9458B" w:rsidP="00F9458B">
            <w:pPr>
              <w:rPr>
                <w:rFonts w:eastAsia="Calibri"/>
              </w:rPr>
            </w:pPr>
            <w:r w:rsidRPr="008A6671">
              <w:rPr>
                <w:rFonts w:eastAsia="Calibri"/>
              </w:rPr>
              <w:t xml:space="preserve">The PHN has a Commissioning Framework </w:t>
            </w:r>
            <w:r w:rsidR="003625F8">
              <w:rPr>
                <w:rFonts w:eastAsia="Calibri"/>
              </w:rPr>
              <w:t xml:space="preserve">that </w:t>
            </w:r>
            <w:r w:rsidRPr="008A6671">
              <w:rPr>
                <w:rFonts w:eastAsia="Calibri"/>
              </w:rPr>
              <w:t xml:space="preserve">is structured around three broad phases of strategic planning, procuring services, </w:t>
            </w:r>
            <w:r w:rsidR="00D154A0">
              <w:rPr>
                <w:rFonts w:eastAsia="Calibri"/>
              </w:rPr>
              <w:t xml:space="preserve">and </w:t>
            </w:r>
            <w:r w:rsidRPr="008A6671">
              <w:rPr>
                <w:rFonts w:eastAsia="Calibri"/>
              </w:rPr>
              <w:t>monitoring and evaluation.  It also includes consideration of cultural appropriateness and stakeholder engagement at every stage of the process</w:t>
            </w:r>
          </w:p>
          <w:p w14:paraId="101D7AA8" w14:textId="7DCAC173" w:rsidR="00F9458B" w:rsidRPr="008A6671" w:rsidRDefault="00F9458B" w:rsidP="00F9458B">
            <w:pPr>
              <w:rPr>
                <w:rFonts w:eastAsia="Calibri"/>
              </w:rPr>
            </w:pPr>
            <w:r w:rsidRPr="008A6671">
              <w:rPr>
                <w:rFonts w:eastAsia="Calibri"/>
              </w:rPr>
              <w:t>Cultural appropriateness refers to ways of working with people of different cultural backgrounds with an understanding of their cultural differences, needs and respect</w:t>
            </w:r>
            <w:r w:rsidR="00D154A0">
              <w:rPr>
                <w:rFonts w:eastAsia="Calibri"/>
              </w:rPr>
              <w:t>.</w:t>
            </w:r>
          </w:p>
          <w:p w14:paraId="55F7496F" w14:textId="785B7DCC" w:rsidR="00F9458B" w:rsidRPr="008A6671" w:rsidRDefault="00F9458B" w:rsidP="00F9458B">
            <w:r w:rsidRPr="008A6671">
              <w:rPr>
                <w:rFonts w:eastAsia="Calibri"/>
              </w:rPr>
              <w:t xml:space="preserve">See PHN Commissioning Resources for further information: </w:t>
            </w:r>
            <w:hyperlink r:id="rId20" w:history="1">
              <w:r w:rsidRPr="008A6671">
                <w:rPr>
                  <w:color w:val="0000FF" w:themeColor="hyperlink"/>
                  <w:u w:val="single"/>
                </w:rPr>
                <w:t>http://www.health.gov.au/internet/main/publishing.nsf/Content/PHNCommissioningResources</w:t>
              </w:r>
            </w:hyperlink>
          </w:p>
        </w:tc>
      </w:tr>
      <w:tr w:rsidR="00F9458B" w:rsidRPr="00F9458B" w14:paraId="5CE528BA" w14:textId="77777777" w:rsidTr="004F6955">
        <w:trPr>
          <w:cantSplit/>
        </w:trPr>
        <w:tc>
          <w:tcPr>
            <w:tcW w:w="1691" w:type="dxa"/>
          </w:tcPr>
          <w:p w14:paraId="5E5DC17C" w14:textId="0C0668F8" w:rsidR="00F9458B" w:rsidRPr="008A6671" w:rsidRDefault="00F9458B" w:rsidP="00F9458B">
            <w:r w:rsidRPr="008A6671">
              <w:t>Purpose</w:t>
            </w:r>
          </w:p>
        </w:tc>
        <w:tc>
          <w:tcPr>
            <w:tcW w:w="8037" w:type="dxa"/>
          </w:tcPr>
          <w:p w14:paraId="4DD4A62F" w14:textId="0A736CDA" w:rsidR="00F9458B" w:rsidRPr="008A6671" w:rsidRDefault="00F9458B" w:rsidP="00F9458B">
            <w:pPr>
              <w:rPr>
                <w:rFonts w:eastAsia="Calibri"/>
              </w:rPr>
            </w:pPr>
            <w:r w:rsidRPr="008A6671">
              <w:rPr>
                <w:rFonts w:eastAsia="Calibri"/>
              </w:rPr>
              <w:t>Under the PHN Program model, PHNs use commissioning to address the prioritised needs of their region</w:t>
            </w:r>
            <w:r w:rsidR="00D154A0">
              <w:rPr>
                <w:rFonts w:eastAsia="Calibri"/>
              </w:rPr>
              <w:t>.</w:t>
            </w:r>
          </w:p>
          <w:p w14:paraId="71F847BE" w14:textId="61F853ED" w:rsidR="00F9458B" w:rsidRPr="008A6671" w:rsidRDefault="00F9458B" w:rsidP="00F9458B">
            <w:r w:rsidRPr="008A6671">
              <w:rPr>
                <w:rFonts w:eastAsia="Calibri"/>
              </w:rPr>
              <w:t>A Commissioning Framework is a tool which assists PHNs to fulfil their commissioning role in a strategic way</w:t>
            </w:r>
            <w:r w:rsidR="00D154A0">
              <w:rPr>
                <w:rFonts w:eastAsia="Calibri"/>
              </w:rPr>
              <w:t>.</w:t>
            </w:r>
          </w:p>
        </w:tc>
      </w:tr>
      <w:tr w:rsidR="00F9458B" w:rsidRPr="00F9458B" w14:paraId="499F97B4" w14:textId="77777777" w:rsidTr="004F6955">
        <w:trPr>
          <w:cantSplit/>
        </w:trPr>
        <w:tc>
          <w:tcPr>
            <w:tcW w:w="1691" w:type="dxa"/>
          </w:tcPr>
          <w:p w14:paraId="5E584634" w14:textId="199F4D7D" w:rsidR="00F9458B" w:rsidRPr="008A6671" w:rsidRDefault="00F9458B" w:rsidP="00F9458B">
            <w:r w:rsidRPr="008A6671">
              <w:lastRenderedPageBreak/>
              <w:t>Outcome Theme: Quality Care</w:t>
            </w:r>
          </w:p>
        </w:tc>
        <w:tc>
          <w:tcPr>
            <w:tcW w:w="8037" w:type="dxa"/>
          </w:tcPr>
          <w:p w14:paraId="7B8A2289" w14:textId="26482A70" w:rsidR="00F9458B" w:rsidRPr="008A6671" w:rsidRDefault="00F9458B" w:rsidP="00F9458B">
            <w:pPr>
              <w:rPr>
                <w:rFonts w:eastAsia="Calibri"/>
              </w:rPr>
            </w:pPr>
            <w:r w:rsidRPr="008A6671">
              <w:rPr>
                <w:rFonts w:eastAsia="Calibri"/>
              </w:rPr>
              <w:t>Outcome:</w:t>
            </w:r>
          </w:p>
          <w:p w14:paraId="7D5BE650" w14:textId="2E71A3BC" w:rsidR="00F9458B" w:rsidRPr="008A6671" w:rsidRDefault="00F9458B" w:rsidP="00F9458B">
            <w:r w:rsidRPr="008A6671">
              <w:rPr>
                <w:rFonts w:eastAsia="Calibri"/>
              </w:rPr>
              <w:t>Local workforce has suitable cultural and clinical skills to address health needs of PHN region</w:t>
            </w:r>
            <w:r w:rsidR="00D154A0">
              <w:rPr>
                <w:rFonts w:eastAsia="Calibri"/>
              </w:rPr>
              <w:t>.</w:t>
            </w:r>
          </w:p>
        </w:tc>
      </w:tr>
      <w:tr w:rsidR="00F9458B" w:rsidRPr="00F9458B" w14:paraId="26B554AC" w14:textId="77777777" w:rsidTr="004F6955">
        <w:trPr>
          <w:cantSplit/>
        </w:trPr>
        <w:tc>
          <w:tcPr>
            <w:tcW w:w="1691" w:type="dxa"/>
          </w:tcPr>
          <w:p w14:paraId="0A8BABFC" w14:textId="56268BE7" w:rsidR="00F9458B" w:rsidRPr="008A6671" w:rsidRDefault="00F9458B" w:rsidP="00F9458B">
            <w:r w:rsidRPr="008A6671">
              <w:t>Outcome Theme: Capable Organisations</w:t>
            </w:r>
          </w:p>
        </w:tc>
        <w:tc>
          <w:tcPr>
            <w:tcW w:w="8037" w:type="dxa"/>
          </w:tcPr>
          <w:p w14:paraId="2B51A2FD" w14:textId="503B7A35" w:rsidR="00F9458B" w:rsidRPr="008A6671" w:rsidRDefault="00F9458B" w:rsidP="00F9458B">
            <w:pPr>
              <w:rPr>
                <w:rFonts w:eastAsia="Calibri"/>
              </w:rPr>
            </w:pPr>
            <w:r w:rsidRPr="008A6671">
              <w:rPr>
                <w:rFonts w:eastAsia="Calibri"/>
              </w:rPr>
              <w:t>Outcome:</w:t>
            </w:r>
          </w:p>
          <w:p w14:paraId="75E67F7A" w14:textId="07307F9E" w:rsidR="00F9458B" w:rsidRPr="008A6671" w:rsidRDefault="00F9458B" w:rsidP="00F9458B">
            <w:r w:rsidRPr="008A6671">
              <w:rPr>
                <w:rFonts w:eastAsia="Calibri"/>
              </w:rPr>
              <w:t>The PHN uses commissioning cycle processes to identify, plan, procure, monitor and evaluate services to</w:t>
            </w:r>
            <w:r w:rsidRPr="008A6671">
              <w:t xml:space="preserve"> </w:t>
            </w:r>
            <w:r w:rsidRPr="008A6671">
              <w:rPr>
                <w:rFonts w:eastAsia="Calibri"/>
              </w:rPr>
              <w:t>respond to the prioritised health needs of its region</w:t>
            </w:r>
            <w:r w:rsidR="00420B7C">
              <w:rPr>
                <w:rFonts w:eastAsia="Calibri"/>
              </w:rPr>
              <w:t xml:space="preserve">. </w:t>
            </w:r>
          </w:p>
        </w:tc>
      </w:tr>
      <w:tr w:rsidR="00F9458B" w:rsidRPr="00F9458B" w14:paraId="29CC4B28" w14:textId="77777777" w:rsidTr="004F6955">
        <w:trPr>
          <w:cantSplit/>
        </w:trPr>
        <w:tc>
          <w:tcPr>
            <w:tcW w:w="1691" w:type="dxa"/>
          </w:tcPr>
          <w:p w14:paraId="157E0CF3" w14:textId="292C419E" w:rsidR="00F9458B" w:rsidRPr="008A6671" w:rsidRDefault="00F9458B" w:rsidP="00F9458B">
            <w:r w:rsidRPr="008A6671">
              <w:t>Performance Criteria</w:t>
            </w:r>
          </w:p>
        </w:tc>
        <w:tc>
          <w:tcPr>
            <w:tcW w:w="8037" w:type="dxa"/>
          </w:tcPr>
          <w:p w14:paraId="1FC37E2D" w14:textId="39CDB445" w:rsidR="00F9458B" w:rsidRPr="008A6671" w:rsidRDefault="00F9458B" w:rsidP="00F9458B">
            <w:r w:rsidRPr="008A6671">
              <w:rPr>
                <w:rFonts w:eastAsia="Calibri"/>
              </w:rPr>
              <w:t>The PHN has a Commissioning Framework which includes strategic planning, procuring services and monitoring and evaluation phases, with cultural appropriateness and stakeholder engagement considered throughout the process</w:t>
            </w:r>
            <w:r w:rsidR="00420B7C">
              <w:rPr>
                <w:rFonts w:eastAsia="Calibri"/>
              </w:rPr>
              <w:t xml:space="preserve">. </w:t>
            </w:r>
          </w:p>
        </w:tc>
      </w:tr>
      <w:tr w:rsidR="00F9458B" w:rsidRPr="00F9458B" w14:paraId="6C98FF08" w14:textId="77777777" w:rsidTr="004F6955">
        <w:trPr>
          <w:cantSplit/>
        </w:trPr>
        <w:tc>
          <w:tcPr>
            <w:tcW w:w="1691" w:type="dxa"/>
          </w:tcPr>
          <w:p w14:paraId="1D6C09F6" w14:textId="5DB75CA8" w:rsidR="00F9458B" w:rsidRPr="008A6671" w:rsidRDefault="00F9458B" w:rsidP="00F9458B">
            <w:r w:rsidRPr="008A6671">
              <w:t>Data Source</w:t>
            </w:r>
          </w:p>
        </w:tc>
        <w:tc>
          <w:tcPr>
            <w:tcW w:w="8037" w:type="dxa"/>
          </w:tcPr>
          <w:p w14:paraId="54C6E055" w14:textId="21DE06CB" w:rsidR="00F9458B" w:rsidRPr="008A6671" w:rsidRDefault="00F9458B" w:rsidP="00F9458B">
            <w:r w:rsidRPr="008A6671">
              <w:rPr>
                <w:rFonts w:eastAsia="Calibri"/>
              </w:rPr>
              <w:t>Copy of the PHN’s Commissioning Framework</w:t>
            </w:r>
          </w:p>
        </w:tc>
      </w:tr>
      <w:tr w:rsidR="00F9458B" w:rsidRPr="00F9458B" w14:paraId="5DAB7392" w14:textId="77777777" w:rsidTr="004F6955">
        <w:trPr>
          <w:cantSplit/>
        </w:trPr>
        <w:tc>
          <w:tcPr>
            <w:tcW w:w="1691" w:type="dxa"/>
          </w:tcPr>
          <w:p w14:paraId="447CD429" w14:textId="35F3791B" w:rsidR="00F9458B" w:rsidRPr="008A6671" w:rsidRDefault="00F9458B" w:rsidP="00F9458B">
            <w:r w:rsidRPr="008A6671">
              <w:t>Calculation</w:t>
            </w:r>
          </w:p>
        </w:tc>
        <w:tc>
          <w:tcPr>
            <w:tcW w:w="8037" w:type="dxa"/>
          </w:tcPr>
          <w:p w14:paraId="03E40549" w14:textId="63987F6B" w:rsidR="00F9458B" w:rsidRPr="008A6671" w:rsidRDefault="00F9458B" w:rsidP="00F9458B">
            <w:r w:rsidRPr="008A6671">
              <w:rPr>
                <w:rFonts w:eastAsia="Calibri"/>
              </w:rPr>
              <w:t>Department of Health</w:t>
            </w:r>
            <w:r w:rsidR="0004478E" w:rsidRPr="008A6671">
              <w:rPr>
                <w:rFonts w:eastAsia="Calibri"/>
              </w:rPr>
              <w:t xml:space="preserve"> and Aged Care</w:t>
            </w:r>
            <w:r w:rsidRPr="008A6671">
              <w:rPr>
                <w:rFonts w:eastAsia="Calibri"/>
              </w:rPr>
              <w:t xml:space="preserve"> will assess the qualitative information provided by the PHN</w:t>
            </w:r>
            <w:r w:rsidR="00420B7C">
              <w:rPr>
                <w:rFonts w:eastAsia="Calibri"/>
              </w:rPr>
              <w:t xml:space="preserve">. </w:t>
            </w:r>
          </w:p>
        </w:tc>
      </w:tr>
      <w:tr w:rsidR="00F9458B" w:rsidRPr="00F9458B" w14:paraId="4170C8BA" w14:textId="77777777" w:rsidTr="004F6955">
        <w:trPr>
          <w:cantSplit/>
        </w:trPr>
        <w:tc>
          <w:tcPr>
            <w:tcW w:w="1691" w:type="dxa"/>
          </w:tcPr>
          <w:p w14:paraId="157D8EC5" w14:textId="74CC2580" w:rsidR="00F9458B" w:rsidRPr="008A6671" w:rsidRDefault="00F9458B" w:rsidP="00F9458B">
            <w:r w:rsidRPr="008A6671">
              <w:t>Limitations</w:t>
            </w:r>
          </w:p>
        </w:tc>
        <w:tc>
          <w:tcPr>
            <w:tcW w:w="8037" w:type="dxa"/>
          </w:tcPr>
          <w:p w14:paraId="0CDAD02B" w14:textId="2F9F7D8B" w:rsidR="00F9458B" w:rsidRPr="008A6671" w:rsidRDefault="00F9458B" w:rsidP="00F9458B">
            <w:r w:rsidRPr="008A6671">
              <w:rPr>
                <w:rFonts w:eastAsia="Calibri"/>
              </w:rPr>
              <w:t>This indicator does not include an assessment of the quality of the Commissioning Framework or its ability to commission high quality, effective services</w:t>
            </w:r>
            <w:r w:rsidR="00420B7C">
              <w:rPr>
                <w:rFonts w:eastAsia="Calibri"/>
              </w:rPr>
              <w:t>.</w:t>
            </w:r>
          </w:p>
        </w:tc>
      </w:tr>
      <w:tr w:rsidR="00F9458B" w:rsidRPr="00F9458B" w14:paraId="7A916236" w14:textId="77777777" w:rsidTr="004F6955">
        <w:trPr>
          <w:cantSplit/>
        </w:trPr>
        <w:tc>
          <w:tcPr>
            <w:tcW w:w="1691" w:type="dxa"/>
          </w:tcPr>
          <w:p w14:paraId="1ED16FDF" w14:textId="3EEB4051" w:rsidR="00F9458B" w:rsidRPr="008A6671" w:rsidRDefault="00F9458B" w:rsidP="00F9458B">
            <w:r w:rsidRPr="008A6671">
              <w:t>Additional information</w:t>
            </w:r>
          </w:p>
        </w:tc>
        <w:tc>
          <w:tcPr>
            <w:tcW w:w="8037" w:type="dxa"/>
          </w:tcPr>
          <w:p w14:paraId="63BD91DB" w14:textId="6FF11738" w:rsidR="00F9458B" w:rsidRPr="008A6671" w:rsidRDefault="00F9458B" w:rsidP="00F9458B">
            <w:r w:rsidRPr="008A6671">
              <w:rPr>
                <w:rFonts w:eastAsia="Calibri"/>
              </w:rPr>
              <w:t>As the Program and Framework matures, this indicator will be amended to consider the quality and effectiveness of the Commissioning Frameworks</w:t>
            </w:r>
            <w:r w:rsidR="00420B7C">
              <w:rPr>
                <w:rFonts w:eastAsia="Calibri"/>
              </w:rPr>
              <w:t xml:space="preserve">. </w:t>
            </w:r>
          </w:p>
        </w:tc>
      </w:tr>
    </w:tbl>
    <w:p w14:paraId="3671A1C9" w14:textId="77777777" w:rsidR="00F9458B" w:rsidRPr="008A6671" w:rsidRDefault="00F9458B" w:rsidP="00D10B0F">
      <w:r w:rsidRPr="008A6671">
        <w:br w:type="page"/>
      </w:r>
    </w:p>
    <w:p w14:paraId="405872B6" w14:textId="77777777" w:rsidR="00F9458B" w:rsidRPr="00F9458B" w:rsidRDefault="00F9458B" w:rsidP="00034E43">
      <w:pPr>
        <w:pStyle w:val="Heading1Orange"/>
      </w:pPr>
      <w:bookmarkStart w:id="132" w:name="_Toc176250626"/>
      <w:bookmarkStart w:id="133" w:name="_Toc522013920"/>
      <w:bookmarkStart w:id="134" w:name="_Toc197069400"/>
      <w:r w:rsidRPr="00F9458B">
        <w:lastRenderedPageBreak/>
        <w:t>Digital Health indicators</w:t>
      </w:r>
      <w:bookmarkEnd w:id="132"/>
      <w:bookmarkEnd w:id="133"/>
      <w:bookmarkEnd w:id="134"/>
    </w:p>
    <w:p w14:paraId="1C359007" w14:textId="1D154B4B" w:rsidR="00F9458B" w:rsidRPr="00665D8A" w:rsidRDefault="00F04FED" w:rsidP="00665D8A">
      <w:pPr>
        <w:pStyle w:val="Heading2"/>
      </w:pPr>
      <w:bookmarkStart w:id="135" w:name="_Toc517267780"/>
      <w:bookmarkStart w:id="136" w:name="_Toc517334432"/>
      <w:bookmarkStart w:id="137" w:name="_Toc517769830"/>
      <w:bookmarkStart w:id="138" w:name="_Toc517267781"/>
      <w:bookmarkStart w:id="139" w:name="_Toc517334433"/>
      <w:bookmarkStart w:id="140" w:name="_Toc517769831"/>
      <w:r w:rsidRPr="00665D8A">
        <w:t>DH1: Rate of health care providers informed about My Health Record</w:t>
      </w:r>
      <w:bookmarkEnd w:id="135"/>
      <w:bookmarkEnd w:id="136"/>
      <w:bookmarkEnd w:id="137"/>
    </w:p>
    <w:tbl>
      <w:tblPr>
        <w:tblStyle w:val="PHNTealtable"/>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4A0" w:firstRow="1" w:lastRow="0" w:firstColumn="1" w:lastColumn="0" w:noHBand="0" w:noVBand="1"/>
        <w:tblDescription w:val="This table details indicator DH1: Rate of health care providers informed about My Health Record. It is comprised of two columns, and 11 rows. Column one provides the Item of the indicator, and Column two outlines the corresponding description."/>
      </w:tblPr>
      <w:tblGrid>
        <w:gridCol w:w="1570"/>
        <w:gridCol w:w="8157"/>
      </w:tblGrid>
      <w:tr w:rsidR="00F9458B" w:rsidRPr="00F9458B" w14:paraId="4636EF44" w14:textId="77777777" w:rsidTr="009038CB">
        <w:trPr>
          <w:cnfStyle w:val="100000000000" w:firstRow="1" w:lastRow="0" w:firstColumn="0" w:lastColumn="0" w:oddVBand="0" w:evenVBand="0" w:oddHBand="0" w:evenHBand="0" w:firstRowFirstColumn="0" w:firstRowLastColumn="0" w:lastRowFirstColumn="0" w:lastRowLastColumn="0"/>
          <w:tblHeader/>
        </w:trPr>
        <w:tc>
          <w:tcPr>
            <w:tcW w:w="1574" w:type="dxa"/>
            <w:shd w:val="clear" w:color="auto" w:fill="153A6E"/>
          </w:tcPr>
          <w:p w14:paraId="4DE32333" w14:textId="6EB24369" w:rsidR="00F9458B" w:rsidRPr="00716651" w:rsidRDefault="00F9458B" w:rsidP="00665D8A">
            <w:pPr>
              <w:pStyle w:val="TableHeaderWhite"/>
            </w:pPr>
            <w:r w:rsidRPr="00716651">
              <w:t>Item</w:t>
            </w:r>
          </w:p>
        </w:tc>
        <w:tc>
          <w:tcPr>
            <w:tcW w:w="8388" w:type="dxa"/>
            <w:shd w:val="clear" w:color="auto" w:fill="153A6E"/>
          </w:tcPr>
          <w:p w14:paraId="1DCA4062" w14:textId="3ADD2F49" w:rsidR="00F9458B" w:rsidRPr="00716651" w:rsidRDefault="00F9458B" w:rsidP="00665D8A">
            <w:pPr>
              <w:pStyle w:val="TableHeaderWhite"/>
            </w:pPr>
            <w:r w:rsidRPr="00716651">
              <w:t>Description</w:t>
            </w:r>
          </w:p>
        </w:tc>
      </w:tr>
      <w:tr w:rsidR="00F9458B" w:rsidRPr="00F9458B" w14:paraId="3F67B588" w14:textId="77777777" w:rsidTr="00405F47">
        <w:trPr>
          <w:cantSplit/>
        </w:trPr>
        <w:tc>
          <w:tcPr>
            <w:tcW w:w="1574" w:type="dxa"/>
          </w:tcPr>
          <w:p w14:paraId="7C8FA79A" w14:textId="5065B265" w:rsidR="00F9458B" w:rsidRPr="008A6671" w:rsidRDefault="00F9458B" w:rsidP="00F9458B">
            <w:r w:rsidRPr="008A6671">
              <w:t>Assessment</w:t>
            </w:r>
          </w:p>
        </w:tc>
        <w:tc>
          <w:tcPr>
            <w:tcW w:w="8388" w:type="dxa"/>
          </w:tcPr>
          <w:p w14:paraId="2E1DC43F" w14:textId="1DEB0199" w:rsidR="00F9458B" w:rsidRPr="008A6671" w:rsidRDefault="00F9458B" w:rsidP="00F9458B">
            <w:r w:rsidRPr="008A6671">
              <w:t>Individual PHN</w:t>
            </w:r>
          </w:p>
        </w:tc>
      </w:tr>
      <w:tr w:rsidR="00F9458B" w:rsidRPr="00F9458B" w14:paraId="4785F749" w14:textId="77777777" w:rsidTr="00405F47">
        <w:trPr>
          <w:cantSplit/>
        </w:trPr>
        <w:tc>
          <w:tcPr>
            <w:tcW w:w="1574" w:type="dxa"/>
          </w:tcPr>
          <w:p w14:paraId="275FB026" w14:textId="18229E41" w:rsidR="00F9458B" w:rsidRPr="008A6671" w:rsidRDefault="00F9458B" w:rsidP="00F9458B">
            <w:r w:rsidRPr="008A6671">
              <w:t>Reporting</w:t>
            </w:r>
          </w:p>
        </w:tc>
        <w:tc>
          <w:tcPr>
            <w:tcW w:w="8388" w:type="dxa"/>
          </w:tcPr>
          <w:p w14:paraId="1CF55F06" w14:textId="7AB3C708" w:rsidR="00F9458B" w:rsidRPr="008A6671" w:rsidRDefault="00F9458B" w:rsidP="00F9458B">
            <w:r w:rsidRPr="008A6671">
              <w:rPr>
                <w:rFonts w:eastAsia="Calibri"/>
              </w:rPr>
              <w:t>My Health Record Expansion Program (MHREP) Schedule reporting</w:t>
            </w:r>
            <w:r w:rsidR="005A1037" w:rsidRPr="008A6671">
              <w:rPr>
                <w:rFonts w:eastAsia="Calibri"/>
              </w:rPr>
              <w:t xml:space="preserve"> by the Department.</w:t>
            </w:r>
          </w:p>
        </w:tc>
      </w:tr>
      <w:tr w:rsidR="00F9458B" w:rsidRPr="00F9458B" w14:paraId="68F64766" w14:textId="77777777" w:rsidTr="00405F47">
        <w:trPr>
          <w:cantSplit/>
        </w:trPr>
        <w:tc>
          <w:tcPr>
            <w:tcW w:w="1574" w:type="dxa"/>
          </w:tcPr>
          <w:p w14:paraId="3AE47031" w14:textId="32658BEF" w:rsidR="00F9458B" w:rsidRPr="008A6671" w:rsidRDefault="00F9458B" w:rsidP="00F9458B">
            <w:r w:rsidRPr="008A6671">
              <w:t>Definition</w:t>
            </w:r>
          </w:p>
        </w:tc>
        <w:tc>
          <w:tcPr>
            <w:tcW w:w="8388" w:type="dxa"/>
          </w:tcPr>
          <w:p w14:paraId="68B0E05D" w14:textId="0F793DC8" w:rsidR="00F9458B" w:rsidRPr="008A6671" w:rsidRDefault="00F9458B" w:rsidP="00F9458B">
            <w:pPr>
              <w:rPr>
                <w:rFonts w:eastAsia="Calibri"/>
              </w:rPr>
            </w:pPr>
            <w:r w:rsidRPr="008A6671">
              <w:rPr>
                <w:rFonts w:eastAsia="Calibri"/>
              </w:rPr>
              <w:t>Rate of health care providers informed about My Health Record (MyHR)</w:t>
            </w:r>
            <w:r w:rsidR="00076CCC">
              <w:rPr>
                <w:rFonts w:eastAsia="Calibri"/>
              </w:rPr>
              <w:t>.</w:t>
            </w:r>
          </w:p>
          <w:p w14:paraId="649C4472" w14:textId="48E0412E" w:rsidR="00F9458B" w:rsidRPr="008A6671" w:rsidRDefault="00F9458B" w:rsidP="00F9458B">
            <w:pPr>
              <w:rPr>
                <w:rFonts w:eastAsia="Calibri"/>
              </w:rPr>
            </w:pPr>
            <w:r w:rsidRPr="008A6671">
              <w:rPr>
                <w:rFonts w:eastAsia="Calibri"/>
              </w:rPr>
              <w:t>Health care providers include general practice, community pharmacy, private specialist practice and allied health services</w:t>
            </w:r>
            <w:r w:rsidR="00076CCC">
              <w:rPr>
                <w:rFonts w:eastAsia="Calibri"/>
              </w:rPr>
              <w:t>.</w:t>
            </w:r>
          </w:p>
          <w:p w14:paraId="59FAC27F" w14:textId="01E576A5" w:rsidR="00F9458B" w:rsidRPr="008A6671" w:rsidRDefault="00F9458B" w:rsidP="00F9458B">
            <w:pPr>
              <w:rPr>
                <w:rFonts w:eastAsia="Calibri"/>
              </w:rPr>
            </w:pPr>
            <w:r w:rsidRPr="008A6671">
              <w:rPr>
                <w:rFonts w:eastAsia="Calibri"/>
              </w:rPr>
              <w:t>Informed about MyHR describes activities funded under MHREP to improve awareness</w:t>
            </w:r>
            <w:r w:rsidR="00076CCC">
              <w:rPr>
                <w:rFonts w:eastAsia="Calibri"/>
              </w:rPr>
              <w:t>.</w:t>
            </w:r>
          </w:p>
        </w:tc>
      </w:tr>
      <w:tr w:rsidR="00F9458B" w:rsidRPr="00F9458B" w14:paraId="6017161B" w14:textId="77777777" w:rsidTr="00405F47">
        <w:trPr>
          <w:cantSplit/>
        </w:trPr>
        <w:tc>
          <w:tcPr>
            <w:tcW w:w="1574" w:type="dxa"/>
          </w:tcPr>
          <w:p w14:paraId="39573451" w14:textId="53B1CF9E" w:rsidR="00F9458B" w:rsidRPr="008A6671" w:rsidRDefault="00F9458B" w:rsidP="00F9458B">
            <w:r w:rsidRPr="008A6671">
              <w:t>Purpose</w:t>
            </w:r>
          </w:p>
        </w:tc>
        <w:tc>
          <w:tcPr>
            <w:tcW w:w="8388" w:type="dxa"/>
          </w:tcPr>
          <w:p w14:paraId="617ED86C" w14:textId="4106EEC6" w:rsidR="00F9458B" w:rsidRPr="008A6671" w:rsidRDefault="00F9458B" w:rsidP="00F9458B">
            <w:pPr>
              <w:rPr>
                <w:rFonts w:eastAsia="Calibri"/>
              </w:rPr>
            </w:pPr>
            <w:r w:rsidRPr="008A6671">
              <w:rPr>
                <w:rFonts w:eastAsia="Calibri"/>
              </w:rPr>
              <w:t>PHNs are required to inform health care providers about MyHR including encouraging ongoing adoption and use of the MyHR</w:t>
            </w:r>
            <w:r w:rsidR="00076CCC">
              <w:rPr>
                <w:rFonts w:eastAsia="Calibri"/>
              </w:rPr>
              <w:t>.</w:t>
            </w:r>
          </w:p>
          <w:p w14:paraId="5A418EA2" w14:textId="46382E66" w:rsidR="00F9458B" w:rsidRPr="008A6671" w:rsidRDefault="00F9458B" w:rsidP="00F9458B">
            <w:r w:rsidRPr="008A6671">
              <w:rPr>
                <w:rFonts w:eastAsia="Calibri"/>
              </w:rPr>
              <w:t>PHNs are required to deliver MyHR awareness and training to health care providers</w:t>
            </w:r>
            <w:r w:rsidR="00076CCC">
              <w:rPr>
                <w:rFonts w:eastAsia="Calibri"/>
              </w:rPr>
              <w:t>.</w:t>
            </w:r>
          </w:p>
        </w:tc>
      </w:tr>
      <w:tr w:rsidR="00F9458B" w:rsidRPr="00F9458B" w14:paraId="20BF8DEB" w14:textId="77777777" w:rsidTr="00405F47">
        <w:trPr>
          <w:cantSplit/>
        </w:trPr>
        <w:tc>
          <w:tcPr>
            <w:tcW w:w="1574" w:type="dxa"/>
          </w:tcPr>
          <w:p w14:paraId="3383CA01" w14:textId="475DC8B9" w:rsidR="00F9458B" w:rsidRPr="008A6671" w:rsidRDefault="00F9458B" w:rsidP="00F9458B">
            <w:r w:rsidRPr="008A6671">
              <w:t>Outcome Theme: Coordinated Care</w:t>
            </w:r>
          </w:p>
        </w:tc>
        <w:tc>
          <w:tcPr>
            <w:tcW w:w="8388" w:type="dxa"/>
          </w:tcPr>
          <w:p w14:paraId="61E94DAC" w14:textId="7DCAF74D" w:rsidR="00F9458B" w:rsidRPr="008A6671" w:rsidRDefault="00F9458B" w:rsidP="00F9458B">
            <w:pPr>
              <w:rPr>
                <w:rFonts w:eastAsia="Calibri"/>
              </w:rPr>
            </w:pPr>
            <w:r w:rsidRPr="008A6671">
              <w:rPr>
                <w:rFonts w:eastAsia="Calibri"/>
              </w:rPr>
              <w:t>Outcome:</w:t>
            </w:r>
          </w:p>
          <w:p w14:paraId="4E5599FF" w14:textId="147A1933" w:rsidR="00F9458B" w:rsidRPr="008A6671" w:rsidRDefault="00F9458B" w:rsidP="00F9458B">
            <w:r w:rsidRPr="008A6671">
              <w:rPr>
                <w:rFonts w:eastAsia="Calibri"/>
              </w:rPr>
              <w:t>Health care providers are aware of digital health systems and technologies</w:t>
            </w:r>
            <w:r w:rsidR="00076CCC">
              <w:rPr>
                <w:rFonts w:eastAsia="Calibri"/>
              </w:rPr>
              <w:t>.</w:t>
            </w:r>
          </w:p>
        </w:tc>
      </w:tr>
      <w:tr w:rsidR="00F9458B" w:rsidRPr="00F9458B" w14:paraId="25B2BAFB" w14:textId="77777777" w:rsidTr="00405F47">
        <w:trPr>
          <w:cantSplit/>
        </w:trPr>
        <w:tc>
          <w:tcPr>
            <w:tcW w:w="1574" w:type="dxa"/>
          </w:tcPr>
          <w:p w14:paraId="6DA2EF0E" w14:textId="61A94BBF" w:rsidR="00F9458B" w:rsidRPr="008A6671" w:rsidRDefault="00F9458B" w:rsidP="00F9458B">
            <w:r w:rsidRPr="008A6671">
              <w:t>Performance Criteria</w:t>
            </w:r>
          </w:p>
        </w:tc>
        <w:tc>
          <w:tcPr>
            <w:tcW w:w="8388" w:type="dxa"/>
          </w:tcPr>
          <w:p w14:paraId="1EB9E40C" w14:textId="33E9E3A2" w:rsidR="00F9458B" w:rsidRPr="008A6671" w:rsidRDefault="00F9458B" w:rsidP="00F9458B">
            <w:r w:rsidRPr="008A6671">
              <w:rPr>
                <w:rFonts w:eastAsia="Calibri"/>
              </w:rPr>
              <w:t>100% of general practices are aware of and provided with access to MyHR education</w:t>
            </w:r>
            <w:r w:rsidR="00076CCC">
              <w:rPr>
                <w:rFonts w:eastAsia="Calibri"/>
              </w:rPr>
              <w:t>.</w:t>
            </w:r>
          </w:p>
        </w:tc>
      </w:tr>
      <w:tr w:rsidR="00F9458B" w:rsidRPr="00F9458B" w14:paraId="3EE6F005" w14:textId="77777777" w:rsidTr="00405F47">
        <w:trPr>
          <w:cantSplit/>
        </w:trPr>
        <w:tc>
          <w:tcPr>
            <w:tcW w:w="1574" w:type="dxa"/>
          </w:tcPr>
          <w:p w14:paraId="143914E0" w14:textId="057A0452" w:rsidR="00F9458B" w:rsidRPr="008A6671" w:rsidRDefault="00F9458B" w:rsidP="00F9458B">
            <w:r w:rsidRPr="008A6671">
              <w:t>Data Source</w:t>
            </w:r>
          </w:p>
        </w:tc>
        <w:tc>
          <w:tcPr>
            <w:tcW w:w="8388" w:type="dxa"/>
          </w:tcPr>
          <w:p w14:paraId="6CE29CA1" w14:textId="08B8F583" w:rsidR="00F9458B" w:rsidRPr="008A6671" w:rsidRDefault="00F9458B" w:rsidP="00F9458B">
            <w:r w:rsidRPr="008A6671">
              <w:rPr>
                <w:rFonts w:eastAsia="Calibri"/>
              </w:rPr>
              <w:t>MHREP reporting – Indicators 1-4</w:t>
            </w:r>
          </w:p>
        </w:tc>
      </w:tr>
      <w:tr w:rsidR="00F9458B" w:rsidRPr="00F9458B" w14:paraId="5867F30C" w14:textId="77777777" w:rsidTr="00405F47">
        <w:trPr>
          <w:cantSplit/>
        </w:trPr>
        <w:tc>
          <w:tcPr>
            <w:tcW w:w="1574" w:type="dxa"/>
          </w:tcPr>
          <w:p w14:paraId="27FE2553" w14:textId="0AAF6504" w:rsidR="00F9458B" w:rsidRPr="008A6671" w:rsidRDefault="00F9458B" w:rsidP="00F9458B">
            <w:r w:rsidRPr="008A6671">
              <w:t>Calculation</w:t>
            </w:r>
          </w:p>
        </w:tc>
        <w:tc>
          <w:tcPr>
            <w:tcW w:w="8388" w:type="dxa"/>
          </w:tcPr>
          <w:p w14:paraId="5BEAAD21" w14:textId="25D656A6" w:rsidR="00F9458B" w:rsidRPr="008A6671" w:rsidRDefault="00F9458B" w:rsidP="00F9458B">
            <w:pPr>
              <w:rPr>
                <w:rFonts w:eastAsia="Calibri"/>
              </w:rPr>
            </w:pPr>
            <w:r w:rsidRPr="008A6671">
              <w:rPr>
                <w:rFonts w:eastAsia="Calibri"/>
              </w:rPr>
              <w:t>Numerator:</w:t>
            </w:r>
          </w:p>
          <w:p w14:paraId="5500ABDF" w14:textId="4BABE7DD" w:rsidR="00F9458B" w:rsidRPr="008A6671" w:rsidRDefault="00F9458B" w:rsidP="00F9458B">
            <w:pPr>
              <w:rPr>
                <w:rFonts w:eastAsia="Calibri"/>
              </w:rPr>
            </w:pPr>
            <w:r w:rsidRPr="008A6671">
              <w:rPr>
                <w:rFonts w:eastAsia="Calibri"/>
              </w:rPr>
              <w:t>The total number of general practices/community pharmacy/private specialist practice/allied health service receiving information about use of MyHR by the PHN</w:t>
            </w:r>
            <w:r w:rsidR="00076CCC">
              <w:rPr>
                <w:rFonts w:eastAsia="Calibri"/>
              </w:rPr>
              <w:t>.</w:t>
            </w:r>
          </w:p>
          <w:p w14:paraId="15CE5E89" w14:textId="17DD17DD" w:rsidR="00F9458B" w:rsidRPr="008A6671" w:rsidRDefault="00F9458B" w:rsidP="00F9458B">
            <w:pPr>
              <w:rPr>
                <w:rFonts w:eastAsia="Calibri"/>
              </w:rPr>
            </w:pPr>
            <w:r w:rsidRPr="008A6671">
              <w:rPr>
                <w:rFonts w:eastAsia="Calibri"/>
              </w:rPr>
              <w:t>Denominator:</w:t>
            </w:r>
          </w:p>
          <w:p w14:paraId="290D5D0D" w14:textId="154D3CF3" w:rsidR="00F9458B" w:rsidRPr="008A6671" w:rsidRDefault="00F9458B" w:rsidP="00F9458B">
            <w:pPr>
              <w:rPr>
                <w:rFonts w:eastAsia="Calibri"/>
              </w:rPr>
            </w:pPr>
            <w:r w:rsidRPr="008A6671">
              <w:rPr>
                <w:rFonts w:eastAsia="Calibri"/>
              </w:rPr>
              <w:t>The total number of general practices/community pharmacy/private specialist practice/allied health service in PHN region</w:t>
            </w:r>
            <w:r w:rsidR="00076CCC">
              <w:rPr>
                <w:rFonts w:eastAsia="Calibri"/>
              </w:rPr>
              <w:t>.</w:t>
            </w:r>
          </w:p>
          <w:p w14:paraId="00B786CE" w14:textId="5E702C03" w:rsidR="00F9458B" w:rsidRPr="008A6671" w:rsidRDefault="00F9458B" w:rsidP="00F9458B">
            <w:pPr>
              <w:rPr>
                <w:rFonts w:eastAsia="Calibri"/>
              </w:rPr>
            </w:pPr>
            <w:r w:rsidRPr="008A6671">
              <w:rPr>
                <w:rFonts w:eastAsia="Calibri"/>
              </w:rPr>
              <w:t>Computation:</w:t>
            </w:r>
          </w:p>
          <w:p w14:paraId="1BBB4077" w14:textId="2A80109C" w:rsidR="00F9458B" w:rsidRPr="008A6671" w:rsidRDefault="00F9458B" w:rsidP="00F9458B">
            <w:pPr>
              <w:rPr>
                <w:rFonts w:eastAsia="Calibri"/>
              </w:rPr>
            </w:pPr>
            <w:r w:rsidRPr="008A6671">
              <w:rPr>
                <w:rFonts w:eastAsia="Calibri"/>
              </w:rPr>
              <w:t>100 x (numerator / denominator) presented as a percentage in PHN region</w:t>
            </w:r>
            <w:r w:rsidR="00076CCC">
              <w:rPr>
                <w:rFonts w:eastAsia="Calibri"/>
              </w:rPr>
              <w:t>.</w:t>
            </w:r>
          </w:p>
        </w:tc>
      </w:tr>
      <w:tr w:rsidR="00F9458B" w:rsidRPr="00F9458B" w14:paraId="710CE8B1" w14:textId="77777777" w:rsidTr="00405F47">
        <w:trPr>
          <w:cantSplit/>
        </w:trPr>
        <w:tc>
          <w:tcPr>
            <w:tcW w:w="1574" w:type="dxa"/>
          </w:tcPr>
          <w:p w14:paraId="4291FAF8" w14:textId="7B077ED4" w:rsidR="00F9458B" w:rsidRPr="008A6671" w:rsidRDefault="00F9458B" w:rsidP="00F9458B">
            <w:r w:rsidRPr="008A6671">
              <w:t>Limitations</w:t>
            </w:r>
          </w:p>
        </w:tc>
        <w:tc>
          <w:tcPr>
            <w:tcW w:w="8388" w:type="dxa"/>
          </w:tcPr>
          <w:p w14:paraId="7555D9D3" w14:textId="42BDF23F" w:rsidR="00F9458B" w:rsidRPr="008A6671" w:rsidRDefault="00F9458B" w:rsidP="00F9458B">
            <w:r w:rsidRPr="008A6671">
              <w:t>-</w:t>
            </w:r>
          </w:p>
        </w:tc>
      </w:tr>
      <w:tr w:rsidR="00F9458B" w:rsidRPr="00F9458B" w14:paraId="7144AECE" w14:textId="77777777" w:rsidTr="00405F47">
        <w:trPr>
          <w:cantSplit/>
        </w:trPr>
        <w:tc>
          <w:tcPr>
            <w:tcW w:w="1574" w:type="dxa"/>
          </w:tcPr>
          <w:p w14:paraId="03C97AFF" w14:textId="75D151BC" w:rsidR="00F9458B" w:rsidRPr="008A6671" w:rsidRDefault="00F9458B" w:rsidP="00F9458B">
            <w:r w:rsidRPr="008A6671">
              <w:t>Additional information</w:t>
            </w:r>
          </w:p>
        </w:tc>
        <w:tc>
          <w:tcPr>
            <w:tcW w:w="8388" w:type="dxa"/>
          </w:tcPr>
          <w:p w14:paraId="63802BA0" w14:textId="0D3BA6D7" w:rsidR="00F9458B" w:rsidRPr="008A6671" w:rsidRDefault="00F9458B" w:rsidP="00F9458B">
            <w:r w:rsidRPr="008A6671">
              <w:t>-</w:t>
            </w:r>
          </w:p>
        </w:tc>
      </w:tr>
    </w:tbl>
    <w:p w14:paraId="480528B3" w14:textId="77777777" w:rsidR="00F9458B" w:rsidRPr="008A6671" w:rsidRDefault="00F9458B" w:rsidP="00F9458B">
      <w:r w:rsidRPr="008A6671">
        <w:br w:type="page"/>
      </w:r>
    </w:p>
    <w:p w14:paraId="08F72390" w14:textId="65A71868" w:rsidR="00F9458B" w:rsidRPr="00665D8A" w:rsidRDefault="00F04FED" w:rsidP="00665D8A">
      <w:pPr>
        <w:pStyle w:val="Heading2"/>
      </w:pPr>
      <w:r w:rsidRPr="00665D8A">
        <w:lastRenderedPageBreak/>
        <w:t>DH2: Rate of health care providers using specific digital health systems</w:t>
      </w:r>
      <w:bookmarkEnd w:id="138"/>
      <w:bookmarkEnd w:id="139"/>
      <w:bookmarkEnd w:id="140"/>
    </w:p>
    <w:tbl>
      <w:tblPr>
        <w:tblStyle w:val="PHNTealtable"/>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4A0" w:firstRow="1" w:lastRow="0" w:firstColumn="1" w:lastColumn="0" w:noHBand="0" w:noVBand="1"/>
        <w:tblDescription w:val="This table details indicator DH2: Rate of health care providers using specific digital health systems. It is comprised of two columns, and 11 rows. Column one provides the Item of the indicator, and Column two outlines the corresponding description."/>
      </w:tblPr>
      <w:tblGrid>
        <w:gridCol w:w="1570"/>
        <w:gridCol w:w="8157"/>
      </w:tblGrid>
      <w:tr w:rsidR="00F9458B" w:rsidRPr="00F9458B" w14:paraId="256C5519" w14:textId="77777777" w:rsidTr="009038CB">
        <w:trPr>
          <w:cnfStyle w:val="100000000000" w:firstRow="1" w:lastRow="0" w:firstColumn="0" w:lastColumn="0" w:oddVBand="0" w:evenVBand="0" w:oddHBand="0" w:evenHBand="0" w:firstRowFirstColumn="0" w:firstRowLastColumn="0" w:lastRowFirstColumn="0" w:lastRowLastColumn="0"/>
          <w:tblHeader/>
        </w:trPr>
        <w:tc>
          <w:tcPr>
            <w:tcW w:w="1574" w:type="dxa"/>
            <w:shd w:val="clear" w:color="auto" w:fill="153A6E"/>
          </w:tcPr>
          <w:p w14:paraId="0C1BF833" w14:textId="77777777" w:rsidR="00F9458B" w:rsidRPr="00716651" w:rsidRDefault="00F9458B" w:rsidP="00665D8A">
            <w:pPr>
              <w:pStyle w:val="TableHeaderWhite"/>
            </w:pPr>
            <w:r w:rsidRPr="00716651">
              <w:t>Item</w:t>
            </w:r>
          </w:p>
        </w:tc>
        <w:tc>
          <w:tcPr>
            <w:tcW w:w="8388" w:type="dxa"/>
            <w:shd w:val="clear" w:color="auto" w:fill="153A6E"/>
          </w:tcPr>
          <w:p w14:paraId="280D6870" w14:textId="77777777" w:rsidR="00F9458B" w:rsidRPr="00716651" w:rsidRDefault="00F9458B" w:rsidP="00665D8A">
            <w:pPr>
              <w:pStyle w:val="TableHeaderWhite"/>
            </w:pPr>
            <w:r w:rsidRPr="00716651">
              <w:t>Description</w:t>
            </w:r>
          </w:p>
        </w:tc>
      </w:tr>
      <w:tr w:rsidR="00F9458B" w:rsidRPr="00F9458B" w14:paraId="36882E3F" w14:textId="77777777" w:rsidTr="00405F47">
        <w:trPr>
          <w:cantSplit/>
        </w:trPr>
        <w:tc>
          <w:tcPr>
            <w:tcW w:w="1574" w:type="dxa"/>
          </w:tcPr>
          <w:p w14:paraId="480973B4" w14:textId="77777777" w:rsidR="00F9458B" w:rsidRPr="008A6671" w:rsidRDefault="00F9458B" w:rsidP="00F9458B">
            <w:r w:rsidRPr="008A6671">
              <w:t>Assessment</w:t>
            </w:r>
          </w:p>
        </w:tc>
        <w:tc>
          <w:tcPr>
            <w:tcW w:w="8388" w:type="dxa"/>
          </w:tcPr>
          <w:p w14:paraId="2DA88F24" w14:textId="53C26855" w:rsidR="00F9458B" w:rsidRPr="008A6671" w:rsidRDefault="00F9458B" w:rsidP="00F9458B">
            <w:r w:rsidRPr="008A6671">
              <w:t>Individual PHN</w:t>
            </w:r>
            <w:r w:rsidR="00A66CFA">
              <w:t>.</w:t>
            </w:r>
          </w:p>
        </w:tc>
      </w:tr>
      <w:tr w:rsidR="00F9458B" w:rsidRPr="00F9458B" w14:paraId="54EB7341" w14:textId="77777777" w:rsidTr="009038CB">
        <w:trPr>
          <w:cantSplit/>
        </w:trPr>
        <w:tc>
          <w:tcPr>
            <w:tcW w:w="1574" w:type="dxa"/>
            <w:shd w:val="clear" w:color="auto" w:fill="D72F0D"/>
          </w:tcPr>
          <w:p w14:paraId="2162FC62" w14:textId="77777777" w:rsidR="00F9458B" w:rsidRPr="0082185D" w:rsidRDefault="00F9458B" w:rsidP="00665D8A">
            <w:pPr>
              <w:pStyle w:val="TableTextwhite"/>
            </w:pPr>
            <w:r w:rsidRPr="0082185D">
              <w:t>Reporting</w:t>
            </w:r>
          </w:p>
        </w:tc>
        <w:tc>
          <w:tcPr>
            <w:tcW w:w="8388" w:type="dxa"/>
            <w:shd w:val="clear" w:color="auto" w:fill="D72F0D"/>
          </w:tcPr>
          <w:p w14:paraId="6D78F8BE" w14:textId="4DAAA22C" w:rsidR="00F9458B" w:rsidRPr="0082185D" w:rsidRDefault="00091D4D" w:rsidP="00665D8A">
            <w:pPr>
              <w:pStyle w:val="TableTextwhite"/>
            </w:pPr>
            <w:r w:rsidRPr="0082185D">
              <w:t>Twelve</w:t>
            </w:r>
            <w:r w:rsidR="00F9458B" w:rsidRPr="0082185D">
              <w:t xml:space="preserve"> monthly by PHN</w:t>
            </w:r>
            <w:r w:rsidR="00A66CFA" w:rsidRPr="0082185D">
              <w:t>.</w:t>
            </w:r>
          </w:p>
        </w:tc>
      </w:tr>
      <w:tr w:rsidR="00F9458B" w:rsidRPr="00F9458B" w14:paraId="1CAA8C14" w14:textId="77777777" w:rsidTr="00405F47">
        <w:trPr>
          <w:cantSplit/>
        </w:trPr>
        <w:tc>
          <w:tcPr>
            <w:tcW w:w="1574" w:type="dxa"/>
          </w:tcPr>
          <w:p w14:paraId="67B1638C" w14:textId="77777777" w:rsidR="00F9458B" w:rsidRPr="008A6671" w:rsidRDefault="00F9458B" w:rsidP="00F9458B">
            <w:r w:rsidRPr="008A6671">
              <w:t>Definition</w:t>
            </w:r>
          </w:p>
        </w:tc>
        <w:tc>
          <w:tcPr>
            <w:tcW w:w="8388" w:type="dxa"/>
          </w:tcPr>
          <w:p w14:paraId="1B44D105" w14:textId="731466A0" w:rsidR="00F9458B" w:rsidRPr="008A6671" w:rsidRDefault="00F9458B" w:rsidP="00F9458B">
            <w:pPr>
              <w:rPr>
                <w:rFonts w:eastAsia="Calibri"/>
              </w:rPr>
            </w:pPr>
            <w:r w:rsidRPr="008A6671">
              <w:rPr>
                <w:rFonts w:eastAsia="Calibri"/>
              </w:rPr>
              <w:t xml:space="preserve">Rate of </w:t>
            </w:r>
            <w:r w:rsidR="009E098A">
              <w:rPr>
                <w:rFonts w:eastAsia="Calibri"/>
              </w:rPr>
              <w:t>general practices</w:t>
            </w:r>
            <w:r w:rsidRPr="008A6671">
              <w:rPr>
                <w:rFonts w:eastAsia="Calibri"/>
              </w:rPr>
              <w:t xml:space="preserve"> in PHN region using smart forms; e-referrals and telehealth digital health systems</w:t>
            </w:r>
            <w:r w:rsidR="00E40FD7">
              <w:rPr>
                <w:rFonts w:eastAsia="Calibri"/>
              </w:rPr>
              <w:t>.</w:t>
            </w:r>
          </w:p>
          <w:p w14:paraId="185001A8" w14:textId="341EFCAC" w:rsidR="00F9458B" w:rsidRPr="008A6671" w:rsidRDefault="00F9458B" w:rsidP="00F9458B">
            <w:pPr>
              <w:rPr>
                <w:rFonts w:eastAsia="Calibri"/>
              </w:rPr>
            </w:pPr>
            <w:r w:rsidRPr="008A6671">
              <w:rPr>
                <w:rFonts w:eastAsia="Calibri"/>
              </w:rPr>
              <w:t>Smart forms are electronic forms issued by receiving providers that sending providers use to extract information from their client management system and assemble that information into an e-referral or other communication</w:t>
            </w:r>
            <w:r w:rsidR="00E40FD7">
              <w:rPr>
                <w:rFonts w:eastAsia="Calibri"/>
              </w:rPr>
              <w:t>.</w:t>
            </w:r>
          </w:p>
          <w:p w14:paraId="505C4C7E" w14:textId="23D02DC0" w:rsidR="00F9458B" w:rsidRPr="008A6671" w:rsidRDefault="00F9458B" w:rsidP="00F9458B">
            <w:pPr>
              <w:rPr>
                <w:rFonts w:eastAsia="Calibri"/>
              </w:rPr>
            </w:pPr>
            <w:r w:rsidRPr="008A6671">
              <w:rPr>
                <w:rFonts w:eastAsia="Calibri"/>
              </w:rPr>
              <w:t>E-referrals describe the reliable, secure transfer of referral information from one provider’s client management system to another provider’s client management system. E-referrals are a leading indicator of the use of secure electronic messaging for other types of clinical exchange</w:t>
            </w:r>
            <w:r w:rsidR="00E40FD7">
              <w:rPr>
                <w:rFonts w:eastAsia="Calibri"/>
              </w:rPr>
              <w:t>.</w:t>
            </w:r>
          </w:p>
          <w:p w14:paraId="7FEF5C08" w14:textId="0477DB5F" w:rsidR="00F9458B" w:rsidRPr="008A6671" w:rsidRDefault="00F9458B" w:rsidP="00F9458B">
            <w:r w:rsidRPr="008A6671">
              <w:rPr>
                <w:rFonts w:eastAsia="Calibri"/>
              </w:rPr>
              <w:t>Telehealth describes where health care is provided remotely by means of telecommunications technology</w:t>
            </w:r>
            <w:r w:rsidR="00A66CFA">
              <w:rPr>
                <w:rFonts w:eastAsia="Calibri"/>
              </w:rPr>
              <w:t>.</w:t>
            </w:r>
          </w:p>
        </w:tc>
      </w:tr>
      <w:tr w:rsidR="00F9458B" w:rsidRPr="00F9458B" w14:paraId="2EDB1909" w14:textId="77777777" w:rsidTr="00405F47">
        <w:trPr>
          <w:cantSplit/>
        </w:trPr>
        <w:tc>
          <w:tcPr>
            <w:tcW w:w="1574" w:type="dxa"/>
          </w:tcPr>
          <w:p w14:paraId="55CCA7C4" w14:textId="77777777" w:rsidR="00F9458B" w:rsidRPr="008A6671" w:rsidRDefault="00F9458B" w:rsidP="00F9458B">
            <w:r w:rsidRPr="008A6671">
              <w:t>Purpose</w:t>
            </w:r>
          </w:p>
        </w:tc>
        <w:tc>
          <w:tcPr>
            <w:tcW w:w="8388" w:type="dxa"/>
          </w:tcPr>
          <w:p w14:paraId="274CF581" w14:textId="3466435C" w:rsidR="00F9458B" w:rsidRPr="008A6671" w:rsidRDefault="00F9458B" w:rsidP="00F9458B">
            <w:pPr>
              <w:rPr>
                <w:rFonts w:eastAsia="Calibri"/>
              </w:rPr>
            </w:pPr>
            <w:r w:rsidRPr="008A6671">
              <w:rPr>
                <w:rFonts w:eastAsia="Calibri"/>
              </w:rPr>
              <w:t xml:space="preserve">PHNs provide support to </w:t>
            </w:r>
            <w:r w:rsidR="00927B85">
              <w:rPr>
                <w:rFonts w:eastAsia="Calibri"/>
              </w:rPr>
              <w:t>general practices</w:t>
            </w:r>
            <w:r w:rsidRPr="008A6671">
              <w:rPr>
                <w:rFonts w:eastAsia="Calibri"/>
              </w:rPr>
              <w:t xml:space="preserve"> to adopt digital systems which improve the delivery and experience of health care for provider and patients. This indicator can provide a measure of how effective this support has been in encouraging the use of these systems</w:t>
            </w:r>
            <w:r w:rsidR="00E40FD7">
              <w:rPr>
                <w:rFonts w:eastAsia="Calibri"/>
              </w:rPr>
              <w:t>.</w:t>
            </w:r>
          </w:p>
          <w:p w14:paraId="4E730D89" w14:textId="56F1E513" w:rsidR="00F9458B" w:rsidRPr="008A6671" w:rsidRDefault="00F9458B" w:rsidP="00F9458B">
            <w:pPr>
              <w:rPr>
                <w:rFonts w:eastAsia="Calibri"/>
              </w:rPr>
            </w:pPr>
            <w:r w:rsidRPr="008A6671">
              <w:rPr>
                <w:rFonts w:eastAsia="Calibri"/>
              </w:rPr>
              <w:t>The use of telehealth is also a good measure of access, particularly for people in rural/remote parts of PHN regions. PHNs can encourage the use of these technologies to improve access for people at risk of poor outcomes</w:t>
            </w:r>
            <w:r w:rsidR="00B87710">
              <w:rPr>
                <w:rFonts w:eastAsia="Calibri"/>
              </w:rPr>
              <w:t>.</w:t>
            </w:r>
          </w:p>
        </w:tc>
      </w:tr>
      <w:tr w:rsidR="00F9458B" w:rsidRPr="00F9458B" w14:paraId="3F38214F" w14:textId="77777777" w:rsidTr="00405F47">
        <w:trPr>
          <w:cantSplit/>
        </w:trPr>
        <w:tc>
          <w:tcPr>
            <w:tcW w:w="1574" w:type="dxa"/>
          </w:tcPr>
          <w:p w14:paraId="265C4710" w14:textId="77777777" w:rsidR="00F9458B" w:rsidRPr="008A6671" w:rsidRDefault="00F9458B" w:rsidP="00F9458B">
            <w:r w:rsidRPr="008A6671">
              <w:t>Outcome Theme: Quality Care</w:t>
            </w:r>
          </w:p>
        </w:tc>
        <w:tc>
          <w:tcPr>
            <w:tcW w:w="8388" w:type="dxa"/>
          </w:tcPr>
          <w:p w14:paraId="3D1EEDA8" w14:textId="77777777" w:rsidR="00F9458B" w:rsidRPr="008A6671" w:rsidRDefault="00F9458B" w:rsidP="00F9458B">
            <w:pPr>
              <w:rPr>
                <w:rFonts w:eastAsia="Calibri"/>
              </w:rPr>
            </w:pPr>
            <w:r w:rsidRPr="008A6671">
              <w:rPr>
                <w:rFonts w:eastAsia="Calibri"/>
              </w:rPr>
              <w:t>Outcome:</w:t>
            </w:r>
          </w:p>
          <w:p w14:paraId="66900C63" w14:textId="5232E954" w:rsidR="00F9458B" w:rsidRPr="008A6671" w:rsidRDefault="00F9458B" w:rsidP="00F9458B">
            <w:r w:rsidRPr="008A6671">
              <w:rPr>
                <w:rFonts w:eastAsia="Calibri"/>
              </w:rPr>
              <w:t xml:space="preserve">PHNs support </w:t>
            </w:r>
            <w:r w:rsidR="00A15FE7">
              <w:rPr>
                <w:rFonts w:eastAsia="Calibri"/>
              </w:rPr>
              <w:t>general practices</w:t>
            </w:r>
            <w:r w:rsidRPr="008A6671">
              <w:rPr>
                <w:rFonts w:eastAsia="Calibri"/>
              </w:rPr>
              <w:t xml:space="preserve"> to use digital health systems to improve patient care and communication</w:t>
            </w:r>
            <w:r w:rsidR="00640C5A">
              <w:rPr>
                <w:rFonts w:eastAsia="Calibri"/>
              </w:rPr>
              <w:t>.</w:t>
            </w:r>
          </w:p>
        </w:tc>
      </w:tr>
      <w:tr w:rsidR="00F9458B" w:rsidRPr="00F9458B" w14:paraId="68E746C7" w14:textId="77777777" w:rsidTr="00405F47">
        <w:trPr>
          <w:cantSplit/>
        </w:trPr>
        <w:tc>
          <w:tcPr>
            <w:tcW w:w="1574" w:type="dxa"/>
          </w:tcPr>
          <w:p w14:paraId="6762AA64" w14:textId="77777777" w:rsidR="00F9458B" w:rsidRPr="008A6671" w:rsidRDefault="00F9458B" w:rsidP="00F9458B">
            <w:r w:rsidRPr="008A6671">
              <w:t>Performance Criteria</w:t>
            </w:r>
          </w:p>
        </w:tc>
        <w:tc>
          <w:tcPr>
            <w:tcW w:w="8388" w:type="dxa"/>
          </w:tcPr>
          <w:p w14:paraId="4F2F9E3C" w14:textId="062E0B3E" w:rsidR="00F9458B" w:rsidRPr="008A6671" w:rsidRDefault="00F9458B" w:rsidP="00F9458B">
            <w:pPr>
              <w:rPr>
                <w:rFonts w:eastAsia="Calibri"/>
              </w:rPr>
            </w:pPr>
            <w:r w:rsidRPr="008A6671">
              <w:rPr>
                <w:rFonts w:eastAsia="Calibri"/>
              </w:rPr>
              <w:t xml:space="preserve">Increase in the rate of </w:t>
            </w:r>
            <w:r w:rsidR="00013C41">
              <w:rPr>
                <w:rFonts w:eastAsia="Calibri"/>
              </w:rPr>
              <w:t>general practices</w:t>
            </w:r>
            <w:r w:rsidR="00013C41" w:rsidRPr="008A6671">
              <w:rPr>
                <w:rFonts w:eastAsia="Calibri"/>
              </w:rPr>
              <w:t xml:space="preserve"> </w:t>
            </w:r>
            <w:r w:rsidRPr="008A6671">
              <w:rPr>
                <w:rFonts w:eastAsia="Calibri"/>
              </w:rPr>
              <w:t>using smart forms, e-referrals and/or telehealth</w:t>
            </w:r>
            <w:r w:rsidR="00E40FD7">
              <w:rPr>
                <w:rFonts w:eastAsia="Calibri"/>
              </w:rPr>
              <w:t>.</w:t>
            </w:r>
          </w:p>
          <w:p w14:paraId="70D650D1" w14:textId="1CD40F4A" w:rsidR="00F9458B" w:rsidRPr="008A6671" w:rsidRDefault="00F9458B" w:rsidP="00F9458B">
            <w:r w:rsidRPr="008A6671">
              <w:rPr>
                <w:rFonts w:eastAsia="Calibri"/>
              </w:rPr>
              <w:t>Where the rate has been stable for at least 3 years, the performance criteria is to maintain the existing rate of using specific digital health systems</w:t>
            </w:r>
            <w:r w:rsidR="00640C5A">
              <w:rPr>
                <w:rFonts w:eastAsia="Calibri"/>
              </w:rPr>
              <w:t>.</w:t>
            </w:r>
          </w:p>
        </w:tc>
      </w:tr>
      <w:tr w:rsidR="00F9458B" w:rsidRPr="00F9458B" w14:paraId="5D9C415C" w14:textId="77777777" w:rsidTr="00405F47">
        <w:trPr>
          <w:cantSplit/>
        </w:trPr>
        <w:tc>
          <w:tcPr>
            <w:tcW w:w="1574" w:type="dxa"/>
          </w:tcPr>
          <w:p w14:paraId="0B932D04" w14:textId="77777777" w:rsidR="00F9458B" w:rsidRPr="008A6671" w:rsidRDefault="00F9458B" w:rsidP="00F9458B">
            <w:r w:rsidRPr="008A6671">
              <w:t>Data Source</w:t>
            </w:r>
          </w:p>
        </w:tc>
        <w:tc>
          <w:tcPr>
            <w:tcW w:w="8388" w:type="dxa"/>
          </w:tcPr>
          <w:p w14:paraId="3D4D6804" w14:textId="0E5B42C2" w:rsidR="00F9458B" w:rsidRPr="008A6671" w:rsidRDefault="00F9458B" w:rsidP="00BC28C7">
            <w:r w:rsidRPr="008A6671">
              <w:rPr>
                <w:rFonts w:eastAsia="Calibri"/>
              </w:rPr>
              <w:t>PHN - number of health care providers using the specified systems</w:t>
            </w:r>
            <w:r w:rsidR="00B87710">
              <w:rPr>
                <w:rFonts w:eastAsia="Calibri"/>
              </w:rPr>
              <w:t>.</w:t>
            </w:r>
          </w:p>
        </w:tc>
      </w:tr>
      <w:tr w:rsidR="00F9458B" w:rsidRPr="00F9458B" w14:paraId="06CB2339" w14:textId="77777777" w:rsidTr="00405F47">
        <w:trPr>
          <w:cantSplit/>
        </w:trPr>
        <w:tc>
          <w:tcPr>
            <w:tcW w:w="1574" w:type="dxa"/>
          </w:tcPr>
          <w:p w14:paraId="4E845371" w14:textId="77777777" w:rsidR="00F9458B" w:rsidRPr="008A6671" w:rsidRDefault="00F9458B" w:rsidP="00F9458B">
            <w:r w:rsidRPr="008A6671">
              <w:t>Calculation</w:t>
            </w:r>
          </w:p>
        </w:tc>
        <w:tc>
          <w:tcPr>
            <w:tcW w:w="8388" w:type="dxa"/>
          </w:tcPr>
          <w:p w14:paraId="70780FA9" w14:textId="2364211C" w:rsidR="003B223C" w:rsidRPr="008A6671" w:rsidRDefault="003B223C" w:rsidP="003B223C">
            <w:r w:rsidRPr="008A6671">
              <w:t xml:space="preserve">Numerator: </w:t>
            </w:r>
            <w:r w:rsidRPr="008A6671">
              <w:br/>
              <w:t xml:space="preserve">Number of general practices in the PHN region which are </w:t>
            </w:r>
            <w:r>
              <w:t xml:space="preserve">using </w:t>
            </w:r>
            <w:r w:rsidR="008D2C7D">
              <w:t>the specified digital health systems.</w:t>
            </w:r>
          </w:p>
          <w:p w14:paraId="48FDC3D3" w14:textId="77777777" w:rsidR="003B223C" w:rsidRPr="008A6671" w:rsidRDefault="003B223C" w:rsidP="003B223C">
            <w:r w:rsidRPr="008A6671">
              <w:t xml:space="preserve">Denominator: </w:t>
            </w:r>
            <w:r w:rsidRPr="008A6671">
              <w:br/>
              <w:t>Number of general practices in the PHN region</w:t>
            </w:r>
            <w:r>
              <w:t>.</w:t>
            </w:r>
          </w:p>
          <w:p w14:paraId="4FED315C" w14:textId="1899C82E" w:rsidR="008D2C7D" w:rsidRDefault="003B223C" w:rsidP="003B223C">
            <w:pPr>
              <w:rPr>
                <w:rFonts w:eastAsia="Calibri"/>
              </w:rPr>
            </w:pPr>
            <w:r w:rsidRPr="008A6671">
              <w:t>Computation:</w:t>
            </w:r>
            <w:r w:rsidRPr="008A6671">
              <w:br/>
              <w:t>100 x (numerator / denominator) presented as a percentage in PHN region</w:t>
            </w:r>
            <w:r>
              <w:t>.</w:t>
            </w:r>
          </w:p>
          <w:p w14:paraId="7EBE6B66" w14:textId="588FD5CC" w:rsidR="008D2C7D" w:rsidRDefault="008D2C7D" w:rsidP="00F9458B">
            <w:pPr>
              <w:rPr>
                <w:rFonts w:eastAsia="Calibri"/>
              </w:rPr>
            </w:pPr>
            <w:r>
              <w:rPr>
                <w:rFonts w:eastAsia="Calibri"/>
              </w:rPr>
              <w:t>Disaggregation:</w:t>
            </w:r>
          </w:p>
          <w:p w14:paraId="2682E655" w14:textId="658D13D7" w:rsidR="00F9458B" w:rsidRPr="008A6671" w:rsidRDefault="008D2C7D" w:rsidP="00F9458B">
            <w:pPr>
              <w:rPr>
                <w:rFonts w:eastAsia="Calibri"/>
              </w:rPr>
            </w:pPr>
            <w:r>
              <w:rPr>
                <w:rFonts w:eastAsia="Calibri"/>
              </w:rPr>
              <w:t>Smart forms, e-referrals and telehealth.</w:t>
            </w:r>
          </w:p>
        </w:tc>
      </w:tr>
      <w:tr w:rsidR="00F9458B" w:rsidRPr="00F9458B" w14:paraId="4E866F23" w14:textId="77777777" w:rsidTr="00405F47">
        <w:trPr>
          <w:cantSplit/>
        </w:trPr>
        <w:tc>
          <w:tcPr>
            <w:tcW w:w="1574" w:type="dxa"/>
          </w:tcPr>
          <w:p w14:paraId="3A12FB1A" w14:textId="77777777" w:rsidR="00F9458B" w:rsidRPr="008A6671" w:rsidRDefault="00F9458B" w:rsidP="00F9458B">
            <w:r w:rsidRPr="008A6671">
              <w:t>Limitations</w:t>
            </w:r>
          </w:p>
        </w:tc>
        <w:tc>
          <w:tcPr>
            <w:tcW w:w="8388" w:type="dxa"/>
          </w:tcPr>
          <w:p w14:paraId="0537F389" w14:textId="77777777" w:rsidR="00F9458B" w:rsidRPr="008A6671" w:rsidRDefault="00F9458B" w:rsidP="00F9458B">
            <w:r w:rsidRPr="008A6671">
              <w:t>-</w:t>
            </w:r>
          </w:p>
        </w:tc>
      </w:tr>
      <w:tr w:rsidR="00F9458B" w:rsidRPr="00F9458B" w14:paraId="0FB5760A" w14:textId="77777777" w:rsidTr="00405F47">
        <w:trPr>
          <w:cantSplit/>
        </w:trPr>
        <w:tc>
          <w:tcPr>
            <w:tcW w:w="1574" w:type="dxa"/>
          </w:tcPr>
          <w:p w14:paraId="16627D8A" w14:textId="77777777" w:rsidR="00F9458B" w:rsidRPr="008A6671" w:rsidRDefault="00F9458B" w:rsidP="00F9458B">
            <w:r w:rsidRPr="008A6671">
              <w:lastRenderedPageBreak/>
              <w:t>Additional information</w:t>
            </w:r>
          </w:p>
        </w:tc>
        <w:tc>
          <w:tcPr>
            <w:tcW w:w="8388" w:type="dxa"/>
          </w:tcPr>
          <w:p w14:paraId="5B76D938" w14:textId="35C43C6B" w:rsidR="00F9458B" w:rsidRPr="008A6671" w:rsidRDefault="00F9458B" w:rsidP="00F9458B">
            <w:pPr>
              <w:rPr>
                <w:rFonts w:eastAsia="Calibri"/>
              </w:rPr>
            </w:pPr>
            <w:r w:rsidRPr="008A6671">
              <w:rPr>
                <w:rFonts w:eastAsia="Calibri"/>
              </w:rPr>
              <w:t>As new digital systems are developed, relevant definitions may be added to this specification</w:t>
            </w:r>
            <w:r w:rsidR="00E40FD7">
              <w:rPr>
                <w:rFonts w:eastAsia="Calibri"/>
              </w:rPr>
              <w:t>.</w:t>
            </w:r>
          </w:p>
          <w:p w14:paraId="444E9CBB" w14:textId="77777777" w:rsidR="00E40FD7" w:rsidRDefault="00D57D9F" w:rsidP="00F9458B">
            <w:pPr>
              <w:rPr>
                <w:rFonts w:eastAsia="Calibri"/>
              </w:rPr>
            </w:pPr>
            <w:r w:rsidRPr="00D57D9F">
              <w:rPr>
                <w:rFonts w:eastAsia="Calibri"/>
              </w:rPr>
              <w:t xml:space="preserve">The </w:t>
            </w:r>
            <w:r w:rsidR="007E1994" w:rsidRPr="00D57D9F">
              <w:rPr>
                <w:rFonts w:eastAsia="Calibri"/>
              </w:rPr>
              <w:t xml:space="preserve">Department </w:t>
            </w:r>
            <w:r w:rsidRPr="00D57D9F">
              <w:rPr>
                <w:rFonts w:eastAsia="Calibri"/>
              </w:rPr>
              <w:t xml:space="preserve">will investigate nationally consistent methods of counting </w:t>
            </w:r>
            <w:r w:rsidR="001803BA" w:rsidRPr="00F9458B">
              <w:rPr>
                <w:rFonts w:eastAsia="Calibri"/>
              </w:rPr>
              <w:t>health care providers</w:t>
            </w:r>
            <w:r w:rsidRPr="00D57D9F">
              <w:rPr>
                <w:rFonts w:eastAsia="Calibri"/>
              </w:rPr>
              <w:t xml:space="preserve"> by PHN region. This will provide more accurate data and reduce PHNs’ reporting burden</w:t>
            </w:r>
            <w:r w:rsidR="00E40FD7">
              <w:rPr>
                <w:rFonts w:eastAsia="Calibri"/>
              </w:rPr>
              <w:t>.</w:t>
            </w:r>
          </w:p>
          <w:p w14:paraId="79781B1F" w14:textId="16DF83D5" w:rsidR="00F9458B" w:rsidRPr="008A6671" w:rsidRDefault="00F9458B" w:rsidP="00F9458B">
            <w:r w:rsidRPr="008A6671">
              <w:rPr>
                <w:rFonts w:eastAsia="Calibri"/>
              </w:rPr>
              <w:t>Note: PHNs may choose to provide information on individual or all digital health systems being used in their region</w:t>
            </w:r>
            <w:r w:rsidR="00640C5A">
              <w:rPr>
                <w:rFonts w:eastAsia="Calibri"/>
              </w:rPr>
              <w:t>.</w:t>
            </w:r>
          </w:p>
        </w:tc>
      </w:tr>
    </w:tbl>
    <w:p w14:paraId="44B9AE8A" w14:textId="5CC6267A" w:rsidR="00F04FED" w:rsidRPr="0082185D" w:rsidRDefault="00F04FED" w:rsidP="00665D8A">
      <w:pPr>
        <w:pStyle w:val="Heading2"/>
      </w:pPr>
      <w:bookmarkStart w:id="141" w:name="_Toc517267782"/>
      <w:bookmarkStart w:id="142" w:name="_Toc517334434"/>
      <w:bookmarkStart w:id="143" w:name="_Toc517769832"/>
      <w:r w:rsidRPr="0082185D">
        <w:t>DH3: Rate of accredited general practices sharing data with PHN</w:t>
      </w:r>
      <w:bookmarkEnd w:id="141"/>
      <w:bookmarkEnd w:id="142"/>
      <w:bookmarkEnd w:id="143"/>
    </w:p>
    <w:tbl>
      <w:tblPr>
        <w:tblStyle w:val="PHNTealtable"/>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4A0" w:firstRow="1" w:lastRow="0" w:firstColumn="1" w:lastColumn="0" w:noHBand="0" w:noVBand="1"/>
        <w:tblDescription w:val="This table details indicator DH3: Rate of accredited general practices sharing data with PHN. It is comprised of two columns, and 11 rows. Column one provides the Item of the indicator, and Column two outlines the corresponding description."/>
      </w:tblPr>
      <w:tblGrid>
        <w:gridCol w:w="1571"/>
        <w:gridCol w:w="8156"/>
      </w:tblGrid>
      <w:tr w:rsidR="00F9458B" w:rsidRPr="00F9458B" w14:paraId="7A25A834" w14:textId="77777777" w:rsidTr="009038CB">
        <w:trPr>
          <w:cnfStyle w:val="100000000000" w:firstRow="1" w:lastRow="0" w:firstColumn="0" w:lastColumn="0" w:oddVBand="0" w:evenVBand="0" w:oddHBand="0" w:evenHBand="0" w:firstRowFirstColumn="0" w:firstRowLastColumn="0" w:lastRowFirstColumn="0" w:lastRowLastColumn="0"/>
          <w:tblHeader/>
        </w:trPr>
        <w:tc>
          <w:tcPr>
            <w:tcW w:w="1574" w:type="dxa"/>
            <w:shd w:val="clear" w:color="auto" w:fill="153A6E"/>
          </w:tcPr>
          <w:p w14:paraId="3F0D0E2F" w14:textId="77777777" w:rsidR="00F9458B" w:rsidRPr="00716651" w:rsidRDefault="00F9458B" w:rsidP="0082185D">
            <w:pPr>
              <w:pStyle w:val="TableHeaderWhite"/>
            </w:pPr>
            <w:r w:rsidRPr="00716651">
              <w:t>Item</w:t>
            </w:r>
          </w:p>
        </w:tc>
        <w:tc>
          <w:tcPr>
            <w:tcW w:w="8388" w:type="dxa"/>
            <w:shd w:val="clear" w:color="auto" w:fill="153A6E"/>
          </w:tcPr>
          <w:p w14:paraId="72E5EF99" w14:textId="77777777" w:rsidR="00F9458B" w:rsidRPr="00716651" w:rsidRDefault="00F9458B" w:rsidP="0082185D">
            <w:pPr>
              <w:pStyle w:val="TableHeaderWhite"/>
            </w:pPr>
            <w:r w:rsidRPr="00716651">
              <w:t>Description</w:t>
            </w:r>
          </w:p>
        </w:tc>
      </w:tr>
      <w:tr w:rsidR="00F9458B" w:rsidRPr="00F9458B" w14:paraId="3DB48EC8" w14:textId="77777777" w:rsidTr="00405F47">
        <w:trPr>
          <w:cantSplit/>
        </w:trPr>
        <w:tc>
          <w:tcPr>
            <w:tcW w:w="1574" w:type="dxa"/>
          </w:tcPr>
          <w:p w14:paraId="11B2DB30" w14:textId="77777777" w:rsidR="00F9458B" w:rsidRPr="008A6671" w:rsidRDefault="00F9458B" w:rsidP="00F9458B">
            <w:r w:rsidRPr="008A6671">
              <w:t>Assessment</w:t>
            </w:r>
          </w:p>
        </w:tc>
        <w:tc>
          <w:tcPr>
            <w:tcW w:w="8388" w:type="dxa"/>
          </w:tcPr>
          <w:p w14:paraId="158F8380" w14:textId="531CA0EC" w:rsidR="00F9458B" w:rsidRPr="008A6671" w:rsidRDefault="00F9458B" w:rsidP="00F9458B">
            <w:r w:rsidRPr="008A6671">
              <w:t>Individual PHN</w:t>
            </w:r>
            <w:r w:rsidR="00640C5A">
              <w:t>.</w:t>
            </w:r>
          </w:p>
        </w:tc>
      </w:tr>
      <w:tr w:rsidR="00F9458B" w:rsidRPr="00F9458B" w14:paraId="3704137D" w14:textId="77777777" w:rsidTr="009038CB">
        <w:trPr>
          <w:cantSplit/>
        </w:trPr>
        <w:tc>
          <w:tcPr>
            <w:tcW w:w="1574" w:type="dxa"/>
            <w:shd w:val="clear" w:color="auto" w:fill="D72F0D"/>
          </w:tcPr>
          <w:p w14:paraId="52D65ADC" w14:textId="77777777" w:rsidR="00F9458B" w:rsidRPr="0082185D" w:rsidRDefault="00F9458B" w:rsidP="0082185D">
            <w:pPr>
              <w:pStyle w:val="TableTextwhite"/>
            </w:pPr>
            <w:r w:rsidRPr="0082185D">
              <w:t>Reporting</w:t>
            </w:r>
          </w:p>
        </w:tc>
        <w:tc>
          <w:tcPr>
            <w:tcW w:w="8388" w:type="dxa"/>
            <w:shd w:val="clear" w:color="auto" w:fill="D72F0D"/>
          </w:tcPr>
          <w:p w14:paraId="0468795A" w14:textId="35560A2E" w:rsidR="00F9458B" w:rsidRPr="0082185D" w:rsidRDefault="00F9458B" w:rsidP="0082185D">
            <w:pPr>
              <w:pStyle w:val="TableTextwhite"/>
            </w:pPr>
            <w:r w:rsidRPr="0082185D">
              <w:t>Twelve monthly by PHN</w:t>
            </w:r>
            <w:r w:rsidR="00640C5A" w:rsidRPr="0082185D">
              <w:t>.</w:t>
            </w:r>
          </w:p>
        </w:tc>
      </w:tr>
      <w:tr w:rsidR="00F9458B" w:rsidRPr="00F9458B" w14:paraId="5229453D" w14:textId="77777777" w:rsidTr="00405F47">
        <w:trPr>
          <w:cantSplit/>
        </w:trPr>
        <w:tc>
          <w:tcPr>
            <w:tcW w:w="1574" w:type="dxa"/>
          </w:tcPr>
          <w:p w14:paraId="326C792E" w14:textId="77777777" w:rsidR="00F9458B" w:rsidRPr="008A6671" w:rsidRDefault="00F9458B" w:rsidP="00F9458B">
            <w:r w:rsidRPr="008A6671">
              <w:t>Definition</w:t>
            </w:r>
          </w:p>
        </w:tc>
        <w:tc>
          <w:tcPr>
            <w:tcW w:w="8388" w:type="dxa"/>
          </w:tcPr>
          <w:p w14:paraId="06719A3A" w14:textId="6B38E83B" w:rsidR="00F9458B" w:rsidRPr="008A6671" w:rsidRDefault="00F9458B" w:rsidP="00F9458B">
            <w:pPr>
              <w:rPr>
                <w:rFonts w:eastAsia="Calibri"/>
              </w:rPr>
            </w:pPr>
            <w:r w:rsidRPr="008A6671">
              <w:rPr>
                <w:rFonts w:eastAsia="Calibri"/>
              </w:rPr>
              <w:t>Rate of accredited general practices involved in sharing data with PHN</w:t>
            </w:r>
            <w:r w:rsidR="00E40FD7">
              <w:rPr>
                <w:rFonts w:eastAsia="Calibri"/>
              </w:rPr>
              <w:t>.</w:t>
            </w:r>
          </w:p>
          <w:p w14:paraId="4F36659B" w14:textId="01320F3B" w:rsidR="00F9458B" w:rsidRPr="008A6671" w:rsidRDefault="00F9458B" w:rsidP="00F9458B">
            <w:r w:rsidRPr="008A6671">
              <w:t xml:space="preserve">A general practice is defined by the Royal Australian College of General Practitioners (RACGP) as an entity which ‘provides person centred, continuing, comprehensive and coordinated </w:t>
            </w:r>
            <w:proofErr w:type="spellStart"/>
            <w:r w:rsidRPr="008A6671">
              <w:t>wholeperson</w:t>
            </w:r>
            <w:proofErr w:type="spellEnd"/>
            <w:r w:rsidRPr="008A6671">
              <w:t xml:space="preserve"> health care to individuals and families in their communities.’ Therefore, practices which do not provide ‘</w:t>
            </w:r>
            <w:proofErr w:type="spellStart"/>
            <w:r w:rsidRPr="008A6671">
              <w:t>wholeperson</w:t>
            </w:r>
            <w:proofErr w:type="spellEnd"/>
            <w:r w:rsidRPr="008A6671">
              <w:t>’ or mainstream health services should be excluded from the count. This would include skin clinics and travel doctors etc</w:t>
            </w:r>
            <w:r w:rsidR="00E40FD7">
              <w:t>.</w:t>
            </w:r>
          </w:p>
          <w:p w14:paraId="74E4D089" w14:textId="787EFE35" w:rsidR="00F9458B" w:rsidRPr="008A6671" w:rsidRDefault="00F9458B" w:rsidP="00F9458B">
            <w:pPr>
              <w:rPr>
                <w:rFonts w:eastAsia="Calibri"/>
              </w:rPr>
            </w:pPr>
            <w:r w:rsidRPr="008A6671">
              <w:rPr>
                <w:rFonts w:eastAsia="Calibri"/>
              </w:rPr>
              <w:t>An accredited general practice is one which is accredited or registered for accreditation against the RACGP Standards for general practices</w:t>
            </w:r>
            <w:r w:rsidR="00E40FD7">
              <w:rPr>
                <w:rFonts w:eastAsia="Calibri"/>
              </w:rPr>
              <w:t>.</w:t>
            </w:r>
          </w:p>
          <w:p w14:paraId="092100D3" w14:textId="3AEB24CD" w:rsidR="00F9458B" w:rsidRPr="008A6671" w:rsidRDefault="00F9458B" w:rsidP="00F9458B">
            <w:r w:rsidRPr="008A6671">
              <w:rPr>
                <w:rFonts w:eastAsia="Calibri"/>
              </w:rPr>
              <w:t>Sharing data describes where a general practice is actively sharing their practices’ data with the PHN</w:t>
            </w:r>
            <w:r w:rsidR="00640C5A">
              <w:rPr>
                <w:rFonts w:eastAsia="Calibri"/>
              </w:rPr>
              <w:t>.</w:t>
            </w:r>
          </w:p>
        </w:tc>
      </w:tr>
      <w:tr w:rsidR="00F9458B" w:rsidRPr="00F9458B" w14:paraId="3F12BB5F" w14:textId="77777777" w:rsidTr="00405F47">
        <w:trPr>
          <w:cantSplit/>
        </w:trPr>
        <w:tc>
          <w:tcPr>
            <w:tcW w:w="1574" w:type="dxa"/>
          </w:tcPr>
          <w:p w14:paraId="145223E8" w14:textId="77777777" w:rsidR="00F9458B" w:rsidRPr="008A6671" w:rsidRDefault="00F9458B" w:rsidP="00F9458B">
            <w:r w:rsidRPr="008A6671">
              <w:t>Purpose</w:t>
            </w:r>
          </w:p>
        </w:tc>
        <w:tc>
          <w:tcPr>
            <w:tcW w:w="8388" w:type="dxa"/>
          </w:tcPr>
          <w:p w14:paraId="2E384097" w14:textId="69EFA0EA" w:rsidR="00F9458B" w:rsidRPr="008A6671" w:rsidRDefault="00F9458B" w:rsidP="00F9458B">
            <w:r w:rsidRPr="008A6671">
              <w:t>General practices are being encouraged to share their data with the PHN as part of quality improvement activities. PHNs can offer support and analysis to improve delivery and experience of health care. PHNs can also use the data to inform their Needs Assessments</w:t>
            </w:r>
            <w:r w:rsidR="00640C5A">
              <w:t>.</w:t>
            </w:r>
          </w:p>
        </w:tc>
      </w:tr>
      <w:tr w:rsidR="00F9458B" w:rsidRPr="00F9458B" w14:paraId="42A3EA57" w14:textId="77777777" w:rsidTr="00405F47">
        <w:trPr>
          <w:cantSplit/>
        </w:trPr>
        <w:tc>
          <w:tcPr>
            <w:tcW w:w="1574" w:type="dxa"/>
          </w:tcPr>
          <w:p w14:paraId="4CAAEF2C" w14:textId="77777777" w:rsidR="00F9458B" w:rsidRPr="008A6671" w:rsidRDefault="00F9458B" w:rsidP="00F9458B">
            <w:r w:rsidRPr="008A6671">
              <w:t>Outcome Theme: Quality Care</w:t>
            </w:r>
          </w:p>
        </w:tc>
        <w:tc>
          <w:tcPr>
            <w:tcW w:w="8388" w:type="dxa"/>
          </w:tcPr>
          <w:p w14:paraId="54A645A6" w14:textId="77777777" w:rsidR="00F9458B" w:rsidRPr="008A6671" w:rsidRDefault="00F9458B" w:rsidP="00F9458B">
            <w:pPr>
              <w:rPr>
                <w:rFonts w:eastAsia="Calibri"/>
              </w:rPr>
            </w:pPr>
            <w:r w:rsidRPr="008A6671">
              <w:rPr>
                <w:rFonts w:eastAsia="Calibri"/>
              </w:rPr>
              <w:t>Outcome:</w:t>
            </w:r>
          </w:p>
          <w:p w14:paraId="09CAC2E8" w14:textId="28FD260C" w:rsidR="00F9458B" w:rsidRPr="008A6671" w:rsidRDefault="00F9458B" w:rsidP="00F9458B">
            <w:r w:rsidRPr="008A6671">
              <w:rPr>
                <w:rFonts w:eastAsia="Calibri"/>
              </w:rPr>
              <w:t>General practices and other health care providers use data to improve care</w:t>
            </w:r>
            <w:r w:rsidR="00640C5A">
              <w:rPr>
                <w:rFonts w:eastAsia="Calibri"/>
              </w:rPr>
              <w:t>.</w:t>
            </w:r>
          </w:p>
        </w:tc>
      </w:tr>
      <w:tr w:rsidR="00F9458B" w:rsidRPr="00F9458B" w14:paraId="377E728D" w14:textId="77777777" w:rsidTr="00405F47">
        <w:trPr>
          <w:cantSplit/>
        </w:trPr>
        <w:tc>
          <w:tcPr>
            <w:tcW w:w="1574" w:type="dxa"/>
          </w:tcPr>
          <w:p w14:paraId="2561DDF4" w14:textId="77777777" w:rsidR="00F9458B" w:rsidRPr="008A6671" w:rsidRDefault="00F9458B" w:rsidP="00F9458B">
            <w:r w:rsidRPr="008A6671">
              <w:t>Performance Criteria</w:t>
            </w:r>
          </w:p>
        </w:tc>
        <w:tc>
          <w:tcPr>
            <w:tcW w:w="8388" w:type="dxa"/>
          </w:tcPr>
          <w:p w14:paraId="368CA505" w14:textId="12A96990" w:rsidR="00F9458B" w:rsidRPr="008A6671" w:rsidRDefault="00F9458B" w:rsidP="00F9458B">
            <w:pPr>
              <w:rPr>
                <w:rFonts w:eastAsia="Calibri"/>
              </w:rPr>
            </w:pPr>
            <w:r w:rsidRPr="008A6671">
              <w:rPr>
                <w:rFonts w:eastAsia="Calibri"/>
              </w:rPr>
              <w:t>At least 5% growth on rate of accredited general practices sharing data with the PHN each year</w:t>
            </w:r>
            <w:r w:rsidR="00E40FD7">
              <w:rPr>
                <w:rFonts w:eastAsia="Calibri"/>
              </w:rPr>
              <w:t>.</w:t>
            </w:r>
          </w:p>
          <w:p w14:paraId="4CA38051" w14:textId="08436C91" w:rsidR="00F9458B" w:rsidRPr="008A6671" w:rsidRDefault="00F9458B" w:rsidP="00F9458B">
            <w:r w:rsidRPr="008A6671">
              <w:rPr>
                <w:rFonts w:eastAsia="Calibri"/>
              </w:rPr>
              <w:t>Where the rate is over 60%, the performance criteria is to maintain the existing rate</w:t>
            </w:r>
            <w:r w:rsidR="00640C5A">
              <w:rPr>
                <w:rFonts w:eastAsia="Calibri"/>
              </w:rPr>
              <w:t>.</w:t>
            </w:r>
          </w:p>
        </w:tc>
      </w:tr>
      <w:tr w:rsidR="00F9458B" w:rsidRPr="00F9458B" w14:paraId="54EE00EF" w14:textId="77777777" w:rsidTr="00405F47">
        <w:trPr>
          <w:cantSplit/>
        </w:trPr>
        <w:tc>
          <w:tcPr>
            <w:tcW w:w="1574" w:type="dxa"/>
          </w:tcPr>
          <w:p w14:paraId="08FD5DDF" w14:textId="77777777" w:rsidR="00F9458B" w:rsidRPr="008A6671" w:rsidRDefault="00F9458B" w:rsidP="00F9458B">
            <w:r w:rsidRPr="008A6671">
              <w:t>Data Source</w:t>
            </w:r>
          </w:p>
        </w:tc>
        <w:tc>
          <w:tcPr>
            <w:tcW w:w="8388" w:type="dxa"/>
          </w:tcPr>
          <w:p w14:paraId="7B06F4E5" w14:textId="1DA8B372" w:rsidR="00F9458B" w:rsidRPr="008A6671" w:rsidRDefault="00F9458B" w:rsidP="00F9458B">
            <w:r w:rsidRPr="008A6671">
              <w:rPr>
                <w:rFonts w:eastAsia="Calibri"/>
              </w:rPr>
              <w:t>PHN - number of accredited general practices involved in sharing data and total number of accredited general practices</w:t>
            </w:r>
            <w:r w:rsidR="00640C5A">
              <w:rPr>
                <w:rFonts w:eastAsia="Calibri"/>
              </w:rPr>
              <w:t>.</w:t>
            </w:r>
          </w:p>
        </w:tc>
      </w:tr>
      <w:tr w:rsidR="00F9458B" w:rsidRPr="00F9458B" w14:paraId="1CCE3ABC" w14:textId="77777777" w:rsidTr="00405F47">
        <w:trPr>
          <w:cantSplit/>
        </w:trPr>
        <w:tc>
          <w:tcPr>
            <w:tcW w:w="1574" w:type="dxa"/>
          </w:tcPr>
          <w:p w14:paraId="49A6A186" w14:textId="77777777" w:rsidR="00F9458B" w:rsidRPr="008A6671" w:rsidRDefault="00F9458B" w:rsidP="00F9458B">
            <w:r w:rsidRPr="008A6671">
              <w:lastRenderedPageBreak/>
              <w:t>Calculation</w:t>
            </w:r>
          </w:p>
        </w:tc>
        <w:tc>
          <w:tcPr>
            <w:tcW w:w="8388" w:type="dxa"/>
          </w:tcPr>
          <w:p w14:paraId="188F5D36" w14:textId="77777777" w:rsidR="00F9458B" w:rsidRPr="008A6671" w:rsidRDefault="00F9458B" w:rsidP="00F9458B">
            <w:pPr>
              <w:rPr>
                <w:rFonts w:eastAsia="Calibri"/>
              </w:rPr>
            </w:pPr>
            <w:r w:rsidRPr="008A6671">
              <w:rPr>
                <w:rFonts w:eastAsia="Calibri"/>
              </w:rPr>
              <w:t>Numerator:</w:t>
            </w:r>
          </w:p>
          <w:p w14:paraId="4EF797B0" w14:textId="6BF8DBCD" w:rsidR="00F9458B" w:rsidRPr="008A6671" w:rsidRDefault="00F9458B" w:rsidP="00F9458B">
            <w:pPr>
              <w:rPr>
                <w:rFonts w:eastAsia="Calibri"/>
              </w:rPr>
            </w:pPr>
            <w:r w:rsidRPr="008A6671">
              <w:rPr>
                <w:rFonts w:eastAsia="Calibri"/>
              </w:rPr>
              <w:t>Number of accredited general practices</w:t>
            </w:r>
            <w:r w:rsidRPr="008A6671">
              <w:t xml:space="preserve"> </w:t>
            </w:r>
            <w:r w:rsidRPr="008A6671">
              <w:rPr>
                <w:rFonts w:eastAsia="Calibri"/>
              </w:rPr>
              <w:t>involved in sharing data with PHN</w:t>
            </w:r>
            <w:r w:rsidR="00E40FD7">
              <w:rPr>
                <w:rFonts w:eastAsia="Calibri"/>
              </w:rPr>
              <w:t>.</w:t>
            </w:r>
          </w:p>
          <w:p w14:paraId="0B832830" w14:textId="77777777" w:rsidR="00F9458B" w:rsidRPr="008A6671" w:rsidRDefault="00F9458B" w:rsidP="00F9458B">
            <w:pPr>
              <w:rPr>
                <w:rFonts w:eastAsia="Calibri"/>
              </w:rPr>
            </w:pPr>
            <w:r w:rsidRPr="008A6671">
              <w:rPr>
                <w:rFonts w:eastAsia="Calibri"/>
              </w:rPr>
              <w:t>Denominator:</w:t>
            </w:r>
          </w:p>
          <w:p w14:paraId="41A96678" w14:textId="45153AF0" w:rsidR="00F9458B" w:rsidRPr="008A6671" w:rsidRDefault="00F9458B" w:rsidP="00F9458B">
            <w:pPr>
              <w:rPr>
                <w:rFonts w:eastAsia="Calibri"/>
              </w:rPr>
            </w:pPr>
            <w:r w:rsidRPr="008A6671">
              <w:rPr>
                <w:rFonts w:eastAsia="Calibri"/>
              </w:rPr>
              <w:t>The number of all accredited general practices in the PHN</w:t>
            </w:r>
            <w:r w:rsidR="00E40FD7">
              <w:rPr>
                <w:rFonts w:eastAsia="Calibri"/>
              </w:rPr>
              <w:t>.</w:t>
            </w:r>
          </w:p>
          <w:p w14:paraId="1ACCE9CE" w14:textId="77777777" w:rsidR="00F9458B" w:rsidRPr="008A6671" w:rsidRDefault="00F9458B" w:rsidP="00F9458B">
            <w:pPr>
              <w:rPr>
                <w:rFonts w:eastAsia="Calibri"/>
              </w:rPr>
            </w:pPr>
            <w:r w:rsidRPr="008A6671">
              <w:rPr>
                <w:rFonts w:eastAsia="Calibri"/>
              </w:rPr>
              <w:t>Computation:</w:t>
            </w:r>
          </w:p>
          <w:p w14:paraId="42324001" w14:textId="5A82DF94" w:rsidR="00F9458B" w:rsidRPr="008A6671" w:rsidRDefault="00F9458B" w:rsidP="00F9458B">
            <w:r w:rsidRPr="008A6671">
              <w:rPr>
                <w:rFonts w:eastAsia="Calibri"/>
              </w:rPr>
              <w:t>100 x (numerator / denominator) presented as a percentage in PHN region</w:t>
            </w:r>
            <w:r w:rsidR="00640C5A">
              <w:rPr>
                <w:rFonts w:eastAsia="Calibri"/>
              </w:rPr>
              <w:t>.</w:t>
            </w:r>
          </w:p>
        </w:tc>
      </w:tr>
      <w:tr w:rsidR="00F9458B" w:rsidRPr="00F9458B" w14:paraId="72763DD0" w14:textId="77777777" w:rsidTr="00405F47">
        <w:trPr>
          <w:cantSplit/>
        </w:trPr>
        <w:tc>
          <w:tcPr>
            <w:tcW w:w="1574" w:type="dxa"/>
          </w:tcPr>
          <w:p w14:paraId="2EB00601" w14:textId="77777777" w:rsidR="00F9458B" w:rsidRPr="008A6671" w:rsidRDefault="00F9458B" w:rsidP="00F9458B">
            <w:r w:rsidRPr="008A6671">
              <w:t>Limitations</w:t>
            </w:r>
          </w:p>
        </w:tc>
        <w:tc>
          <w:tcPr>
            <w:tcW w:w="8388" w:type="dxa"/>
          </w:tcPr>
          <w:p w14:paraId="31E327AF" w14:textId="77777777" w:rsidR="00F9458B" w:rsidRPr="008A6671" w:rsidRDefault="00F9458B" w:rsidP="00F9458B">
            <w:r w:rsidRPr="008A6671">
              <w:t>-</w:t>
            </w:r>
          </w:p>
        </w:tc>
      </w:tr>
      <w:tr w:rsidR="00F9458B" w:rsidRPr="00F9458B" w14:paraId="424081CA" w14:textId="77777777" w:rsidTr="00405F47">
        <w:trPr>
          <w:cantSplit/>
        </w:trPr>
        <w:tc>
          <w:tcPr>
            <w:tcW w:w="1574" w:type="dxa"/>
          </w:tcPr>
          <w:p w14:paraId="3D2E3B37" w14:textId="77777777" w:rsidR="00F9458B" w:rsidRPr="008A6671" w:rsidRDefault="00F9458B" w:rsidP="00F9458B">
            <w:r w:rsidRPr="008A6671">
              <w:t>Additional information</w:t>
            </w:r>
          </w:p>
        </w:tc>
        <w:tc>
          <w:tcPr>
            <w:tcW w:w="8388" w:type="dxa"/>
          </w:tcPr>
          <w:p w14:paraId="31A28120" w14:textId="2DBF4CD4" w:rsidR="00F9458B" w:rsidRPr="008A6671" w:rsidRDefault="00F9458B" w:rsidP="00F9458B">
            <w:r w:rsidRPr="008A6671">
              <w:rPr>
                <w:rFonts w:eastAsia="Calibri"/>
              </w:rPr>
              <w:t xml:space="preserve">This does not include Aboriginal Community Controlled Health </w:t>
            </w:r>
            <w:r w:rsidR="002827DF">
              <w:rPr>
                <w:rFonts w:eastAsia="Calibri"/>
              </w:rPr>
              <w:t xml:space="preserve">Services </w:t>
            </w:r>
            <w:r w:rsidRPr="008A6671">
              <w:rPr>
                <w:rFonts w:eastAsia="Calibri"/>
              </w:rPr>
              <w:t>(ACCH</w:t>
            </w:r>
            <w:r w:rsidR="002827DF">
              <w:rPr>
                <w:rFonts w:eastAsia="Calibri"/>
              </w:rPr>
              <w:t>S</w:t>
            </w:r>
            <w:r w:rsidRPr="008A6671">
              <w:rPr>
                <w:rFonts w:eastAsia="Calibri"/>
              </w:rPr>
              <w:t>). The denominator data will be sourced from indicator P3.</w:t>
            </w:r>
          </w:p>
        </w:tc>
      </w:tr>
    </w:tbl>
    <w:p w14:paraId="2F9C4412" w14:textId="77777777" w:rsidR="0082185D" w:rsidRDefault="0082185D" w:rsidP="0082185D">
      <w:bookmarkStart w:id="144" w:name="_Toc176250627"/>
      <w:bookmarkStart w:id="145" w:name="_Toc522013921"/>
      <w:bookmarkStart w:id="146" w:name="_Toc197069401"/>
      <w:r>
        <w:br w:type="page"/>
      </w:r>
    </w:p>
    <w:p w14:paraId="441C1E4B" w14:textId="3D0C527F" w:rsidR="00F9458B" w:rsidRPr="00F9458B" w:rsidRDefault="00F9458B" w:rsidP="00034E43">
      <w:pPr>
        <w:pStyle w:val="Heading1Orange"/>
      </w:pPr>
      <w:r w:rsidRPr="00F9458B">
        <w:lastRenderedPageBreak/>
        <w:t>Aged Care indicators</w:t>
      </w:r>
      <w:bookmarkEnd w:id="144"/>
      <w:bookmarkEnd w:id="145"/>
      <w:bookmarkEnd w:id="146"/>
    </w:p>
    <w:p w14:paraId="05C2EE1A" w14:textId="31E064C3" w:rsidR="00F9458B" w:rsidRPr="0082185D" w:rsidRDefault="00F04FED" w:rsidP="00665D8A">
      <w:pPr>
        <w:pStyle w:val="Heading2"/>
      </w:pPr>
      <w:bookmarkStart w:id="147" w:name="_Toc517267783"/>
      <w:bookmarkStart w:id="148" w:name="_Toc517333959"/>
      <w:bookmarkStart w:id="149" w:name="_Toc517769834"/>
      <w:r w:rsidRPr="0082185D">
        <w:t xml:space="preserve">AC1: Rate of MBS services provided by primary care providers in residential aged care </w:t>
      </w:r>
      <w:bookmarkEnd w:id="147"/>
      <w:bookmarkEnd w:id="148"/>
      <w:bookmarkEnd w:id="149"/>
      <w:r w:rsidRPr="0082185D">
        <w:t>homes</w:t>
      </w:r>
    </w:p>
    <w:tbl>
      <w:tblPr>
        <w:tblStyle w:val="PHNTealtable"/>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4A0" w:firstRow="1" w:lastRow="0" w:firstColumn="1" w:lastColumn="0" w:noHBand="0" w:noVBand="1"/>
        <w:tblDescription w:val="This table details indicator AC1: Rate of MBS services provided by primary care providers in residential aged care facilities. It is comprised of two columns, and 11 rows. Column one provides the Item of the indicator, and Column two outlines the corresponding description."/>
      </w:tblPr>
      <w:tblGrid>
        <w:gridCol w:w="1571"/>
        <w:gridCol w:w="8156"/>
      </w:tblGrid>
      <w:tr w:rsidR="00F9458B" w:rsidRPr="00F9458B" w14:paraId="5638B47A" w14:textId="77777777" w:rsidTr="009038CB">
        <w:trPr>
          <w:cnfStyle w:val="100000000000" w:firstRow="1" w:lastRow="0" w:firstColumn="0" w:lastColumn="0" w:oddVBand="0" w:evenVBand="0" w:oddHBand="0" w:evenHBand="0" w:firstRowFirstColumn="0" w:firstRowLastColumn="0" w:lastRowFirstColumn="0" w:lastRowLastColumn="0"/>
          <w:tblHeader/>
        </w:trPr>
        <w:tc>
          <w:tcPr>
            <w:tcW w:w="1574" w:type="dxa"/>
            <w:shd w:val="clear" w:color="auto" w:fill="153A6E"/>
          </w:tcPr>
          <w:p w14:paraId="22352088" w14:textId="77777777" w:rsidR="00F9458B" w:rsidRPr="00716651" w:rsidRDefault="00F9458B" w:rsidP="0082185D">
            <w:pPr>
              <w:pStyle w:val="TableHeaderWhite"/>
            </w:pPr>
            <w:r w:rsidRPr="00716651">
              <w:t>Item</w:t>
            </w:r>
          </w:p>
        </w:tc>
        <w:tc>
          <w:tcPr>
            <w:tcW w:w="8388" w:type="dxa"/>
            <w:shd w:val="clear" w:color="auto" w:fill="153A6E"/>
          </w:tcPr>
          <w:p w14:paraId="6B2DC703" w14:textId="77777777" w:rsidR="00F9458B" w:rsidRPr="00716651" w:rsidRDefault="00F9458B" w:rsidP="0082185D">
            <w:pPr>
              <w:pStyle w:val="TableHeaderWhite"/>
            </w:pPr>
            <w:r w:rsidRPr="00716651">
              <w:t>Description</w:t>
            </w:r>
          </w:p>
        </w:tc>
      </w:tr>
      <w:tr w:rsidR="00F9458B" w:rsidRPr="00F9458B" w14:paraId="05B78082" w14:textId="77777777" w:rsidTr="00405F47">
        <w:trPr>
          <w:cantSplit/>
        </w:trPr>
        <w:tc>
          <w:tcPr>
            <w:tcW w:w="1574" w:type="dxa"/>
          </w:tcPr>
          <w:p w14:paraId="587085DC" w14:textId="77777777" w:rsidR="00F9458B" w:rsidRPr="008A6671" w:rsidRDefault="00F9458B" w:rsidP="00F9458B">
            <w:r w:rsidRPr="008A6671">
              <w:t>Assessment</w:t>
            </w:r>
          </w:p>
        </w:tc>
        <w:tc>
          <w:tcPr>
            <w:tcW w:w="8388" w:type="dxa"/>
          </w:tcPr>
          <w:p w14:paraId="6FCC2515" w14:textId="00A1FB77" w:rsidR="00F9458B" w:rsidRPr="008A6671" w:rsidRDefault="00F9458B" w:rsidP="00F9458B">
            <w:pPr>
              <w:rPr>
                <w:rFonts w:eastAsia="Calibri"/>
              </w:rPr>
            </w:pPr>
            <w:r w:rsidRPr="008A6671">
              <w:rPr>
                <w:rFonts w:eastAsia="Calibri"/>
              </w:rPr>
              <w:t>PHN Program</w:t>
            </w:r>
            <w:r w:rsidR="00640C5A">
              <w:rPr>
                <w:rFonts w:eastAsia="Calibri"/>
              </w:rPr>
              <w:t>.</w:t>
            </w:r>
          </w:p>
        </w:tc>
      </w:tr>
      <w:tr w:rsidR="00F9458B" w:rsidRPr="00F9458B" w14:paraId="4599A33A" w14:textId="77777777" w:rsidTr="00405F47">
        <w:trPr>
          <w:cantSplit/>
        </w:trPr>
        <w:tc>
          <w:tcPr>
            <w:tcW w:w="1574" w:type="dxa"/>
          </w:tcPr>
          <w:p w14:paraId="6BC9A1AA" w14:textId="77777777" w:rsidR="00F9458B" w:rsidRPr="008A6671" w:rsidRDefault="00F9458B" w:rsidP="00F9458B">
            <w:r w:rsidRPr="008A6671">
              <w:t>Reporting</w:t>
            </w:r>
          </w:p>
        </w:tc>
        <w:tc>
          <w:tcPr>
            <w:tcW w:w="8388" w:type="dxa"/>
          </w:tcPr>
          <w:p w14:paraId="314BD791" w14:textId="7DEC5E78" w:rsidR="00F9458B" w:rsidRPr="008A6671" w:rsidRDefault="005A1037" w:rsidP="00F9458B">
            <w:pPr>
              <w:rPr>
                <w:rFonts w:eastAsia="Calibri"/>
              </w:rPr>
            </w:pPr>
            <w:r w:rsidRPr="008A6671">
              <w:t>Twelve monthly by Department.</w:t>
            </w:r>
          </w:p>
        </w:tc>
      </w:tr>
      <w:tr w:rsidR="00F9458B" w:rsidRPr="00F9458B" w14:paraId="386315F8" w14:textId="77777777" w:rsidTr="00405F47">
        <w:trPr>
          <w:cantSplit/>
        </w:trPr>
        <w:tc>
          <w:tcPr>
            <w:tcW w:w="1574" w:type="dxa"/>
          </w:tcPr>
          <w:p w14:paraId="3217C1D6" w14:textId="77777777" w:rsidR="00F9458B" w:rsidRPr="008A6671" w:rsidRDefault="00F9458B" w:rsidP="00F9458B">
            <w:r w:rsidRPr="008A6671">
              <w:t>Definition</w:t>
            </w:r>
          </w:p>
        </w:tc>
        <w:tc>
          <w:tcPr>
            <w:tcW w:w="8388" w:type="dxa"/>
          </w:tcPr>
          <w:p w14:paraId="5473F972" w14:textId="506359A8" w:rsidR="00F9458B" w:rsidRPr="008A6671" w:rsidRDefault="00F9458B" w:rsidP="00F9458B">
            <w:pPr>
              <w:rPr>
                <w:rFonts w:eastAsia="Calibri"/>
              </w:rPr>
            </w:pPr>
            <w:r w:rsidRPr="008A6671">
              <w:rPr>
                <w:rFonts w:eastAsia="Calibri"/>
              </w:rPr>
              <w:t xml:space="preserve">Rate of MBS services provided by primary care providers in residential aged care </w:t>
            </w:r>
            <w:r w:rsidR="006509E6">
              <w:rPr>
                <w:rFonts w:eastAsia="Calibri"/>
              </w:rPr>
              <w:t>homes</w:t>
            </w:r>
            <w:r w:rsidR="006509E6" w:rsidRPr="008A6671">
              <w:rPr>
                <w:rFonts w:eastAsia="Calibri"/>
              </w:rPr>
              <w:t xml:space="preserve"> </w:t>
            </w:r>
            <w:r w:rsidRPr="008A6671">
              <w:rPr>
                <w:rFonts w:eastAsia="Calibri"/>
              </w:rPr>
              <w:t>(RAC</w:t>
            </w:r>
            <w:r w:rsidR="006509E6">
              <w:rPr>
                <w:rFonts w:eastAsia="Calibri"/>
              </w:rPr>
              <w:t>H</w:t>
            </w:r>
            <w:r w:rsidRPr="008E5D2E">
              <w:rPr>
                <w:rFonts w:eastAsia="Calibri"/>
              </w:rPr>
              <w:t>)</w:t>
            </w:r>
            <w:r w:rsidRPr="008A6671">
              <w:rPr>
                <w:rFonts w:eastAsia="Calibri"/>
              </w:rPr>
              <w:t xml:space="preserve"> per </w:t>
            </w:r>
            <w:r w:rsidR="005A4E6C">
              <w:rPr>
                <w:rFonts w:eastAsia="Calibri"/>
              </w:rPr>
              <w:t>patient who received at least one Medicare-subsidised GP attendance in a RACH</w:t>
            </w:r>
            <w:r w:rsidR="00E40FD7">
              <w:rPr>
                <w:rFonts w:eastAsia="Calibri"/>
              </w:rPr>
              <w:t>.</w:t>
            </w:r>
          </w:p>
          <w:p w14:paraId="2F362DE0" w14:textId="3C0E29DD" w:rsidR="00F9458B" w:rsidRPr="008A6671" w:rsidRDefault="00F9458B" w:rsidP="00993814">
            <w:pPr>
              <w:rPr>
                <w:rFonts w:eastAsia="Calibri"/>
              </w:rPr>
            </w:pPr>
            <w:r w:rsidRPr="008A6671">
              <w:rPr>
                <w:rFonts w:eastAsia="Calibri"/>
              </w:rPr>
              <w:t>MBS</w:t>
            </w:r>
            <w:r w:rsidR="00F53B1A" w:rsidRPr="008A6671">
              <w:rPr>
                <w:rFonts w:eastAsia="Calibri"/>
              </w:rPr>
              <w:t xml:space="preserve"> groups and</w:t>
            </w:r>
            <w:r w:rsidRPr="008A6671">
              <w:rPr>
                <w:rFonts w:eastAsia="Calibri"/>
              </w:rPr>
              <w:t xml:space="preserve"> items for services provided in residential aged care include:</w:t>
            </w:r>
          </w:p>
          <w:p w14:paraId="7C789117" w14:textId="5AA340CA" w:rsidR="00F9458B" w:rsidRPr="00665D8A" w:rsidRDefault="006D5E37" w:rsidP="00665D8A">
            <w:pPr>
              <w:rPr>
                <w:rFonts w:eastAsia="Calibri"/>
              </w:rPr>
            </w:pPr>
            <w:r w:rsidRPr="00665D8A">
              <w:rPr>
                <w:rFonts w:eastAsia="Calibri"/>
              </w:rPr>
              <w:t>Group A35; Items 232, 249, 731, 772, 776, 788, 789, 829, 869, 881, 892, 903, 2125, 2138, 2179, 2220, 5010, 5028, 5049, 5067, 5260, 5263, 5265, 5267, 92102, 92071, 92058, 92027</w:t>
            </w:r>
            <w:r w:rsidR="00640C5A" w:rsidRPr="00665D8A">
              <w:rPr>
                <w:rFonts w:eastAsia="Calibri"/>
              </w:rPr>
              <w:t>.</w:t>
            </w:r>
          </w:p>
        </w:tc>
      </w:tr>
      <w:tr w:rsidR="00F9458B" w:rsidRPr="00F9458B" w14:paraId="7201739B" w14:textId="77777777" w:rsidTr="00405F47">
        <w:trPr>
          <w:cantSplit/>
        </w:trPr>
        <w:tc>
          <w:tcPr>
            <w:tcW w:w="1574" w:type="dxa"/>
          </w:tcPr>
          <w:p w14:paraId="4C4E9340" w14:textId="77777777" w:rsidR="00F9458B" w:rsidRPr="008A6671" w:rsidRDefault="00F9458B" w:rsidP="00F9458B">
            <w:r w:rsidRPr="008A6671">
              <w:t>Purpose</w:t>
            </w:r>
          </w:p>
        </w:tc>
        <w:tc>
          <w:tcPr>
            <w:tcW w:w="8388" w:type="dxa"/>
          </w:tcPr>
          <w:p w14:paraId="7D73D503" w14:textId="719EC048" w:rsidR="00F9458B" w:rsidRPr="008A6671" w:rsidRDefault="00F9458B" w:rsidP="00F9458B">
            <w:pPr>
              <w:rPr>
                <w:rFonts w:eastAsia="Calibri"/>
              </w:rPr>
            </w:pPr>
            <w:r w:rsidRPr="008A6671">
              <w:rPr>
                <w:rFonts w:eastAsia="Calibri"/>
              </w:rPr>
              <w:t xml:space="preserve">Primary health care </w:t>
            </w:r>
            <w:r w:rsidR="00E72E01">
              <w:rPr>
                <w:rFonts w:eastAsia="Calibri"/>
              </w:rPr>
              <w:t>can be</w:t>
            </w:r>
            <w:r w:rsidRPr="008A6671">
              <w:rPr>
                <w:rFonts w:eastAsia="Calibri"/>
              </w:rPr>
              <w:t xml:space="preserve"> difficult to obtain in RAC</w:t>
            </w:r>
            <w:r w:rsidR="006509E6">
              <w:rPr>
                <w:rFonts w:eastAsia="Calibri"/>
              </w:rPr>
              <w:t>H</w:t>
            </w:r>
            <w:r w:rsidRPr="008A6671">
              <w:rPr>
                <w:rFonts w:eastAsia="Calibri"/>
              </w:rPr>
              <w:t>, and when medical care cannot be obtained patients depend on the hospital system which is less appropriate for the patient and a cost to the system</w:t>
            </w:r>
            <w:r w:rsidR="00E40FD7">
              <w:rPr>
                <w:rFonts w:eastAsia="Calibri"/>
              </w:rPr>
              <w:t>.</w:t>
            </w:r>
          </w:p>
          <w:p w14:paraId="5FBFE154" w14:textId="3AE1993A" w:rsidR="00F9458B" w:rsidRPr="008A6671" w:rsidRDefault="00F9458B" w:rsidP="00F9458B">
            <w:pPr>
              <w:rPr>
                <w:rFonts w:eastAsia="Calibri"/>
              </w:rPr>
            </w:pPr>
            <w:r w:rsidRPr="008A6671">
              <w:rPr>
                <w:rFonts w:eastAsia="Calibri"/>
              </w:rPr>
              <w:t>PHNs have opportunities through their networks and commissioning to take steps to facilitate the minimisation of these problems</w:t>
            </w:r>
            <w:r w:rsidR="00E40FD7">
              <w:rPr>
                <w:rFonts w:eastAsia="Calibri"/>
              </w:rPr>
              <w:t>.</w:t>
            </w:r>
          </w:p>
          <w:p w14:paraId="5F343C7D" w14:textId="1C896AF6" w:rsidR="00F9458B" w:rsidRPr="008A6671" w:rsidRDefault="00F9458B" w:rsidP="00F9458B">
            <w:r w:rsidRPr="008A6671">
              <w:rPr>
                <w:rFonts w:eastAsia="Calibri"/>
              </w:rPr>
              <w:t>This indicator will reflect whether access to appropriate MBS health services for people aged 65 and over in RAC</w:t>
            </w:r>
            <w:r w:rsidR="006509E6">
              <w:rPr>
                <w:rFonts w:eastAsia="Calibri"/>
              </w:rPr>
              <w:t>H</w:t>
            </w:r>
            <w:r w:rsidRPr="008A6671">
              <w:rPr>
                <w:rFonts w:eastAsia="Calibri"/>
              </w:rPr>
              <w:t xml:space="preserve"> has improved</w:t>
            </w:r>
            <w:r w:rsidR="00640C5A">
              <w:rPr>
                <w:rFonts w:eastAsia="Calibri"/>
              </w:rPr>
              <w:t>.</w:t>
            </w:r>
          </w:p>
        </w:tc>
      </w:tr>
      <w:tr w:rsidR="00F9458B" w:rsidRPr="00F9458B" w14:paraId="4FC9FB3E" w14:textId="77777777" w:rsidTr="00405F47">
        <w:trPr>
          <w:cantSplit/>
        </w:trPr>
        <w:tc>
          <w:tcPr>
            <w:tcW w:w="1574" w:type="dxa"/>
          </w:tcPr>
          <w:p w14:paraId="3CBCE63D" w14:textId="77777777" w:rsidR="00F9458B" w:rsidRPr="008A6671" w:rsidRDefault="00F9458B" w:rsidP="00F9458B">
            <w:r w:rsidRPr="008A6671">
              <w:t>Outcome Theme: Improving Access</w:t>
            </w:r>
          </w:p>
        </w:tc>
        <w:tc>
          <w:tcPr>
            <w:tcW w:w="8388" w:type="dxa"/>
          </w:tcPr>
          <w:p w14:paraId="35D97F6A" w14:textId="77777777" w:rsidR="00F9458B" w:rsidRPr="008A6671" w:rsidRDefault="00F9458B" w:rsidP="00F9458B">
            <w:pPr>
              <w:rPr>
                <w:rFonts w:eastAsia="Calibri"/>
              </w:rPr>
            </w:pPr>
            <w:r w:rsidRPr="008A6671">
              <w:rPr>
                <w:rFonts w:eastAsia="Calibri"/>
              </w:rPr>
              <w:t>Outcome:</w:t>
            </w:r>
          </w:p>
          <w:p w14:paraId="73F9C365" w14:textId="6E90A004" w:rsidR="00F9458B" w:rsidRPr="008A6671" w:rsidRDefault="00F9458B" w:rsidP="00F9458B">
            <w:r w:rsidRPr="008A6671">
              <w:rPr>
                <w:rFonts w:eastAsia="Calibri"/>
              </w:rPr>
              <w:t>Older people in the PHN region are supported to access primary health care services that meet their needs including self-care in the home</w:t>
            </w:r>
            <w:r w:rsidR="00640C5A">
              <w:rPr>
                <w:rFonts w:eastAsia="Calibri"/>
              </w:rPr>
              <w:t>.</w:t>
            </w:r>
          </w:p>
        </w:tc>
      </w:tr>
      <w:tr w:rsidR="00F9458B" w:rsidRPr="00F9458B" w14:paraId="0DBD129E" w14:textId="77777777" w:rsidTr="00405F47">
        <w:trPr>
          <w:cantSplit/>
        </w:trPr>
        <w:tc>
          <w:tcPr>
            <w:tcW w:w="1574" w:type="dxa"/>
          </w:tcPr>
          <w:p w14:paraId="12B8559D" w14:textId="77777777" w:rsidR="00F9458B" w:rsidRPr="008A6671" w:rsidRDefault="00F9458B" w:rsidP="00F9458B">
            <w:r w:rsidRPr="008A6671">
              <w:t>Performance Criteria</w:t>
            </w:r>
          </w:p>
        </w:tc>
        <w:tc>
          <w:tcPr>
            <w:tcW w:w="8388" w:type="dxa"/>
          </w:tcPr>
          <w:p w14:paraId="44B92494" w14:textId="69F12D74" w:rsidR="00F9458B" w:rsidRPr="008A6671" w:rsidRDefault="00A75699" w:rsidP="00F9458B">
            <w:r w:rsidRPr="00993814">
              <w:t>This item does not have performance criteria or a target. It provides context for other indicators and a reference to the healthcare landscape in which PHNs are operating.</w:t>
            </w:r>
          </w:p>
        </w:tc>
      </w:tr>
      <w:tr w:rsidR="00F9458B" w:rsidRPr="00F9458B" w14:paraId="516B454B" w14:textId="77777777" w:rsidTr="00405F47">
        <w:trPr>
          <w:cantSplit/>
        </w:trPr>
        <w:tc>
          <w:tcPr>
            <w:tcW w:w="1574" w:type="dxa"/>
          </w:tcPr>
          <w:p w14:paraId="297FEA80" w14:textId="77777777" w:rsidR="00F9458B" w:rsidRPr="008A6671" w:rsidRDefault="00F9458B" w:rsidP="00F9458B">
            <w:r w:rsidRPr="008A6671">
              <w:t>Data Source</w:t>
            </w:r>
          </w:p>
        </w:tc>
        <w:tc>
          <w:tcPr>
            <w:tcW w:w="8388" w:type="dxa"/>
          </w:tcPr>
          <w:p w14:paraId="2B5405B2" w14:textId="3D57B649" w:rsidR="00F9458B" w:rsidRPr="008A6671" w:rsidRDefault="00B25D18" w:rsidP="00F9458B">
            <w:r w:rsidRPr="008A6671">
              <w:rPr>
                <w:rFonts w:eastAsia="Calibri"/>
              </w:rPr>
              <w:t>AIHW; Medicare-subsidised GP, allied health and specialist health care across local areas</w:t>
            </w:r>
            <w:r w:rsidR="00640C5A">
              <w:rPr>
                <w:rFonts w:eastAsia="Calibri"/>
              </w:rPr>
              <w:t>.</w:t>
            </w:r>
          </w:p>
        </w:tc>
      </w:tr>
      <w:tr w:rsidR="00F9458B" w:rsidRPr="00F9458B" w14:paraId="1F0C83AF" w14:textId="77777777" w:rsidTr="00405F47">
        <w:trPr>
          <w:cantSplit/>
        </w:trPr>
        <w:tc>
          <w:tcPr>
            <w:tcW w:w="1574" w:type="dxa"/>
          </w:tcPr>
          <w:p w14:paraId="1B4E40F7" w14:textId="77777777" w:rsidR="00F9458B" w:rsidRPr="008A6671" w:rsidRDefault="00F9458B" w:rsidP="00993814">
            <w:r w:rsidRPr="008A6671">
              <w:t>Calculation</w:t>
            </w:r>
          </w:p>
        </w:tc>
        <w:tc>
          <w:tcPr>
            <w:tcW w:w="8388" w:type="dxa"/>
          </w:tcPr>
          <w:p w14:paraId="241EFABB" w14:textId="77777777" w:rsidR="00F9458B" w:rsidRPr="008A6671" w:rsidRDefault="00F9458B" w:rsidP="00993814">
            <w:pPr>
              <w:rPr>
                <w:rFonts w:eastAsia="Calibri"/>
              </w:rPr>
            </w:pPr>
            <w:r w:rsidRPr="008A6671">
              <w:rPr>
                <w:rFonts w:eastAsia="Calibri"/>
              </w:rPr>
              <w:t>Numerator:</w:t>
            </w:r>
          </w:p>
          <w:p w14:paraId="538597D9" w14:textId="68F8D9AC" w:rsidR="00F9458B" w:rsidRPr="008A6671" w:rsidRDefault="00ED738C" w:rsidP="00993814">
            <w:pPr>
              <w:rPr>
                <w:rFonts w:eastAsia="Calibri"/>
              </w:rPr>
            </w:pPr>
            <w:r w:rsidRPr="008A6671">
              <w:rPr>
                <w:rFonts w:eastAsia="Calibri"/>
              </w:rPr>
              <w:t xml:space="preserve">Number of </w:t>
            </w:r>
            <w:r w:rsidR="00A05DC2" w:rsidRPr="008A6671">
              <w:rPr>
                <w:rFonts w:eastAsia="Calibri"/>
              </w:rPr>
              <w:t xml:space="preserve">specific </w:t>
            </w:r>
            <w:r w:rsidR="00F9458B" w:rsidRPr="008A6671">
              <w:rPr>
                <w:rFonts w:eastAsia="Calibri"/>
              </w:rPr>
              <w:t>MBS items provided in residential aged care</w:t>
            </w:r>
            <w:r w:rsidR="006509E6">
              <w:rPr>
                <w:rFonts w:eastAsia="Calibri"/>
              </w:rPr>
              <w:t xml:space="preserve"> homes</w:t>
            </w:r>
            <w:r w:rsidR="00E40FD7">
              <w:rPr>
                <w:rFonts w:eastAsia="Calibri"/>
              </w:rPr>
              <w:t>.</w:t>
            </w:r>
          </w:p>
          <w:p w14:paraId="471F3759" w14:textId="77777777" w:rsidR="00F9458B" w:rsidRPr="008A6671" w:rsidRDefault="00F9458B" w:rsidP="00993814">
            <w:pPr>
              <w:rPr>
                <w:rFonts w:eastAsia="Calibri"/>
              </w:rPr>
            </w:pPr>
            <w:r w:rsidRPr="008A6671">
              <w:rPr>
                <w:rFonts w:eastAsia="Calibri"/>
              </w:rPr>
              <w:t>Denominator:</w:t>
            </w:r>
          </w:p>
          <w:p w14:paraId="139B312B" w14:textId="2DC37C71" w:rsidR="00F9458B" w:rsidRPr="008A6671" w:rsidRDefault="00F9458B" w:rsidP="00993814">
            <w:pPr>
              <w:rPr>
                <w:rFonts w:eastAsia="Calibri"/>
              </w:rPr>
            </w:pPr>
            <w:r w:rsidRPr="008A6671">
              <w:rPr>
                <w:rFonts w:eastAsia="Calibri"/>
              </w:rPr>
              <w:t xml:space="preserve">Number of </w:t>
            </w:r>
            <w:r w:rsidR="00A05DC2" w:rsidRPr="008A6671">
              <w:rPr>
                <w:rFonts w:eastAsia="Calibri"/>
              </w:rPr>
              <w:t>GP residential aged care patients</w:t>
            </w:r>
            <w:r w:rsidR="00E40FD7">
              <w:rPr>
                <w:rFonts w:eastAsia="Calibri"/>
              </w:rPr>
              <w:t>.</w:t>
            </w:r>
          </w:p>
          <w:p w14:paraId="43B9FE4F" w14:textId="77777777" w:rsidR="00F9458B" w:rsidRPr="008A6671" w:rsidRDefault="00F9458B" w:rsidP="00993814">
            <w:pPr>
              <w:rPr>
                <w:rFonts w:eastAsia="Calibri"/>
              </w:rPr>
            </w:pPr>
            <w:r w:rsidRPr="008A6671">
              <w:rPr>
                <w:rFonts w:eastAsia="Calibri"/>
              </w:rPr>
              <w:t>Computation:</w:t>
            </w:r>
          </w:p>
          <w:p w14:paraId="515E05AC" w14:textId="24220D53" w:rsidR="00F9458B" w:rsidRPr="008A6671" w:rsidRDefault="00F90165" w:rsidP="00993814">
            <w:pPr>
              <w:rPr>
                <w:rFonts w:eastAsia="Calibri"/>
              </w:rPr>
            </w:pPr>
            <w:r>
              <w:rPr>
                <w:rFonts w:eastAsia="Calibri"/>
              </w:rPr>
              <w:t>N</w:t>
            </w:r>
            <w:r w:rsidR="00F9458B" w:rsidRPr="008A6671">
              <w:rPr>
                <w:rFonts w:eastAsia="Calibri"/>
              </w:rPr>
              <w:t>umerator / denominator</w:t>
            </w:r>
            <w:r w:rsidR="00C36AB8">
              <w:rPr>
                <w:rFonts w:eastAsia="Calibri"/>
              </w:rPr>
              <w:t>,</w:t>
            </w:r>
            <w:r w:rsidR="00F9458B" w:rsidRPr="008A6671">
              <w:rPr>
                <w:rFonts w:eastAsia="Calibri"/>
              </w:rPr>
              <w:t xml:space="preserve"> presented as a </w:t>
            </w:r>
            <w:r w:rsidR="00C36AB8">
              <w:rPr>
                <w:rFonts w:eastAsia="Calibri"/>
              </w:rPr>
              <w:t>rate</w:t>
            </w:r>
            <w:r w:rsidR="00FA002C">
              <w:rPr>
                <w:rFonts w:eastAsia="Calibri"/>
              </w:rPr>
              <w:t xml:space="preserve"> of </w:t>
            </w:r>
            <w:r w:rsidR="00BD7775">
              <w:rPr>
                <w:rFonts w:eastAsia="Calibri"/>
              </w:rPr>
              <w:t>attendances</w:t>
            </w:r>
            <w:r w:rsidR="00FA002C">
              <w:rPr>
                <w:rFonts w:eastAsia="Calibri"/>
              </w:rPr>
              <w:t xml:space="preserve"> per patient</w:t>
            </w:r>
            <w:r w:rsidR="00C36AB8" w:rsidRPr="008A6671">
              <w:rPr>
                <w:rFonts w:eastAsia="Calibri"/>
              </w:rPr>
              <w:t xml:space="preserve"> </w:t>
            </w:r>
            <w:r w:rsidR="00F9458B" w:rsidRPr="008A6671">
              <w:rPr>
                <w:rFonts w:eastAsia="Calibri"/>
              </w:rPr>
              <w:t>in PHN region</w:t>
            </w:r>
            <w:r w:rsidR="00640C5A">
              <w:rPr>
                <w:rFonts w:eastAsia="Calibri"/>
              </w:rPr>
              <w:t>.</w:t>
            </w:r>
          </w:p>
        </w:tc>
      </w:tr>
      <w:tr w:rsidR="00F9458B" w:rsidRPr="00F9458B" w14:paraId="1D660BE7" w14:textId="77777777" w:rsidTr="00405F47">
        <w:trPr>
          <w:cantSplit/>
        </w:trPr>
        <w:tc>
          <w:tcPr>
            <w:tcW w:w="1574" w:type="dxa"/>
          </w:tcPr>
          <w:p w14:paraId="3E248F24" w14:textId="77777777" w:rsidR="00F9458B" w:rsidRPr="008A6671" w:rsidRDefault="00F9458B" w:rsidP="00993814">
            <w:r w:rsidRPr="008A6671">
              <w:t>Limitations</w:t>
            </w:r>
          </w:p>
        </w:tc>
        <w:tc>
          <w:tcPr>
            <w:tcW w:w="8388" w:type="dxa"/>
          </w:tcPr>
          <w:p w14:paraId="1B942542" w14:textId="77777777" w:rsidR="00F9458B" w:rsidRPr="008A6671" w:rsidRDefault="00F9458B" w:rsidP="00993814">
            <w:r w:rsidRPr="008A6671">
              <w:t>-</w:t>
            </w:r>
          </w:p>
        </w:tc>
      </w:tr>
      <w:tr w:rsidR="00F9458B" w:rsidRPr="00F9458B" w14:paraId="1F186F45" w14:textId="77777777" w:rsidTr="00405F47">
        <w:trPr>
          <w:cantSplit/>
        </w:trPr>
        <w:tc>
          <w:tcPr>
            <w:tcW w:w="1574" w:type="dxa"/>
          </w:tcPr>
          <w:p w14:paraId="6EE355DC" w14:textId="77777777" w:rsidR="00F9458B" w:rsidRPr="008A6671" w:rsidRDefault="00F9458B" w:rsidP="00993814">
            <w:r w:rsidRPr="008A6671">
              <w:t>Additional information</w:t>
            </w:r>
          </w:p>
        </w:tc>
        <w:tc>
          <w:tcPr>
            <w:tcW w:w="8388" w:type="dxa"/>
          </w:tcPr>
          <w:p w14:paraId="2261DAED" w14:textId="25F83DA8" w:rsidR="00F9458B" w:rsidRPr="008A6671" w:rsidRDefault="00F9458B" w:rsidP="00993814">
            <w:pPr>
              <w:rPr>
                <w:rFonts w:eastAsia="Calibri"/>
              </w:rPr>
            </w:pPr>
            <w:r w:rsidRPr="008A6671">
              <w:rPr>
                <w:rFonts w:eastAsia="Calibri"/>
              </w:rPr>
              <w:t>Data from this indicator will be used to interpret and provide context to other indicators including P4, P12 and AC2</w:t>
            </w:r>
            <w:r w:rsidR="00640C5A">
              <w:rPr>
                <w:rFonts w:eastAsia="Calibri"/>
              </w:rPr>
              <w:t>.</w:t>
            </w:r>
          </w:p>
        </w:tc>
      </w:tr>
    </w:tbl>
    <w:p w14:paraId="07717440" w14:textId="2548E919" w:rsidR="00F9458B" w:rsidRPr="0082185D" w:rsidRDefault="00F04FED" w:rsidP="00665D8A">
      <w:pPr>
        <w:pStyle w:val="Heading2"/>
      </w:pPr>
      <w:r w:rsidRPr="0082185D">
        <w:lastRenderedPageBreak/>
        <w:t>AC2: Rate of people aged 65 and over with a GP health assessment</w:t>
      </w:r>
    </w:p>
    <w:tbl>
      <w:tblPr>
        <w:tblStyle w:val="PHNTealtable"/>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4A0" w:firstRow="1" w:lastRow="0" w:firstColumn="1" w:lastColumn="0" w:noHBand="0" w:noVBand="1"/>
        <w:tblDescription w:val="This table details indicator AC2: Rate of people aged 75 and over with a GP health assessment. It is comprised of two columns, and 11 rows. Column one provides the Item of the indicator, and Column two outlines the corresponding description."/>
      </w:tblPr>
      <w:tblGrid>
        <w:gridCol w:w="1571"/>
        <w:gridCol w:w="8156"/>
      </w:tblGrid>
      <w:tr w:rsidR="00F9458B" w:rsidRPr="00F9458B" w14:paraId="115C94C2" w14:textId="77777777" w:rsidTr="009038CB">
        <w:trPr>
          <w:cnfStyle w:val="100000000000" w:firstRow="1" w:lastRow="0" w:firstColumn="0" w:lastColumn="0" w:oddVBand="0" w:evenVBand="0" w:oddHBand="0" w:evenHBand="0" w:firstRowFirstColumn="0" w:firstRowLastColumn="0" w:lastRowFirstColumn="0" w:lastRowLastColumn="0"/>
          <w:tblHeader/>
        </w:trPr>
        <w:tc>
          <w:tcPr>
            <w:tcW w:w="1574" w:type="dxa"/>
            <w:shd w:val="clear" w:color="auto" w:fill="153A6E"/>
          </w:tcPr>
          <w:p w14:paraId="268567FC" w14:textId="77777777" w:rsidR="00F9458B" w:rsidRPr="00716651" w:rsidRDefault="00F9458B" w:rsidP="0082185D">
            <w:pPr>
              <w:pStyle w:val="TableHeaderWhite"/>
            </w:pPr>
            <w:r w:rsidRPr="00716651">
              <w:t>Item</w:t>
            </w:r>
          </w:p>
        </w:tc>
        <w:tc>
          <w:tcPr>
            <w:tcW w:w="8388" w:type="dxa"/>
            <w:shd w:val="clear" w:color="auto" w:fill="153A6E"/>
          </w:tcPr>
          <w:p w14:paraId="66F2F2E1" w14:textId="77777777" w:rsidR="00F9458B" w:rsidRPr="00716651" w:rsidRDefault="00F9458B" w:rsidP="0082185D">
            <w:pPr>
              <w:pStyle w:val="TableHeaderWhite"/>
            </w:pPr>
            <w:r w:rsidRPr="00716651">
              <w:t>Description</w:t>
            </w:r>
          </w:p>
        </w:tc>
      </w:tr>
      <w:tr w:rsidR="00F9458B" w:rsidRPr="00F9458B" w14:paraId="0CAC89A0" w14:textId="77777777" w:rsidTr="00405F47">
        <w:trPr>
          <w:cantSplit/>
        </w:trPr>
        <w:tc>
          <w:tcPr>
            <w:tcW w:w="1574" w:type="dxa"/>
          </w:tcPr>
          <w:p w14:paraId="27C382FC" w14:textId="77777777" w:rsidR="00F9458B" w:rsidRPr="008A6671" w:rsidRDefault="00F9458B" w:rsidP="00F9458B">
            <w:r w:rsidRPr="008A6671">
              <w:t>Assessment</w:t>
            </w:r>
          </w:p>
        </w:tc>
        <w:tc>
          <w:tcPr>
            <w:tcW w:w="8388" w:type="dxa"/>
          </w:tcPr>
          <w:p w14:paraId="1284D358" w14:textId="5A1D0832" w:rsidR="00F9458B" w:rsidRPr="008A6671" w:rsidRDefault="00F9458B" w:rsidP="00F9458B">
            <w:pPr>
              <w:rPr>
                <w:rFonts w:eastAsia="Calibri"/>
              </w:rPr>
            </w:pPr>
            <w:r w:rsidRPr="008A6671">
              <w:rPr>
                <w:rFonts w:eastAsia="Calibri"/>
              </w:rPr>
              <w:t>PHN Program</w:t>
            </w:r>
            <w:r w:rsidR="00640C5A">
              <w:rPr>
                <w:rFonts w:eastAsia="Calibri"/>
              </w:rPr>
              <w:t>.</w:t>
            </w:r>
          </w:p>
        </w:tc>
      </w:tr>
      <w:tr w:rsidR="00F9458B" w:rsidRPr="00F9458B" w14:paraId="31638D99" w14:textId="77777777" w:rsidTr="00405F47">
        <w:trPr>
          <w:cantSplit/>
        </w:trPr>
        <w:tc>
          <w:tcPr>
            <w:tcW w:w="1574" w:type="dxa"/>
          </w:tcPr>
          <w:p w14:paraId="52286A82" w14:textId="77777777" w:rsidR="00F9458B" w:rsidRPr="008A6671" w:rsidRDefault="00F9458B" w:rsidP="00F9458B">
            <w:r w:rsidRPr="008A6671">
              <w:t>Reporting</w:t>
            </w:r>
          </w:p>
        </w:tc>
        <w:tc>
          <w:tcPr>
            <w:tcW w:w="8388" w:type="dxa"/>
          </w:tcPr>
          <w:p w14:paraId="738ADD95" w14:textId="7CF6D692" w:rsidR="00F9458B" w:rsidRPr="008A6671" w:rsidRDefault="00E37C0A" w:rsidP="00F9458B">
            <w:pPr>
              <w:rPr>
                <w:rFonts w:eastAsia="Calibri"/>
              </w:rPr>
            </w:pPr>
            <w:r w:rsidRPr="008A6671">
              <w:t>Twelve monthly by Department.</w:t>
            </w:r>
          </w:p>
        </w:tc>
      </w:tr>
      <w:tr w:rsidR="00F9458B" w:rsidRPr="00F9458B" w14:paraId="154996B2" w14:textId="77777777" w:rsidTr="00405F47">
        <w:trPr>
          <w:cantSplit/>
        </w:trPr>
        <w:tc>
          <w:tcPr>
            <w:tcW w:w="1574" w:type="dxa"/>
          </w:tcPr>
          <w:p w14:paraId="533BF2C9" w14:textId="77777777" w:rsidR="00F9458B" w:rsidRPr="008A6671" w:rsidRDefault="00F9458B" w:rsidP="00F9458B">
            <w:r w:rsidRPr="008A6671">
              <w:t>Definition</w:t>
            </w:r>
          </w:p>
        </w:tc>
        <w:tc>
          <w:tcPr>
            <w:tcW w:w="8388" w:type="dxa"/>
          </w:tcPr>
          <w:p w14:paraId="49A55F98" w14:textId="51098236" w:rsidR="00F9458B" w:rsidRPr="008A6671" w:rsidRDefault="00F9458B" w:rsidP="0077329F">
            <w:pPr>
              <w:rPr>
                <w:rFonts w:eastAsia="Calibri"/>
              </w:rPr>
            </w:pPr>
            <w:r w:rsidRPr="008A6671">
              <w:rPr>
                <w:rFonts w:eastAsia="Calibri"/>
              </w:rPr>
              <w:t xml:space="preserve">Rate of people aged </w:t>
            </w:r>
            <w:r w:rsidR="009C208F" w:rsidRPr="008A6671">
              <w:rPr>
                <w:rFonts w:eastAsia="Calibri"/>
              </w:rPr>
              <w:t>6</w:t>
            </w:r>
            <w:r w:rsidRPr="008A6671">
              <w:rPr>
                <w:rFonts w:eastAsia="Calibri"/>
              </w:rPr>
              <w:t>5 and over with a GP health assessment.</w:t>
            </w:r>
          </w:p>
          <w:p w14:paraId="685137FD" w14:textId="639AFCBC" w:rsidR="00F9458B" w:rsidRPr="008A6671" w:rsidRDefault="00F9458B" w:rsidP="0077329F">
            <w:pPr>
              <w:rPr>
                <w:rFonts w:eastAsia="Calibri"/>
              </w:rPr>
            </w:pPr>
            <w:r w:rsidRPr="008A6671">
              <w:rPr>
                <w:rFonts w:eastAsia="Calibri"/>
              </w:rPr>
              <w:t xml:space="preserve">GP health assessment includes MBS </w:t>
            </w:r>
            <w:r w:rsidR="007C7A2E" w:rsidRPr="008A6671">
              <w:rPr>
                <w:rFonts w:eastAsia="Calibri"/>
              </w:rPr>
              <w:t xml:space="preserve">groups, subgroups, and </w:t>
            </w:r>
            <w:r w:rsidRPr="008A6671">
              <w:rPr>
                <w:rFonts w:eastAsia="Calibri"/>
              </w:rPr>
              <w:t xml:space="preserve">items: </w:t>
            </w:r>
          </w:p>
          <w:p w14:paraId="57D4AEFA" w14:textId="32AB6884" w:rsidR="00F9458B" w:rsidRPr="0077329F" w:rsidRDefault="007C7A2E" w:rsidP="0077329F">
            <w:pPr>
              <w:rPr>
                <w:rFonts w:eastAsia="Calibri"/>
              </w:rPr>
            </w:pPr>
            <w:r w:rsidRPr="0077329F">
              <w:rPr>
                <w:rFonts w:eastAsia="Calibri"/>
              </w:rPr>
              <w:t>Group A14; Subgroups A7.5, A40.11, A40.12; Items 93470, 93479</w:t>
            </w:r>
            <w:r w:rsidR="00640C5A">
              <w:rPr>
                <w:rFonts w:eastAsia="Calibri"/>
              </w:rPr>
              <w:t>.</w:t>
            </w:r>
          </w:p>
        </w:tc>
      </w:tr>
      <w:tr w:rsidR="00F9458B" w:rsidRPr="00F9458B" w14:paraId="229D46A3" w14:textId="77777777" w:rsidTr="00405F47">
        <w:trPr>
          <w:cantSplit/>
        </w:trPr>
        <w:tc>
          <w:tcPr>
            <w:tcW w:w="1574" w:type="dxa"/>
          </w:tcPr>
          <w:p w14:paraId="4326F764" w14:textId="77777777" w:rsidR="00F9458B" w:rsidRPr="008A6671" w:rsidRDefault="00F9458B" w:rsidP="00F9458B">
            <w:r w:rsidRPr="008A6671">
              <w:t>Purpose</w:t>
            </w:r>
          </w:p>
        </w:tc>
        <w:tc>
          <w:tcPr>
            <w:tcW w:w="8388" w:type="dxa"/>
          </w:tcPr>
          <w:p w14:paraId="48ED912B" w14:textId="74D55AF4" w:rsidR="00F9458B" w:rsidRPr="008A6671" w:rsidRDefault="00F9458B" w:rsidP="00F9458B">
            <w:pPr>
              <w:rPr>
                <w:rFonts w:eastAsia="Calibri"/>
              </w:rPr>
            </w:pPr>
            <w:r w:rsidRPr="008A6671">
              <w:rPr>
                <w:rFonts w:eastAsia="Calibri"/>
              </w:rPr>
              <w:t xml:space="preserve">This indicator will reflect whether access to appropriate GP health services for people aged </w:t>
            </w:r>
            <w:r w:rsidR="00F731B3" w:rsidRPr="008A6671">
              <w:rPr>
                <w:rFonts w:eastAsia="Calibri"/>
              </w:rPr>
              <w:t>6</w:t>
            </w:r>
            <w:r w:rsidRPr="008A6671">
              <w:rPr>
                <w:rFonts w:eastAsia="Calibri"/>
              </w:rPr>
              <w:t>5 and over has improved</w:t>
            </w:r>
            <w:r w:rsidR="00E40FD7">
              <w:rPr>
                <w:rFonts w:eastAsia="Calibri"/>
              </w:rPr>
              <w:t>.</w:t>
            </w:r>
          </w:p>
          <w:p w14:paraId="5CE6F04B" w14:textId="380F3C06" w:rsidR="00F9458B" w:rsidRPr="008A6671" w:rsidRDefault="00F9458B" w:rsidP="00F9458B">
            <w:r w:rsidRPr="008A6671">
              <w:rPr>
                <w:rFonts w:eastAsia="Calibri"/>
              </w:rPr>
              <w:t>This indicator will provide information on trends in usage of GP services by older people to identify gaps and weaknesses in the systems which PHNs may be able to influence</w:t>
            </w:r>
            <w:r w:rsidR="00640C5A">
              <w:rPr>
                <w:rFonts w:eastAsia="Calibri"/>
              </w:rPr>
              <w:t>.</w:t>
            </w:r>
          </w:p>
        </w:tc>
      </w:tr>
      <w:tr w:rsidR="00F9458B" w:rsidRPr="00F9458B" w14:paraId="00502574" w14:textId="77777777" w:rsidTr="00405F47">
        <w:trPr>
          <w:cantSplit/>
        </w:trPr>
        <w:tc>
          <w:tcPr>
            <w:tcW w:w="1574" w:type="dxa"/>
          </w:tcPr>
          <w:p w14:paraId="06ABA972" w14:textId="77777777" w:rsidR="00F9458B" w:rsidRPr="008A6671" w:rsidRDefault="00F9458B" w:rsidP="00F9458B">
            <w:r w:rsidRPr="008A6671">
              <w:t>Outcome Theme: Improving Access</w:t>
            </w:r>
          </w:p>
        </w:tc>
        <w:tc>
          <w:tcPr>
            <w:tcW w:w="8388" w:type="dxa"/>
          </w:tcPr>
          <w:p w14:paraId="02901FCF" w14:textId="77777777" w:rsidR="00F9458B" w:rsidRPr="008A6671" w:rsidRDefault="00F9458B" w:rsidP="00F9458B">
            <w:pPr>
              <w:rPr>
                <w:rFonts w:eastAsia="Calibri"/>
              </w:rPr>
            </w:pPr>
            <w:r w:rsidRPr="008A6671">
              <w:rPr>
                <w:rFonts w:eastAsia="Calibri"/>
              </w:rPr>
              <w:t>Outcome:</w:t>
            </w:r>
          </w:p>
          <w:p w14:paraId="6E20EDD0" w14:textId="6DD6A017" w:rsidR="00F9458B" w:rsidRPr="008A6671" w:rsidRDefault="00F9458B" w:rsidP="00F9458B">
            <w:r w:rsidRPr="008A6671">
              <w:rPr>
                <w:rFonts w:eastAsia="Calibri"/>
              </w:rPr>
              <w:t>Older people in the PHN region are supported to access primary health care services that meet their need</w:t>
            </w:r>
            <w:r w:rsidR="00BD24F7">
              <w:rPr>
                <w:rFonts w:eastAsia="Calibri"/>
              </w:rPr>
              <w:t>s</w:t>
            </w:r>
            <w:r w:rsidRPr="008A6671">
              <w:rPr>
                <w:rFonts w:eastAsia="Calibri"/>
              </w:rPr>
              <w:t xml:space="preserve"> including self-care in the home</w:t>
            </w:r>
            <w:r w:rsidR="00640C5A">
              <w:rPr>
                <w:rFonts w:eastAsia="Calibri"/>
              </w:rPr>
              <w:t>.</w:t>
            </w:r>
          </w:p>
        </w:tc>
      </w:tr>
      <w:tr w:rsidR="00F9458B" w:rsidRPr="00F9458B" w14:paraId="46D9C97E" w14:textId="77777777" w:rsidTr="00405F47">
        <w:trPr>
          <w:cantSplit/>
        </w:trPr>
        <w:tc>
          <w:tcPr>
            <w:tcW w:w="1574" w:type="dxa"/>
          </w:tcPr>
          <w:p w14:paraId="1DB971F0" w14:textId="77777777" w:rsidR="00F9458B" w:rsidRPr="008A6671" w:rsidRDefault="00F9458B" w:rsidP="00F9458B">
            <w:r w:rsidRPr="008A6671">
              <w:t>Performance Criteria</w:t>
            </w:r>
          </w:p>
        </w:tc>
        <w:tc>
          <w:tcPr>
            <w:tcW w:w="8388" w:type="dxa"/>
          </w:tcPr>
          <w:p w14:paraId="6E54D0C3" w14:textId="39CB5AA2" w:rsidR="00F9458B" w:rsidRPr="008A6671" w:rsidRDefault="00A75699" w:rsidP="00F9458B">
            <w:r w:rsidRPr="0077329F">
              <w:t>This item does not have performance criteria or a target. It provides context for other indicators and a reference to the healthcare landscape in which PHNs are operating.</w:t>
            </w:r>
          </w:p>
        </w:tc>
      </w:tr>
      <w:tr w:rsidR="00F9458B" w:rsidRPr="00F9458B" w14:paraId="71F63A18" w14:textId="77777777" w:rsidTr="00405F47">
        <w:trPr>
          <w:cantSplit/>
        </w:trPr>
        <w:tc>
          <w:tcPr>
            <w:tcW w:w="1574" w:type="dxa"/>
          </w:tcPr>
          <w:p w14:paraId="2C13BBF8" w14:textId="77777777" w:rsidR="00F9458B" w:rsidRPr="008A6671" w:rsidRDefault="00F9458B" w:rsidP="00F9458B">
            <w:r w:rsidRPr="008A6671">
              <w:t>Data Source</w:t>
            </w:r>
          </w:p>
        </w:tc>
        <w:tc>
          <w:tcPr>
            <w:tcW w:w="8388" w:type="dxa"/>
          </w:tcPr>
          <w:p w14:paraId="17A00BED" w14:textId="43EBD53C" w:rsidR="00F9458B" w:rsidRPr="008A6671" w:rsidRDefault="003C2D18" w:rsidP="00F9458B">
            <w:r w:rsidRPr="008A6671">
              <w:rPr>
                <w:rFonts w:eastAsia="Calibri"/>
              </w:rPr>
              <w:t xml:space="preserve">AIHW </w:t>
            </w:r>
            <w:r w:rsidR="00F9458B" w:rsidRPr="008A6671">
              <w:rPr>
                <w:rFonts w:eastAsia="Calibri"/>
              </w:rPr>
              <w:t xml:space="preserve">– </w:t>
            </w:r>
            <w:r w:rsidR="00AE1906" w:rsidRPr="008A6671">
              <w:rPr>
                <w:rFonts w:eastAsia="Calibri"/>
              </w:rPr>
              <w:t>Medicare-subsidised GP, allied health and specialist health care across local areas</w:t>
            </w:r>
            <w:r w:rsidR="00640C5A">
              <w:rPr>
                <w:rFonts w:eastAsia="Calibri"/>
              </w:rPr>
              <w:t>.</w:t>
            </w:r>
          </w:p>
        </w:tc>
      </w:tr>
      <w:tr w:rsidR="00F9458B" w:rsidRPr="00F9458B" w14:paraId="122D0F87" w14:textId="77777777" w:rsidTr="00405F47">
        <w:trPr>
          <w:cantSplit/>
        </w:trPr>
        <w:tc>
          <w:tcPr>
            <w:tcW w:w="1574" w:type="dxa"/>
          </w:tcPr>
          <w:p w14:paraId="0E1F9100" w14:textId="77777777" w:rsidR="00F9458B" w:rsidRPr="008A6671" w:rsidRDefault="00F9458B" w:rsidP="00F9458B">
            <w:r w:rsidRPr="008A6671">
              <w:t>Calculation</w:t>
            </w:r>
          </w:p>
        </w:tc>
        <w:tc>
          <w:tcPr>
            <w:tcW w:w="8388" w:type="dxa"/>
          </w:tcPr>
          <w:p w14:paraId="6C0A5E3A" w14:textId="77777777" w:rsidR="00F9458B" w:rsidRPr="008A6671" w:rsidRDefault="00F9458B" w:rsidP="00F9458B">
            <w:pPr>
              <w:rPr>
                <w:rFonts w:eastAsia="Calibri"/>
              </w:rPr>
            </w:pPr>
            <w:r w:rsidRPr="008A6671">
              <w:rPr>
                <w:rFonts w:eastAsia="Calibri"/>
              </w:rPr>
              <w:t>Numerator:</w:t>
            </w:r>
          </w:p>
          <w:p w14:paraId="64CDBDDF" w14:textId="63E685D4" w:rsidR="00F9458B" w:rsidRPr="008A6671" w:rsidRDefault="00B32322" w:rsidP="00F9458B">
            <w:pPr>
              <w:rPr>
                <w:rFonts w:eastAsia="Calibri"/>
              </w:rPr>
            </w:pPr>
            <w:r w:rsidRPr="008A6671">
              <w:rPr>
                <w:rFonts w:eastAsia="Calibri"/>
              </w:rPr>
              <w:t xml:space="preserve">Number of </w:t>
            </w:r>
            <w:r w:rsidR="006A1762" w:rsidRPr="008A6671">
              <w:rPr>
                <w:rFonts w:eastAsia="Calibri"/>
              </w:rPr>
              <w:t xml:space="preserve">specific </w:t>
            </w:r>
            <w:r w:rsidR="00F9458B" w:rsidRPr="008A6671">
              <w:rPr>
                <w:rFonts w:eastAsia="Calibri"/>
              </w:rPr>
              <w:t xml:space="preserve">MBS items provided to people aged </w:t>
            </w:r>
            <w:r w:rsidR="00B00149" w:rsidRPr="008A6671">
              <w:rPr>
                <w:rFonts w:eastAsia="Calibri"/>
              </w:rPr>
              <w:t>6</w:t>
            </w:r>
            <w:r w:rsidR="00F9458B" w:rsidRPr="008A6671">
              <w:rPr>
                <w:rFonts w:eastAsia="Calibri"/>
              </w:rPr>
              <w:t>5 and over</w:t>
            </w:r>
            <w:r w:rsidR="00E40FD7">
              <w:rPr>
                <w:rFonts w:eastAsia="Calibri"/>
              </w:rPr>
              <w:t>.</w:t>
            </w:r>
          </w:p>
          <w:p w14:paraId="43F9F5F1" w14:textId="77777777" w:rsidR="00F9458B" w:rsidRPr="008A6671" w:rsidRDefault="00F9458B" w:rsidP="00F9458B">
            <w:pPr>
              <w:rPr>
                <w:rFonts w:eastAsia="Calibri"/>
              </w:rPr>
            </w:pPr>
            <w:r w:rsidRPr="008A6671">
              <w:rPr>
                <w:rFonts w:eastAsia="Calibri"/>
              </w:rPr>
              <w:t>Denominator:</w:t>
            </w:r>
          </w:p>
          <w:p w14:paraId="675D07E6" w14:textId="34823A77" w:rsidR="00F9458B" w:rsidRPr="008A6671" w:rsidRDefault="00F9458B" w:rsidP="00F9458B">
            <w:pPr>
              <w:rPr>
                <w:rFonts w:eastAsia="Calibri"/>
              </w:rPr>
            </w:pPr>
            <w:r w:rsidRPr="008A6671">
              <w:rPr>
                <w:rFonts w:eastAsia="Calibri"/>
              </w:rPr>
              <w:t xml:space="preserve">Population of the PHN aged </w:t>
            </w:r>
            <w:r w:rsidR="00B00149" w:rsidRPr="008A6671">
              <w:rPr>
                <w:rFonts w:eastAsia="Calibri"/>
              </w:rPr>
              <w:t>6</w:t>
            </w:r>
            <w:r w:rsidRPr="008A6671">
              <w:rPr>
                <w:rFonts w:eastAsia="Calibri"/>
              </w:rPr>
              <w:t>5 and over for the most recent year available</w:t>
            </w:r>
            <w:r w:rsidR="00E40FD7">
              <w:rPr>
                <w:rFonts w:eastAsia="Calibri"/>
              </w:rPr>
              <w:t>.</w:t>
            </w:r>
          </w:p>
          <w:p w14:paraId="7704EB3A" w14:textId="77777777" w:rsidR="00F9458B" w:rsidRPr="008A6671" w:rsidRDefault="00F9458B" w:rsidP="00F9458B">
            <w:pPr>
              <w:rPr>
                <w:rFonts w:eastAsia="Calibri"/>
              </w:rPr>
            </w:pPr>
            <w:r w:rsidRPr="008A6671">
              <w:rPr>
                <w:rFonts w:eastAsia="Calibri"/>
              </w:rPr>
              <w:t>Computation:</w:t>
            </w:r>
          </w:p>
          <w:p w14:paraId="12C106C3" w14:textId="0309C57F" w:rsidR="00F9458B" w:rsidRPr="008A6671" w:rsidRDefault="00F9458B" w:rsidP="00F9458B">
            <w:r w:rsidRPr="008A6671">
              <w:rPr>
                <w:rFonts w:eastAsia="Calibri"/>
              </w:rPr>
              <w:t>100 x (numerator / denominator) presented as a percentage in PHN region</w:t>
            </w:r>
            <w:r w:rsidR="00640C5A">
              <w:rPr>
                <w:rFonts w:eastAsia="Calibri"/>
              </w:rPr>
              <w:t>.</w:t>
            </w:r>
          </w:p>
        </w:tc>
      </w:tr>
      <w:tr w:rsidR="00F9458B" w:rsidRPr="00F9458B" w14:paraId="0F73E9FD" w14:textId="77777777" w:rsidTr="00405F47">
        <w:trPr>
          <w:cantSplit/>
        </w:trPr>
        <w:tc>
          <w:tcPr>
            <w:tcW w:w="1574" w:type="dxa"/>
          </w:tcPr>
          <w:p w14:paraId="65B979B8" w14:textId="77777777" w:rsidR="00F9458B" w:rsidRPr="008A6671" w:rsidRDefault="00F9458B" w:rsidP="00F9458B">
            <w:r w:rsidRPr="008A6671">
              <w:t>Limitations</w:t>
            </w:r>
          </w:p>
        </w:tc>
        <w:tc>
          <w:tcPr>
            <w:tcW w:w="8388" w:type="dxa"/>
          </w:tcPr>
          <w:p w14:paraId="177F7338" w14:textId="77777777" w:rsidR="00F9458B" w:rsidRPr="008A6671" w:rsidRDefault="00F9458B" w:rsidP="00F9458B">
            <w:r w:rsidRPr="008A6671">
              <w:t>-</w:t>
            </w:r>
          </w:p>
        </w:tc>
      </w:tr>
      <w:tr w:rsidR="00F9458B" w:rsidRPr="00F9458B" w14:paraId="2B76CFDE" w14:textId="77777777" w:rsidTr="00405F47">
        <w:trPr>
          <w:cantSplit/>
        </w:trPr>
        <w:tc>
          <w:tcPr>
            <w:tcW w:w="1574" w:type="dxa"/>
          </w:tcPr>
          <w:p w14:paraId="6CE43CB0" w14:textId="77777777" w:rsidR="00F9458B" w:rsidRPr="008A6671" w:rsidRDefault="00F9458B" w:rsidP="00F9458B">
            <w:r w:rsidRPr="008A6671">
              <w:t>Additional information</w:t>
            </w:r>
          </w:p>
        </w:tc>
        <w:tc>
          <w:tcPr>
            <w:tcW w:w="8388" w:type="dxa"/>
          </w:tcPr>
          <w:p w14:paraId="14055411" w14:textId="28EA3995" w:rsidR="00F9458B" w:rsidRPr="008A6671" w:rsidRDefault="00F9458B" w:rsidP="00F9458B">
            <w:pPr>
              <w:rPr>
                <w:rFonts w:eastAsia="Calibri"/>
              </w:rPr>
            </w:pPr>
            <w:r w:rsidRPr="008A6671">
              <w:rPr>
                <w:rFonts w:eastAsia="Calibri"/>
              </w:rPr>
              <w:t xml:space="preserve">A health assessment for people aged </w:t>
            </w:r>
            <w:r w:rsidR="00B00149" w:rsidRPr="008A6671">
              <w:rPr>
                <w:rFonts w:eastAsia="Calibri"/>
              </w:rPr>
              <w:t>6</w:t>
            </w:r>
            <w:r w:rsidRPr="008A6671">
              <w:rPr>
                <w:rFonts w:eastAsia="Calibri"/>
              </w:rPr>
              <w:t xml:space="preserve">5 years and older is an assessment of a patient’s health and physical, psychological and social function for the purpose of initiating preventive health care and/or medical interventions as appropriate. This indicator targets the population of those aged </w:t>
            </w:r>
            <w:r w:rsidR="00447169" w:rsidRPr="008A6671">
              <w:rPr>
                <w:rFonts w:eastAsia="Calibri"/>
              </w:rPr>
              <w:t>6</w:t>
            </w:r>
            <w:r w:rsidRPr="008A6671">
              <w:rPr>
                <w:rFonts w:eastAsia="Calibri"/>
              </w:rPr>
              <w:t>5 years and over</w:t>
            </w:r>
            <w:r w:rsidR="00447169" w:rsidRPr="008A6671">
              <w:rPr>
                <w:rFonts w:eastAsia="Calibri"/>
              </w:rPr>
              <w:t>.</w:t>
            </w:r>
            <w:r w:rsidR="00C92861" w:rsidRPr="008A6671">
              <w:rPr>
                <w:rFonts w:eastAsia="Calibri"/>
              </w:rPr>
              <w:t xml:space="preserve"> </w:t>
            </w:r>
            <w:r w:rsidRPr="008A6671">
              <w:rPr>
                <w:rFonts w:eastAsia="Calibri"/>
              </w:rPr>
              <w:t>Data from this indicator will be used to interpret and provide context to other indicators including P4, P12 and AC1</w:t>
            </w:r>
            <w:r w:rsidR="00640C5A">
              <w:rPr>
                <w:rFonts w:eastAsia="Calibri"/>
              </w:rPr>
              <w:t>.</w:t>
            </w:r>
          </w:p>
        </w:tc>
      </w:tr>
    </w:tbl>
    <w:p w14:paraId="04A219B6" w14:textId="77777777" w:rsidR="0082185D" w:rsidRPr="0082185D" w:rsidRDefault="0082185D" w:rsidP="0082185D">
      <w:bookmarkStart w:id="150" w:name="_Toc522013922"/>
      <w:bookmarkStart w:id="151" w:name="_Toc176250628"/>
      <w:bookmarkStart w:id="152" w:name="_Toc197069402"/>
      <w:r w:rsidRPr="0082185D">
        <w:br w:type="page"/>
      </w:r>
    </w:p>
    <w:p w14:paraId="08113A43" w14:textId="35B83DB5" w:rsidR="00F9458B" w:rsidRPr="00F9458B" w:rsidRDefault="00F9458B" w:rsidP="00034E43">
      <w:pPr>
        <w:pStyle w:val="Heading1Orange"/>
      </w:pPr>
      <w:r w:rsidRPr="00F9458B">
        <w:lastRenderedPageBreak/>
        <w:t>Alcohol and Other Drugs indicators</w:t>
      </w:r>
      <w:bookmarkEnd w:id="150"/>
      <w:bookmarkEnd w:id="151"/>
      <w:bookmarkEnd w:id="152"/>
    </w:p>
    <w:p w14:paraId="17F4E22D" w14:textId="3582F022" w:rsidR="00F9458B" w:rsidRPr="00665D8A" w:rsidRDefault="00F04FED" w:rsidP="00665D8A">
      <w:pPr>
        <w:pStyle w:val="Heading2"/>
      </w:pPr>
      <w:bookmarkStart w:id="153" w:name="_Toc517267785"/>
      <w:bookmarkStart w:id="154" w:name="_Toc517334401"/>
      <w:bookmarkStart w:id="155" w:name="_Toc517769837"/>
      <w:r w:rsidRPr="00665D8A">
        <w:t>AOD1: Rate of drug and alcohol commissioned providers actively delivering services</w:t>
      </w:r>
      <w:bookmarkEnd w:id="153"/>
      <w:bookmarkEnd w:id="154"/>
      <w:bookmarkEnd w:id="155"/>
    </w:p>
    <w:tbl>
      <w:tblPr>
        <w:tblStyle w:val="PHNTealtable"/>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4A0" w:firstRow="1" w:lastRow="0" w:firstColumn="1" w:lastColumn="0" w:noHBand="0" w:noVBand="1"/>
        <w:tblDescription w:val="This table details indicator AOD1: Rate of drug and alcohol commissioned providers actively delivering services. It is comprised of two columns, and 11 rows. Column one provides the Item of the indicator, and Column two outlines the corresponding description."/>
      </w:tblPr>
      <w:tblGrid>
        <w:gridCol w:w="1571"/>
        <w:gridCol w:w="8156"/>
      </w:tblGrid>
      <w:tr w:rsidR="00F9458B" w:rsidRPr="00F9458B" w14:paraId="4D9C545C" w14:textId="77777777" w:rsidTr="009038CB">
        <w:trPr>
          <w:cnfStyle w:val="100000000000" w:firstRow="1" w:lastRow="0" w:firstColumn="0" w:lastColumn="0" w:oddVBand="0" w:evenVBand="0" w:oddHBand="0" w:evenHBand="0" w:firstRowFirstColumn="0" w:firstRowLastColumn="0" w:lastRowFirstColumn="0" w:lastRowLastColumn="0"/>
          <w:tblHeader/>
        </w:trPr>
        <w:tc>
          <w:tcPr>
            <w:tcW w:w="1574" w:type="dxa"/>
            <w:shd w:val="clear" w:color="auto" w:fill="153A6E"/>
          </w:tcPr>
          <w:p w14:paraId="289596EA" w14:textId="77777777" w:rsidR="00F9458B" w:rsidRPr="00716651" w:rsidRDefault="00F9458B" w:rsidP="0082185D">
            <w:pPr>
              <w:pStyle w:val="TableHeaderWhite"/>
            </w:pPr>
            <w:r w:rsidRPr="00716651">
              <w:t>Item</w:t>
            </w:r>
          </w:p>
        </w:tc>
        <w:tc>
          <w:tcPr>
            <w:tcW w:w="8388" w:type="dxa"/>
            <w:shd w:val="clear" w:color="auto" w:fill="153A6E"/>
          </w:tcPr>
          <w:p w14:paraId="0DCB5C30" w14:textId="77777777" w:rsidR="00F9458B" w:rsidRPr="00716651" w:rsidRDefault="00F9458B" w:rsidP="0082185D">
            <w:pPr>
              <w:pStyle w:val="TableHeaderWhite"/>
            </w:pPr>
            <w:r w:rsidRPr="00716651">
              <w:t>Description</w:t>
            </w:r>
          </w:p>
        </w:tc>
      </w:tr>
      <w:tr w:rsidR="00F9458B" w:rsidRPr="00F9458B" w14:paraId="3A060980" w14:textId="77777777" w:rsidTr="00405F47">
        <w:trPr>
          <w:cantSplit/>
        </w:trPr>
        <w:tc>
          <w:tcPr>
            <w:tcW w:w="1574" w:type="dxa"/>
          </w:tcPr>
          <w:p w14:paraId="015D2CBC" w14:textId="77777777" w:rsidR="00F9458B" w:rsidRPr="008A6671" w:rsidRDefault="00F9458B" w:rsidP="00F9458B">
            <w:r w:rsidRPr="008A6671">
              <w:t>Assessment</w:t>
            </w:r>
          </w:p>
        </w:tc>
        <w:tc>
          <w:tcPr>
            <w:tcW w:w="8388" w:type="dxa"/>
          </w:tcPr>
          <w:p w14:paraId="6E89DD92" w14:textId="3CAFD58F" w:rsidR="00F9458B" w:rsidRPr="008A6671" w:rsidRDefault="00F9458B" w:rsidP="00F9458B">
            <w:r w:rsidRPr="008A6671">
              <w:t>Individual PHN</w:t>
            </w:r>
            <w:r w:rsidR="00640C5A">
              <w:t>.</w:t>
            </w:r>
          </w:p>
        </w:tc>
      </w:tr>
      <w:tr w:rsidR="00F9458B" w:rsidRPr="00F9458B" w14:paraId="377D495D" w14:textId="77777777" w:rsidTr="00405F47">
        <w:trPr>
          <w:cantSplit/>
        </w:trPr>
        <w:tc>
          <w:tcPr>
            <w:tcW w:w="1574" w:type="dxa"/>
          </w:tcPr>
          <w:p w14:paraId="14A74241" w14:textId="77777777" w:rsidR="00F9458B" w:rsidRPr="008A6671" w:rsidRDefault="00F9458B" w:rsidP="00F9458B">
            <w:r w:rsidRPr="008A6671">
              <w:t>Reporting</w:t>
            </w:r>
          </w:p>
        </w:tc>
        <w:tc>
          <w:tcPr>
            <w:tcW w:w="8388" w:type="dxa"/>
          </w:tcPr>
          <w:p w14:paraId="6FA5676A" w14:textId="578DA7B2" w:rsidR="00F9458B" w:rsidRPr="008A6671" w:rsidRDefault="00F9458B" w:rsidP="00F9458B">
            <w:r w:rsidRPr="008A6671">
              <w:rPr>
                <w:rFonts w:eastAsia="Calibri"/>
              </w:rPr>
              <w:t xml:space="preserve">Twelve monthly by </w:t>
            </w:r>
            <w:r w:rsidR="00370D32" w:rsidRPr="008A6671">
              <w:rPr>
                <w:rFonts w:eastAsia="Calibri"/>
              </w:rPr>
              <w:t>Department</w:t>
            </w:r>
            <w:r w:rsidR="00BA47EE" w:rsidRPr="008A6671">
              <w:rPr>
                <w:rFonts w:eastAsia="Calibri"/>
              </w:rPr>
              <w:t>.</w:t>
            </w:r>
          </w:p>
        </w:tc>
      </w:tr>
      <w:tr w:rsidR="00F9458B" w:rsidRPr="00F9458B" w14:paraId="7C807F28" w14:textId="77777777" w:rsidTr="00405F47">
        <w:trPr>
          <w:cantSplit/>
        </w:trPr>
        <w:tc>
          <w:tcPr>
            <w:tcW w:w="1574" w:type="dxa"/>
          </w:tcPr>
          <w:p w14:paraId="5C74585D" w14:textId="77777777" w:rsidR="00F9458B" w:rsidRPr="008A6671" w:rsidRDefault="00F9458B" w:rsidP="00F9458B">
            <w:r w:rsidRPr="008A6671">
              <w:t>Definition</w:t>
            </w:r>
          </w:p>
        </w:tc>
        <w:tc>
          <w:tcPr>
            <w:tcW w:w="8388" w:type="dxa"/>
          </w:tcPr>
          <w:p w14:paraId="766ED0FB" w14:textId="40A0A3EB" w:rsidR="00F9458B" w:rsidRPr="008A6671" w:rsidRDefault="00F9458B" w:rsidP="00F9458B">
            <w:pPr>
              <w:rPr>
                <w:rFonts w:eastAsia="Calibri"/>
              </w:rPr>
            </w:pPr>
            <w:r w:rsidRPr="008A6671">
              <w:rPr>
                <w:rFonts w:eastAsia="Calibri"/>
              </w:rPr>
              <w:t>Rate of providers commissioned to deliver drug and alcohol services and actively delivering services</w:t>
            </w:r>
            <w:r w:rsidR="00E40FD7">
              <w:rPr>
                <w:rFonts w:eastAsia="Calibri"/>
              </w:rPr>
              <w:t>.</w:t>
            </w:r>
          </w:p>
          <w:p w14:paraId="14542E4A" w14:textId="6DBD4775" w:rsidR="00F9458B" w:rsidRPr="008A6671" w:rsidRDefault="00F9458B" w:rsidP="00F9458B">
            <w:r w:rsidRPr="008A6671">
              <w:rPr>
                <w:rFonts w:eastAsia="Calibri"/>
              </w:rPr>
              <w:t>Actively delivering means that patients are being referred and accessing services</w:t>
            </w:r>
            <w:r w:rsidR="00640C5A">
              <w:rPr>
                <w:rFonts w:eastAsia="Calibri"/>
              </w:rPr>
              <w:t>.</w:t>
            </w:r>
          </w:p>
        </w:tc>
      </w:tr>
      <w:tr w:rsidR="00F9458B" w:rsidRPr="00F9458B" w14:paraId="100C59E6" w14:textId="77777777" w:rsidTr="00405F47">
        <w:trPr>
          <w:cantSplit/>
        </w:trPr>
        <w:tc>
          <w:tcPr>
            <w:tcW w:w="1574" w:type="dxa"/>
          </w:tcPr>
          <w:p w14:paraId="689B1D29" w14:textId="77777777" w:rsidR="00F9458B" w:rsidRPr="008A6671" w:rsidRDefault="00F9458B" w:rsidP="00F9458B">
            <w:r w:rsidRPr="008A6671">
              <w:t>Purpose</w:t>
            </w:r>
          </w:p>
        </w:tc>
        <w:tc>
          <w:tcPr>
            <w:tcW w:w="8388" w:type="dxa"/>
          </w:tcPr>
          <w:p w14:paraId="21BAA302" w14:textId="116B5296" w:rsidR="00F9458B" w:rsidRPr="008A6671" w:rsidRDefault="00F9458B" w:rsidP="00F9458B">
            <w:pPr>
              <w:rPr>
                <w:rFonts w:eastAsia="Calibri"/>
              </w:rPr>
            </w:pPr>
            <w:r w:rsidRPr="008A6671">
              <w:rPr>
                <w:rFonts w:eastAsia="Calibri"/>
              </w:rPr>
              <w:t>PHNs are helping to address demand for treatment services through commissioning providers to deliver services. This indicator measures how successful the PHN and commissioned providers are in moving from design to delivery of services</w:t>
            </w:r>
            <w:r w:rsidR="00640C5A">
              <w:rPr>
                <w:rFonts w:eastAsia="Calibri"/>
              </w:rPr>
              <w:t>.</w:t>
            </w:r>
          </w:p>
        </w:tc>
      </w:tr>
      <w:tr w:rsidR="00F9458B" w:rsidRPr="00F9458B" w14:paraId="01E8D000" w14:textId="77777777" w:rsidTr="00405F47">
        <w:trPr>
          <w:cantSplit/>
        </w:trPr>
        <w:tc>
          <w:tcPr>
            <w:tcW w:w="1574" w:type="dxa"/>
          </w:tcPr>
          <w:p w14:paraId="44E17BAF" w14:textId="77777777" w:rsidR="00F9458B" w:rsidRPr="008A6671" w:rsidRDefault="00F9458B" w:rsidP="00F9458B">
            <w:r w:rsidRPr="008A6671">
              <w:t>Outcome Theme: Improving Access</w:t>
            </w:r>
          </w:p>
        </w:tc>
        <w:tc>
          <w:tcPr>
            <w:tcW w:w="8388" w:type="dxa"/>
          </w:tcPr>
          <w:p w14:paraId="1952CC15" w14:textId="77777777" w:rsidR="00F9458B" w:rsidRPr="008A6671" w:rsidRDefault="00F9458B" w:rsidP="00F9458B">
            <w:pPr>
              <w:rPr>
                <w:rFonts w:eastAsia="Calibri"/>
              </w:rPr>
            </w:pPr>
            <w:r w:rsidRPr="008A6671">
              <w:rPr>
                <w:rFonts w:eastAsia="Calibri"/>
              </w:rPr>
              <w:t>Outcome:</w:t>
            </w:r>
          </w:p>
          <w:p w14:paraId="186BFD80" w14:textId="5D4BFA5D" w:rsidR="00F9458B" w:rsidRPr="008A6671" w:rsidRDefault="00F9458B" w:rsidP="00F9458B">
            <w:r w:rsidRPr="008A6671">
              <w:rPr>
                <w:rFonts w:eastAsia="Calibri"/>
              </w:rPr>
              <w:t xml:space="preserve">People in PHN region </w:t>
            </w:r>
            <w:proofErr w:type="gramStart"/>
            <w:r w:rsidRPr="008A6671">
              <w:rPr>
                <w:rFonts w:eastAsia="Calibri"/>
              </w:rPr>
              <w:t>are able to</w:t>
            </w:r>
            <w:proofErr w:type="gramEnd"/>
            <w:r w:rsidRPr="008A6671">
              <w:rPr>
                <w:rFonts w:eastAsia="Calibri"/>
              </w:rPr>
              <w:t xml:space="preserve"> access appropriate drug and alcohol treatment services</w:t>
            </w:r>
            <w:r w:rsidR="00640C5A">
              <w:rPr>
                <w:rFonts w:eastAsia="Calibri"/>
              </w:rPr>
              <w:t>.</w:t>
            </w:r>
          </w:p>
        </w:tc>
      </w:tr>
      <w:tr w:rsidR="00F9458B" w:rsidRPr="00F9458B" w14:paraId="1F539713" w14:textId="77777777" w:rsidTr="00405F47">
        <w:trPr>
          <w:cantSplit/>
        </w:trPr>
        <w:tc>
          <w:tcPr>
            <w:tcW w:w="1574" w:type="dxa"/>
          </w:tcPr>
          <w:p w14:paraId="5B8041D3" w14:textId="77777777" w:rsidR="00F9458B" w:rsidRPr="008A6671" w:rsidRDefault="00F9458B" w:rsidP="00F9458B">
            <w:r w:rsidRPr="008A6671">
              <w:t>Performance Criteria</w:t>
            </w:r>
          </w:p>
        </w:tc>
        <w:tc>
          <w:tcPr>
            <w:tcW w:w="8388" w:type="dxa"/>
          </w:tcPr>
          <w:p w14:paraId="626A33D6" w14:textId="46D0B2A1" w:rsidR="00F9458B" w:rsidRPr="008A6671" w:rsidRDefault="00F9458B" w:rsidP="00F9458B">
            <w:r w:rsidRPr="008A6671">
              <w:rPr>
                <w:rFonts w:eastAsia="Calibri"/>
              </w:rPr>
              <w:t>Rate of drug and alcohol commissioned providers actively delivering services increases or remains the same</w:t>
            </w:r>
            <w:r w:rsidR="00640C5A">
              <w:rPr>
                <w:rFonts w:eastAsia="Calibri"/>
              </w:rPr>
              <w:t>.</w:t>
            </w:r>
          </w:p>
        </w:tc>
      </w:tr>
      <w:tr w:rsidR="00F9458B" w:rsidRPr="00F9458B" w14:paraId="574E7342" w14:textId="77777777" w:rsidTr="00405F47">
        <w:trPr>
          <w:cantSplit/>
        </w:trPr>
        <w:tc>
          <w:tcPr>
            <w:tcW w:w="1574" w:type="dxa"/>
          </w:tcPr>
          <w:p w14:paraId="64D770D1" w14:textId="77777777" w:rsidR="00F9458B" w:rsidRPr="008A6671" w:rsidRDefault="00F9458B" w:rsidP="00F9458B">
            <w:r w:rsidRPr="008A6671">
              <w:t>Data Source</w:t>
            </w:r>
          </w:p>
        </w:tc>
        <w:tc>
          <w:tcPr>
            <w:tcW w:w="8388" w:type="dxa"/>
          </w:tcPr>
          <w:p w14:paraId="380FF59E" w14:textId="64052623" w:rsidR="00F9458B" w:rsidRPr="008A6671" w:rsidRDefault="00F9458B" w:rsidP="00F9458B">
            <w:r w:rsidRPr="008A6671">
              <w:rPr>
                <w:rFonts w:eastAsia="Calibri"/>
              </w:rPr>
              <w:t>Bi-</w:t>
            </w:r>
            <w:r w:rsidR="00B900E6">
              <w:rPr>
                <w:rFonts w:eastAsia="Calibri"/>
              </w:rPr>
              <w:t>annual</w:t>
            </w:r>
            <w:r w:rsidR="00B900E6" w:rsidRPr="008E5D2E">
              <w:rPr>
                <w:rFonts w:eastAsia="Calibri"/>
              </w:rPr>
              <w:t xml:space="preserve"> </w:t>
            </w:r>
            <w:r w:rsidR="00CE7553">
              <w:rPr>
                <w:rFonts w:eastAsia="Calibri"/>
              </w:rPr>
              <w:t>commissioning reports</w:t>
            </w:r>
            <w:r w:rsidRPr="008A6671">
              <w:rPr>
                <w:rFonts w:eastAsia="Calibri"/>
              </w:rPr>
              <w:t xml:space="preserve"> from PHNs</w:t>
            </w:r>
            <w:r w:rsidR="00640C5A">
              <w:rPr>
                <w:rFonts w:eastAsia="Calibri"/>
              </w:rPr>
              <w:t>.</w:t>
            </w:r>
          </w:p>
        </w:tc>
      </w:tr>
      <w:tr w:rsidR="00F9458B" w:rsidRPr="00F9458B" w14:paraId="21496623" w14:textId="77777777" w:rsidTr="00405F47">
        <w:trPr>
          <w:cantSplit/>
        </w:trPr>
        <w:tc>
          <w:tcPr>
            <w:tcW w:w="1574" w:type="dxa"/>
          </w:tcPr>
          <w:p w14:paraId="77A8820A" w14:textId="77777777" w:rsidR="00F9458B" w:rsidRPr="008A6671" w:rsidRDefault="00F9458B" w:rsidP="00F9458B">
            <w:r w:rsidRPr="008A6671">
              <w:t>Calculation</w:t>
            </w:r>
          </w:p>
        </w:tc>
        <w:tc>
          <w:tcPr>
            <w:tcW w:w="8388" w:type="dxa"/>
          </w:tcPr>
          <w:p w14:paraId="1691BC63" w14:textId="77777777" w:rsidR="00F9458B" w:rsidRPr="008A6671" w:rsidRDefault="00F9458B" w:rsidP="00F9458B">
            <w:pPr>
              <w:rPr>
                <w:rFonts w:eastAsia="Calibri"/>
              </w:rPr>
            </w:pPr>
            <w:r w:rsidRPr="008A6671">
              <w:rPr>
                <w:rFonts w:eastAsia="Calibri"/>
              </w:rPr>
              <w:t>Numerator:</w:t>
            </w:r>
          </w:p>
          <w:p w14:paraId="6FF4D417" w14:textId="6B3973F9" w:rsidR="00F9458B" w:rsidRPr="008A6671" w:rsidRDefault="00F9458B" w:rsidP="00F9458B">
            <w:pPr>
              <w:rPr>
                <w:rFonts w:eastAsia="Calibri"/>
              </w:rPr>
            </w:pPr>
            <w:r w:rsidRPr="008A6671">
              <w:rPr>
                <w:rFonts w:eastAsia="Calibri"/>
              </w:rPr>
              <w:t>Number of providers commissioned to deliver drug and alcohol services actively delivering services within reporting period</w:t>
            </w:r>
            <w:r w:rsidR="00E40FD7">
              <w:rPr>
                <w:rFonts w:eastAsia="Calibri"/>
              </w:rPr>
              <w:t>.</w:t>
            </w:r>
          </w:p>
          <w:p w14:paraId="1E79640E" w14:textId="77777777" w:rsidR="00F9458B" w:rsidRPr="008A6671" w:rsidRDefault="00F9458B" w:rsidP="00F9458B">
            <w:pPr>
              <w:rPr>
                <w:rFonts w:eastAsia="Calibri"/>
              </w:rPr>
            </w:pPr>
            <w:r w:rsidRPr="008A6671">
              <w:rPr>
                <w:rFonts w:eastAsia="Calibri"/>
              </w:rPr>
              <w:t>Denominator:</w:t>
            </w:r>
          </w:p>
          <w:p w14:paraId="32001D91" w14:textId="162302AF" w:rsidR="00F9458B" w:rsidRPr="008A6671" w:rsidRDefault="00F9458B" w:rsidP="00F9458B">
            <w:pPr>
              <w:rPr>
                <w:rFonts w:eastAsia="Calibri"/>
              </w:rPr>
            </w:pPr>
            <w:r w:rsidRPr="008A6671">
              <w:rPr>
                <w:rFonts w:eastAsia="Calibri"/>
              </w:rPr>
              <w:t>Number of providers commissioned to deliver drug and alcohol services</w:t>
            </w:r>
            <w:r w:rsidR="00E40FD7">
              <w:rPr>
                <w:rFonts w:eastAsia="Calibri"/>
              </w:rPr>
              <w:t>.</w:t>
            </w:r>
          </w:p>
          <w:p w14:paraId="497B0B28" w14:textId="77777777" w:rsidR="00F9458B" w:rsidRPr="008A6671" w:rsidRDefault="00F9458B" w:rsidP="00F9458B">
            <w:pPr>
              <w:rPr>
                <w:rFonts w:eastAsia="Calibri"/>
              </w:rPr>
            </w:pPr>
            <w:r w:rsidRPr="008A6671">
              <w:rPr>
                <w:rFonts w:eastAsia="Calibri"/>
              </w:rPr>
              <w:t>Computation:</w:t>
            </w:r>
          </w:p>
          <w:p w14:paraId="1067E250" w14:textId="488F2E03" w:rsidR="00F9458B" w:rsidRPr="008A6671" w:rsidRDefault="008530E8" w:rsidP="00F9458B">
            <w:pPr>
              <w:rPr>
                <w:rFonts w:eastAsia="Calibri"/>
              </w:rPr>
            </w:pPr>
            <w:r w:rsidRPr="008A6671">
              <w:rPr>
                <w:rFonts w:eastAsia="Calibri"/>
              </w:rPr>
              <w:t>100</w:t>
            </w:r>
            <w:r w:rsidR="00F9458B" w:rsidRPr="008A6671">
              <w:rPr>
                <w:rFonts w:eastAsia="Calibri"/>
              </w:rPr>
              <w:t xml:space="preserve"> </w:t>
            </w:r>
            <w:r w:rsidR="004D3102" w:rsidRPr="008A6671">
              <w:rPr>
                <w:rFonts w:eastAsia="Calibri"/>
              </w:rPr>
              <w:t xml:space="preserve">x </w:t>
            </w:r>
            <w:r w:rsidR="00F9458B" w:rsidRPr="008A6671">
              <w:rPr>
                <w:rFonts w:eastAsia="Calibri"/>
              </w:rPr>
              <w:t>(numerator / denominator) presented as a rate</w:t>
            </w:r>
            <w:r w:rsidR="00E40FD7">
              <w:rPr>
                <w:rFonts w:eastAsia="Calibri"/>
              </w:rPr>
              <w:t>.</w:t>
            </w:r>
          </w:p>
          <w:p w14:paraId="7C61D64C" w14:textId="77777777" w:rsidR="00F9458B" w:rsidRPr="008A6671" w:rsidRDefault="00F9458B" w:rsidP="00F9458B">
            <w:pPr>
              <w:rPr>
                <w:rFonts w:eastAsia="Calibri"/>
              </w:rPr>
            </w:pPr>
            <w:r w:rsidRPr="008A6671">
              <w:rPr>
                <w:rFonts w:eastAsia="Calibri"/>
              </w:rPr>
              <w:t>Disaggregation:</w:t>
            </w:r>
          </w:p>
          <w:p w14:paraId="50672D80" w14:textId="76EFF40C" w:rsidR="00F9458B" w:rsidRPr="008A6671" w:rsidRDefault="00590078" w:rsidP="00F9458B">
            <w:r w:rsidRPr="008A6671">
              <w:rPr>
                <w:rFonts w:eastAsia="Calibri"/>
              </w:rPr>
              <w:t xml:space="preserve">First Nations </w:t>
            </w:r>
            <w:r w:rsidR="00F9458B" w:rsidRPr="008A6671">
              <w:rPr>
                <w:rFonts w:eastAsia="Calibri"/>
              </w:rPr>
              <w:t>Specific Services</w:t>
            </w:r>
            <w:r w:rsidR="00640C5A">
              <w:rPr>
                <w:rFonts w:eastAsia="Calibri"/>
              </w:rPr>
              <w:t>.</w:t>
            </w:r>
          </w:p>
        </w:tc>
      </w:tr>
      <w:tr w:rsidR="00F9458B" w:rsidRPr="00F9458B" w14:paraId="72712746" w14:textId="77777777" w:rsidTr="00405F47">
        <w:trPr>
          <w:cantSplit/>
        </w:trPr>
        <w:tc>
          <w:tcPr>
            <w:tcW w:w="1574" w:type="dxa"/>
          </w:tcPr>
          <w:p w14:paraId="17E01001" w14:textId="77777777" w:rsidR="00F9458B" w:rsidRPr="008A6671" w:rsidRDefault="00F9458B" w:rsidP="00F9458B">
            <w:r w:rsidRPr="008A6671">
              <w:t>Limitations</w:t>
            </w:r>
          </w:p>
        </w:tc>
        <w:tc>
          <w:tcPr>
            <w:tcW w:w="8388" w:type="dxa"/>
          </w:tcPr>
          <w:p w14:paraId="09D2AE30" w14:textId="77777777" w:rsidR="00F9458B" w:rsidRPr="008A6671" w:rsidRDefault="00F9458B" w:rsidP="00F9458B">
            <w:r w:rsidRPr="008A6671">
              <w:t>-</w:t>
            </w:r>
          </w:p>
        </w:tc>
      </w:tr>
      <w:tr w:rsidR="00F9458B" w:rsidRPr="00F9458B" w14:paraId="367A2393" w14:textId="77777777" w:rsidTr="00405F47">
        <w:trPr>
          <w:cantSplit/>
        </w:trPr>
        <w:tc>
          <w:tcPr>
            <w:tcW w:w="1574" w:type="dxa"/>
          </w:tcPr>
          <w:p w14:paraId="79FC9F56" w14:textId="77777777" w:rsidR="00F9458B" w:rsidRPr="008A6671" w:rsidRDefault="00F9458B" w:rsidP="00F9458B">
            <w:r w:rsidRPr="008A6671">
              <w:t>Additional information</w:t>
            </w:r>
          </w:p>
        </w:tc>
        <w:tc>
          <w:tcPr>
            <w:tcW w:w="8388" w:type="dxa"/>
          </w:tcPr>
          <w:p w14:paraId="6B79B0A2" w14:textId="77777777" w:rsidR="00F9458B" w:rsidRPr="008A6671" w:rsidRDefault="00F9458B" w:rsidP="00F9458B">
            <w:r w:rsidRPr="008A6671">
              <w:t>-</w:t>
            </w:r>
          </w:p>
        </w:tc>
      </w:tr>
    </w:tbl>
    <w:p w14:paraId="3060712A" w14:textId="45DB90BF" w:rsidR="00F9458B" w:rsidRPr="00665D8A" w:rsidRDefault="00F04FED" w:rsidP="00665D8A">
      <w:pPr>
        <w:pStyle w:val="Heading2"/>
      </w:pPr>
      <w:bookmarkStart w:id="156" w:name="_Toc517267786"/>
      <w:bookmarkStart w:id="157" w:name="_Toc517334402"/>
      <w:bookmarkStart w:id="158" w:name="_Toc517769838"/>
      <w:r w:rsidRPr="0082185D">
        <w:t>AOD2: Partnerships established with local key stakeholders for drug and alcohol treatment services</w:t>
      </w:r>
      <w:bookmarkEnd w:id="156"/>
      <w:bookmarkEnd w:id="157"/>
      <w:bookmarkEnd w:id="158"/>
    </w:p>
    <w:tbl>
      <w:tblPr>
        <w:tblStyle w:val="PHNTealtable"/>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4A0" w:firstRow="1" w:lastRow="0" w:firstColumn="1" w:lastColumn="0" w:noHBand="0" w:noVBand="1"/>
        <w:tblDescription w:val="This table details indicator AOD2: Partnerships established with local key stakeholders for drug and alcohol treatment services. It is comprised of two columns, and 11 rows. Column one provides the Item of the indicator, and Column two outlines the corresponding description."/>
      </w:tblPr>
      <w:tblGrid>
        <w:gridCol w:w="1571"/>
        <w:gridCol w:w="8156"/>
      </w:tblGrid>
      <w:tr w:rsidR="00F9458B" w:rsidRPr="00F9458B" w14:paraId="053818AA" w14:textId="77777777" w:rsidTr="009038CB">
        <w:trPr>
          <w:cnfStyle w:val="100000000000" w:firstRow="1" w:lastRow="0" w:firstColumn="0" w:lastColumn="0" w:oddVBand="0" w:evenVBand="0" w:oddHBand="0" w:evenHBand="0" w:firstRowFirstColumn="0" w:firstRowLastColumn="0" w:lastRowFirstColumn="0" w:lastRowLastColumn="0"/>
          <w:tblHeader/>
        </w:trPr>
        <w:tc>
          <w:tcPr>
            <w:tcW w:w="1574" w:type="dxa"/>
            <w:shd w:val="clear" w:color="auto" w:fill="153A6E"/>
          </w:tcPr>
          <w:p w14:paraId="7EE2340B" w14:textId="77777777" w:rsidR="00F9458B" w:rsidRPr="00716651" w:rsidRDefault="00F9458B" w:rsidP="0082185D">
            <w:pPr>
              <w:pStyle w:val="TableHeaderWhite"/>
            </w:pPr>
            <w:r w:rsidRPr="00716651">
              <w:t>Item</w:t>
            </w:r>
          </w:p>
        </w:tc>
        <w:tc>
          <w:tcPr>
            <w:tcW w:w="8388" w:type="dxa"/>
            <w:shd w:val="clear" w:color="auto" w:fill="153A6E"/>
          </w:tcPr>
          <w:p w14:paraId="46F37764" w14:textId="77777777" w:rsidR="00F9458B" w:rsidRPr="00716651" w:rsidRDefault="00F9458B" w:rsidP="0082185D">
            <w:pPr>
              <w:pStyle w:val="TableHeaderWhite"/>
            </w:pPr>
            <w:r w:rsidRPr="00716651">
              <w:t>Description</w:t>
            </w:r>
          </w:p>
        </w:tc>
      </w:tr>
      <w:tr w:rsidR="00F9458B" w:rsidRPr="00F9458B" w14:paraId="31EF7DB8" w14:textId="77777777" w:rsidTr="00405F47">
        <w:trPr>
          <w:cantSplit/>
        </w:trPr>
        <w:tc>
          <w:tcPr>
            <w:tcW w:w="1574" w:type="dxa"/>
          </w:tcPr>
          <w:p w14:paraId="5416E35C" w14:textId="77777777" w:rsidR="00F9458B" w:rsidRPr="008A6671" w:rsidRDefault="00F9458B" w:rsidP="00F9458B">
            <w:r w:rsidRPr="008A6671">
              <w:t>Assessment</w:t>
            </w:r>
          </w:p>
        </w:tc>
        <w:tc>
          <w:tcPr>
            <w:tcW w:w="8388" w:type="dxa"/>
          </w:tcPr>
          <w:p w14:paraId="0D1D23B5" w14:textId="36805FA1" w:rsidR="00F9458B" w:rsidRPr="008A6671" w:rsidRDefault="00F9458B" w:rsidP="00F9458B">
            <w:r w:rsidRPr="008A6671">
              <w:t>Individual PHN</w:t>
            </w:r>
            <w:r w:rsidR="007134BA">
              <w:t>.</w:t>
            </w:r>
          </w:p>
        </w:tc>
      </w:tr>
      <w:tr w:rsidR="00F9458B" w:rsidRPr="00F9458B" w14:paraId="7FB1B4E3" w14:textId="77777777" w:rsidTr="00405F47">
        <w:trPr>
          <w:cantSplit/>
        </w:trPr>
        <w:tc>
          <w:tcPr>
            <w:tcW w:w="1574" w:type="dxa"/>
          </w:tcPr>
          <w:p w14:paraId="4BB6C0B4" w14:textId="77777777" w:rsidR="00F9458B" w:rsidRPr="008A6671" w:rsidRDefault="00F9458B" w:rsidP="00F9458B">
            <w:r w:rsidRPr="008A6671">
              <w:lastRenderedPageBreak/>
              <w:t>Reporting</w:t>
            </w:r>
          </w:p>
        </w:tc>
        <w:tc>
          <w:tcPr>
            <w:tcW w:w="8388" w:type="dxa"/>
          </w:tcPr>
          <w:p w14:paraId="3D0B9075" w14:textId="702EC604" w:rsidR="00F9458B" w:rsidRPr="008A6671" w:rsidRDefault="00BA47EE" w:rsidP="00F9458B">
            <w:r w:rsidRPr="008A6671">
              <w:rPr>
                <w:rFonts w:eastAsia="Calibri"/>
              </w:rPr>
              <w:t>Twelve monthly by Department.</w:t>
            </w:r>
          </w:p>
        </w:tc>
      </w:tr>
      <w:tr w:rsidR="00F9458B" w:rsidRPr="00F9458B" w14:paraId="7784EB16" w14:textId="77777777" w:rsidTr="00405F47">
        <w:trPr>
          <w:cantSplit/>
        </w:trPr>
        <w:tc>
          <w:tcPr>
            <w:tcW w:w="1574" w:type="dxa"/>
          </w:tcPr>
          <w:p w14:paraId="5F75673E" w14:textId="77777777" w:rsidR="00F9458B" w:rsidRPr="008A6671" w:rsidRDefault="00F9458B" w:rsidP="00F9458B">
            <w:r w:rsidRPr="008A6671">
              <w:t>Definition</w:t>
            </w:r>
          </w:p>
        </w:tc>
        <w:tc>
          <w:tcPr>
            <w:tcW w:w="8388" w:type="dxa"/>
          </w:tcPr>
          <w:p w14:paraId="36069C40" w14:textId="75E181F8" w:rsidR="00F9458B" w:rsidRPr="008A6671" w:rsidRDefault="00F9458B" w:rsidP="00F9458B">
            <w:pPr>
              <w:rPr>
                <w:rFonts w:eastAsia="Calibri"/>
              </w:rPr>
            </w:pPr>
            <w:r w:rsidRPr="008A6671">
              <w:rPr>
                <w:rFonts w:eastAsia="Calibri"/>
              </w:rPr>
              <w:t>Partnerships and collaborations established with local key stakeholders including Non-Government Organisations (NGO) (including specialist drug and alcohol treatment services), local health networks, state government, peak bodies and primary health services in relation to the delivery of drug and alcohol services</w:t>
            </w:r>
            <w:r w:rsidR="00E40FD7">
              <w:rPr>
                <w:rFonts w:eastAsia="Calibri"/>
              </w:rPr>
              <w:t>.</w:t>
            </w:r>
          </w:p>
          <w:p w14:paraId="36A51E37" w14:textId="6744092B" w:rsidR="00F9458B" w:rsidRPr="008A6671" w:rsidRDefault="00F9458B" w:rsidP="00F9458B">
            <w:r w:rsidRPr="008A6671">
              <w:rPr>
                <w:rFonts w:eastAsia="Calibri"/>
              </w:rPr>
              <w:t>Evidence of formalised partnerships and collaboration includes strategies to facilitate collaboration, establishment of governance structures, joint service planning and delivery and Memorandum of Understanding between service providers that have been facilitated by the PHN</w:t>
            </w:r>
            <w:r w:rsidR="007134BA">
              <w:rPr>
                <w:rFonts w:eastAsia="Calibri"/>
              </w:rPr>
              <w:t>.</w:t>
            </w:r>
          </w:p>
        </w:tc>
      </w:tr>
      <w:tr w:rsidR="00F9458B" w:rsidRPr="00F9458B" w14:paraId="65A1EE02" w14:textId="77777777" w:rsidTr="00405F47">
        <w:trPr>
          <w:cantSplit/>
        </w:trPr>
        <w:tc>
          <w:tcPr>
            <w:tcW w:w="1574" w:type="dxa"/>
          </w:tcPr>
          <w:p w14:paraId="413B934B" w14:textId="77777777" w:rsidR="00F9458B" w:rsidRPr="008A6671" w:rsidRDefault="00F9458B" w:rsidP="00F9458B">
            <w:r w:rsidRPr="008A6671">
              <w:t>Purpose</w:t>
            </w:r>
          </w:p>
        </w:tc>
        <w:tc>
          <w:tcPr>
            <w:tcW w:w="8388" w:type="dxa"/>
          </w:tcPr>
          <w:p w14:paraId="258E7818" w14:textId="38209D0D" w:rsidR="00F9458B" w:rsidRPr="008A6671" w:rsidRDefault="00F9458B" w:rsidP="00F9458B">
            <w:r w:rsidRPr="008A6671">
              <w:rPr>
                <w:rFonts w:eastAsia="Calibri"/>
              </w:rPr>
              <w:t>This indicator measures the range of partnerships established in the PHN region in relation to the delivery of drug and alcohol services. PHNs promote linkages with other health services and improve integration and quality of services</w:t>
            </w:r>
            <w:r w:rsidR="00EF7439">
              <w:rPr>
                <w:rFonts w:eastAsia="Calibri"/>
              </w:rPr>
              <w:t>.</w:t>
            </w:r>
          </w:p>
        </w:tc>
      </w:tr>
      <w:tr w:rsidR="00F9458B" w:rsidRPr="00F9458B" w14:paraId="6FDDEEDB" w14:textId="77777777" w:rsidTr="00405F47">
        <w:trPr>
          <w:cantSplit/>
        </w:trPr>
        <w:tc>
          <w:tcPr>
            <w:tcW w:w="1574" w:type="dxa"/>
          </w:tcPr>
          <w:p w14:paraId="1034B2E6" w14:textId="77777777" w:rsidR="00F9458B" w:rsidRPr="008A6671" w:rsidRDefault="00F9458B" w:rsidP="00F9458B">
            <w:r w:rsidRPr="008A6671">
              <w:t>Outcome Theme: Coordinated Care</w:t>
            </w:r>
          </w:p>
        </w:tc>
        <w:tc>
          <w:tcPr>
            <w:tcW w:w="8388" w:type="dxa"/>
          </w:tcPr>
          <w:p w14:paraId="50BFD1CF" w14:textId="77777777" w:rsidR="00F9458B" w:rsidRPr="008A6671" w:rsidRDefault="00F9458B" w:rsidP="00F9458B">
            <w:pPr>
              <w:rPr>
                <w:rFonts w:eastAsia="Calibri"/>
              </w:rPr>
            </w:pPr>
            <w:r w:rsidRPr="008A6671">
              <w:rPr>
                <w:rFonts w:eastAsia="Calibri"/>
              </w:rPr>
              <w:t>Outcome:</w:t>
            </w:r>
          </w:p>
          <w:p w14:paraId="69E0CB23" w14:textId="5635BAD0" w:rsidR="00F9458B" w:rsidRPr="008A6671" w:rsidRDefault="00F9458B" w:rsidP="00F9458B">
            <w:r w:rsidRPr="008A6671">
              <w:rPr>
                <w:rFonts w:eastAsia="Calibri"/>
              </w:rPr>
              <w:t>Health care providers in PHN region have an integrated approach to drug and alcohol treatment services</w:t>
            </w:r>
            <w:r w:rsidR="007134BA">
              <w:rPr>
                <w:rFonts w:eastAsia="Calibri"/>
              </w:rPr>
              <w:t>.</w:t>
            </w:r>
          </w:p>
        </w:tc>
      </w:tr>
      <w:tr w:rsidR="00F9458B" w:rsidRPr="00F9458B" w14:paraId="29ABB04E" w14:textId="77777777" w:rsidTr="00405F47">
        <w:trPr>
          <w:cantSplit/>
        </w:trPr>
        <w:tc>
          <w:tcPr>
            <w:tcW w:w="1574" w:type="dxa"/>
          </w:tcPr>
          <w:p w14:paraId="30212C0A" w14:textId="77777777" w:rsidR="00F9458B" w:rsidRPr="008A6671" w:rsidRDefault="00F9458B" w:rsidP="00F9458B">
            <w:r w:rsidRPr="008A6671">
              <w:t>Performance Criteria</w:t>
            </w:r>
          </w:p>
        </w:tc>
        <w:tc>
          <w:tcPr>
            <w:tcW w:w="8388" w:type="dxa"/>
          </w:tcPr>
          <w:p w14:paraId="03A34571" w14:textId="664C9527" w:rsidR="00F9458B" w:rsidRPr="008A6671" w:rsidRDefault="00F9458B" w:rsidP="00F9458B">
            <w:r w:rsidRPr="008A6671">
              <w:rPr>
                <w:rFonts w:eastAsia="Calibri"/>
              </w:rPr>
              <w:t>A range of organisations are involved in delivering drug and alcohol services</w:t>
            </w:r>
            <w:r w:rsidR="007134BA">
              <w:rPr>
                <w:rFonts w:eastAsia="Calibri"/>
              </w:rPr>
              <w:t>.</w:t>
            </w:r>
          </w:p>
        </w:tc>
      </w:tr>
      <w:tr w:rsidR="00F9458B" w:rsidRPr="00F9458B" w14:paraId="093CBC86" w14:textId="77777777" w:rsidTr="00405F47">
        <w:trPr>
          <w:cantSplit/>
        </w:trPr>
        <w:tc>
          <w:tcPr>
            <w:tcW w:w="1574" w:type="dxa"/>
          </w:tcPr>
          <w:p w14:paraId="3A977947" w14:textId="77777777" w:rsidR="00F9458B" w:rsidRPr="008A6671" w:rsidRDefault="00F9458B" w:rsidP="00F9458B">
            <w:r w:rsidRPr="008A6671">
              <w:t>Data Source</w:t>
            </w:r>
          </w:p>
        </w:tc>
        <w:tc>
          <w:tcPr>
            <w:tcW w:w="8388" w:type="dxa"/>
          </w:tcPr>
          <w:p w14:paraId="60146392" w14:textId="2302DFF9" w:rsidR="00F9458B" w:rsidRPr="008A6671" w:rsidRDefault="00F9458B" w:rsidP="00F9458B">
            <w:r w:rsidRPr="008A6671">
              <w:rPr>
                <w:rFonts w:eastAsia="Calibri"/>
              </w:rPr>
              <w:t>Drug and Therapeutic Information Service (DATIS) reporting Indicator 1.3 and 1.4</w:t>
            </w:r>
            <w:r w:rsidR="007134BA">
              <w:rPr>
                <w:rFonts w:eastAsia="Calibri"/>
              </w:rPr>
              <w:t>.</w:t>
            </w:r>
          </w:p>
        </w:tc>
      </w:tr>
      <w:tr w:rsidR="00F9458B" w:rsidRPr="00F9458B" w14:paraId="6C1BF9DC" w14:textId="77777777" w:rsidTr="00405F47">
        <w:trPr>
          <w:cantSplit/>
        </w:trPr>
        <w:tc>
          <w:tcPr>
            <w:tcW w:w="1574" w:type="dxa"/>
          </w:tcPr>
          <w:p w14:paraId="7A19040B" w14:textId="77777777" w:rsidR="00F9458B" w:rsidRPr="008A6671" w:rsidRDefault="00F9458B" w:rsidP="00F9458B">
            <w:r w:rsidRPr="008A6671">
              <w:t>Calculation</w:t>
            </w:r>
          </w:p>
        </w:tc>
        <w:tc>
          <w:tcPr>
            <w:tcW w:w="8388" w:type="dxa"/>
          </w:tcPr>
          <w:p w14:paraId="2CBD1002" w14:textId="40570F06" w:rsidR="00F9458B" w:rsidRPr="008A6671" w:rsidRDefault="00F9458B" w:rsidP="00F9458B">
            <w:r w:rsidRPr="008A6671">
              <w:rPr>
                <w:rFonts w:eastAsia="Calibri"/>
              </w:rPr>
              <w:t>The Department will assess the information provided by the PHN</w:t>
            </w:r>
            <w:r w:rsidR="007134BA">
              <w:rPr>
                <w:rFonts w:eastAsia="Calibri"/>
              </w:rPr>
              <w:t>.</w:t>
            </w:r>
          </w:p>
        </w:tc>
      </w:tr>
      <w:tr w:rsidR="00F9458B" w:rsidRPr="00F9458B" w14:paraId="6200DD18" w14:textId="77777777" w:rsidTr="00405F47">
        <w:trPr>
          <w:cantSplit/>
        </w:trPr>
        <w:tc>
          <w:tcPr>
            <w:tcW w:w="1574" w:type="dxa"/>
          </w:tcPr>
          <w:p w14:paraId="084D64A9" w14:textId="77777777" w:rsidR="00F9458B" w:rsidRPr="008A6671" w:rsidRDefault="00F9458B" w:rsidP="00F9458B">
            <w:r w:rsidRPr="008A6671">
              <w:t>Limitations</w:t>
            </w:r>
          </w:p>
        </w:tc>
        <w:tc>
          <w:tcPr>
            <w:tcW w:w="8388" w:type="dxa"/>
          </w:tcPr>
          <w:p w14:paraId="1C1B6510" w14:textId="77777777" w:rsidR="00F9458B" w:rsidRPr="008A6671" w:rsidRDefault="00F9458B" w:rsidP="00F9458B">
            <w:r w:rsidRPr="008A6671">
              <w:t>-</w:t>
            </w:r>
          </w:p>
        </w:tc>
      </w:tr>
      <w:tr w:rsidR="00F9458B" w:rsidRPr="00F9458B" w14:paraId="4D0BA1F0" w14:textId="77777777" w:rsidTr="00405F47">
        <w:trPr>
          <w:cantSplit/>
        </w:trPr>
        <w:tc>
          <w:tcPr>
            <w:tcW w:w="1574" w:type="dxa"/>
          </w:tcPr>
          <w:p w14:paraId="562ECA18" w14:textId="77777777" w:rsidR="00F9458B" w:rsidRPr="008A6671" w:rsidRDefault="00F9458B" w:rsidP="00F9458B">
            <w:r w:rsidRPr="008A6671">
              <w:t>Additional information</w:t>
            </w:r>
          </w:p>
        </w:tc>
        <w:tc>
          <w:tcPr>
            <w:tcW w:w="8388" w:type="dxa"/>
          </w:tcPr>
          <w:p w14:paraId="5C0BD588" w14:textId="77777777" w:rsidR="00F9458B" w:rsidRPr="008A6671" w:rsidRDefault="00F9458B" w:rsidP="00F9458B">
            <w:r w:rsidRPr="008A6671">
              <w:t>-</w:t>
            </w:r>
          </w:p>
        </w:tc>
      </w:tr>
    </w:tbl>
    <w:p w14:paraId="525064BB" w14:textId="77777777" w:rsidR="00F9458B" w:rsidRPr="008A6671" w:rsidRDefault="00F9458B" w:rsidP="00F9458B">
      <w:r w:rsidRPr="008A6671">
        <w:br w:type="page"/>
      </w:r>
    </w:p>
    <w:p w14:paraId="71352D07" w14:textId="77777777" w:rsidR="00F9458B" w:rsidRDefault="00F9458B" w:rsidP="00034E43">
      <w:pPr>
        <w:pStyle w:val="Heading1Orange"/>
      </w:pPr>
      <w:bookmarkStart w:id="159" w:name="_Toc176250629"/>
      <w:bookmarkStart w:id="160" w:name="_Toc522013923"/>
      <w:bookmarkStart w:id="161" w:name="_Toc197069403"/>
      <w:r w:rsidRPr="00F9458B">
        <w:lastRenderedPageBreak/>
        <w:t>Organisational indicators</w:t>
      </w:r>
      <w:bookmarkEnd w:id="159"/>
      <w:bookmarkEnd w:id="160"/>
      <w:bookmarkEnd w:id="161"/>
    </w:p>
    <w:p w14:paraId="07EC03AC" w14:textId="77777777" w:rsidR="00EA7980" w:rsidRPr="0082185D" w:rsidRDefault="00EA7980" w:rsidP="00665D8A">
      <w:pPr>
        <w:pStyle w:val="Heading2"/>
      </w:pPr>
      <w:bookmarkStart w:id="162" w:name="_Toc517267787"/>
      <w:bookmarkStart w:id="163" w:name="_Toc517334324"/>
      <w:bookmarkStart w:id="164" w:name="_Toc517769840"/>
      <w:bookmarkStart w:id="165" w:name="_Toc517243884"/>
      <w:bookmarkStart w:id="166" w:name="_Toc517334330"/>
      <w:bookmarkStart w:id="167" w:name="_Toc517769846"/>
      <w:r w:rsidRPr="0082185D">
        <w:t>O1:</w:t>
      </w:r>
      <w:r w:rsidRPr="00665D8A">
        <w:t xml:space="preserve"> PHN has an independent and diverse skills-based Board</w:t>
      </w:r>
      <w:bookmarkEnd w:id="162"/>
      <w:bookmarkEnd w:id="163"/>
      <w:bookmarkEnd w:id="164"/>
    </w:p>
    <w:p w14:paraId="045589C5" w14:textId="3A08A2DA" w:rsidR="00EA7980" w:rsidRPr="00DA28C1" w:rsidRDefault="00EA7980" w:rsidP="00F13B32">
      <w:r w:rsidRPr="00DA28C1">
        <w:t>This indicator has been retired from the Framework</w:t>
      </w:r>
      <w:r w:rsidRPr="00D11795">
        <w:t xml:space="preserve"> </w:t>
      </w:r>
      <w:r w:rsidR="00E35046" w:rsidRPr="000467FF">
        <w:t xml:space="preserve">from </w:t>
      </w:r>
      <w:r w:rsidRPr="00D11795">
        <w:t>1 September 2024</w:t>
      </w:r>
      <w:r w:rsidR="009C2872" w:rsidRPr="000467FF">
        <w:t xml:space="preserve"> </w:t>
      </w:r>
      <w:r w:rsidR="00A225BC" w:rsidRPr="000467FF">
        <w:t>(</w:t>
      </w:r>
      <w:r w:rsidR="005C3345" w:rsidRPr="000467FF">
        <w:t>not required to be reported on c</w:t>
      </w:r>
      <w:r w:rsidR="005B2FA2" w:rsidRPr="000467FF">
        <w:t>ommencing with the 2021-22 Twelve Month Performance Report</w:t>
      </w:r>
      <w:r w:rsidR="00322E71">
        <w:t>).</w:t>
      </w:r>
    </w:p>
    <w:p w14:paraId="60930B74" w14:textId="77777777" w:rsidR="00EA7980" w:rsidRPr="0082185D" w:rsidRDefault="00EA7980" w:rsidP="00665D8A">
      <w:pPr>
        <w:pStyle w:val="Heading2"/>
      </w:pPr>
      <w:bookmarkStart w:id="168" w:name="_Toc517267788"/>
      <w:bookmarkStart w:id="169" w:name="_Toc517334325"/>
      <w:bookmarkStart w:id="170" w:name="_Toc517769841"/>
      <w:r w:rsidRPr="0082185D">
        <w:t>O2: PHN Clinical Council and Community Advisory Committee membership</w:t>
      </w:r>
      <w:bookmarkEnd w:id="168"/>
      <w:bookmarkEnd w:id="169"/>
      <w:bookmarkEnd w:id="170"/>
    </w:p>
    <w:p w14:paraId="042B4686" w14:textId="6D2F72DE" w:rsidR="00EA7980" w:rsidRPr="00DA28C1" w:rsidRDefault="00EA7980" w:rsidP="000976BD">
      <w:r w:rsidRPr="00DA28C1">
        <w:t>This indicator has been retired from the Framework</w:t>
      </w:r>
      <w:r w:rsidRPr="00D11795">
        <w:t xml:space="preserve"> </w:t>
      </w:r>
      <w:r w:rsidR="00A26F7E" w:rsidRPr="000467FF">
        <w:t xml:space="preserve">from </w:t>
      </w:r>
      <w:r w:rsidRPr="00D11795">
        <w:t>1 September 2024</w:t>
      </w:r>
      <w:r w:rsidR="00A26F7E" w:rsidRPr="000467FF">
        <w:t xml:space="preserve"> (not required to be reported on commencing with the 2021-22 Twelve Month Performance Report</w:t>
      </w:r>
      <w:r w:rsidR="00322E71">
        <w:t>).</w:t>
      </w:r>
    </w:p>
    <w:p w14:paraId="0B3D2CF1" w14:textId="77777777" w:rsidR="00EA7980" w:rsidRPr="0082185D" w:rsidRDefault="00EA7980" w:rsidP="00665D8A">
      <w:pPr>
        <w:pStyle w:val="Heading2"/>
      </w:pPr>
      <w:bookmarkStart w:id="171" w:name="_Toc517267789"/>
      <w:bookmarkStart w:id="172" w:name="_Toc517334326"/>
      <w:bookmarkStart w:id="173" w:name="_Toc517769842"/>
      <w:r w:rsidRPr="0082185D">
        <w:t>O3:</w:t>
      </w:r>
      <w:r w:rsidRPr="00665D8A">
        <w:t xml:space="preserve"> PHN Board considers input from committees</w:t>
      </w:r>
      <w:bookmarkEnd w:id="171"/>
      <w:bookmarkEnd w:id="172"/>
      <w:bookmarkEnd w:id="173"/>
    </w:p>
    <w:p w14:paraId="44F1DE1C" w14:textId="4A5B82E4" w:rsidR="00EA7980" w:rsidRPr="00DA28C1" w:rsidRDefault="00EA7980" w:rsidP="000976BD">
      <w:r w:rsidRPr="00DA28C1">
        <w:t>This indicator has been retired from the Framework</w:t>
      </w:r>
      <w:r w:rsidRPr="00716651">
        <w:rPr>
          <w:rStyle w:val="Strong"/>
        </w:rPr>
        <w:t xml:space="preserve"> </w:t>
      </w:r>
      <w:r w:rsidR="00A26F7E" w:rsidRPr="000467FF">
        <w:t xml:space="preserve">from </w:t>
      </w:r>
      <w:r w:rsidRPr="00716651">
        <w:rPr>
          <w:rStyle w:val="Strong"/>
        </w:rPr>
        <w:t>1 September 2024</w:t>
      </w:r>
      <w:r w:rsidR="00A26F7E" w:rsidRPr="000467FF">
        <w:t xml:space="preserve"> (not required to be reported on commencing with the 2021-22 Twelve Month Performance Report</w:t>
      </w:r>
      <w:r w:rsidR="00322E71">
        <w:t>).</w:t>
      </w:r>
    </w:p>
    <w:p w14:paraId="0DE2B9BB" w14:textId="77777777" w:rsidR="00EA7980" w:rsidRPr="0082185D" w:rsidRDefault="00EA7980" w:rsidP="00665D8A">
      <w:pPr>
        <w:pStyle w:val="Heading2"/>
      </w:pPr>
      <w:bookmarkStart w:id="174" w:name="_Toc517267790"/>
      <w:bookmarkStart w:id="175" w:name="_Toc517334327"/>
      <w:bookmarkStart w:id="176" w:name="_Toc517769843"/>
      <w:r w:rsidRPr="0082185D">
        <w:t>O4: Record of PHN Board member attendance at meetings</w:t>
      </w:r>
      <w:bookmarkEnd w:id="174"/>
      <w:bookmarkEnd w:id="175"/>
      <w:bookmarkEnd w:id="176"/>
    </w:p>
    <w:p w14:paraId="4DFC0171" w14:textId="395B4672" w:rsidR="00EA7980" w:rsidRPr="00DA28C1" w:rsidRDefault="00EA7980" w:rsidP="000976BD">
      <w:r w:rsidRPr="00DA28C1">
        <w:t>This indicator has been retired from the Framework</w:t>
      </w:r>
      <w:r w:rsidRPr="00D11795">
        <w:t xml:space="preserve"> </w:t>
      </w:r>
      <w:r w:rsidR="00A26F7E" w:rsidRPr="000467FF">
        <w:t xml:space="preserve">from </w:t>
      </w:r>
      <w:r w:rsidRPr="00D11795">
        <w:t>1 September 2024</w:t>
      </w:r>
      <w:r w:rsidR="00A26F7E" w:rsidRPr="000467FF">
        <w:t xml:space="preserve"> (not required to be reported on commencing with the 2021-22 Twelve Month Performance Report</w:t>
      </w:r>
      <w:r w:rsidR="00322E71">
        <w:t>).</w:t>
      </w:r>
    </w:p>
    <w:p w14:paraId="57D022F7" w14:textId="77777777" w:rsidR="00EA7980" w:rsidRPr="0082185D" w:rsidRDefault="00EA7980" w:rsidP="00665D8A">
      <w:pPr>
        <w:pStyle w:val="Heading2"/>
      </w:pPr>
      <w:bookmarkStart w:id="177" w:name="_Toc517769844"/>
      <w:bookmarkStart w:id="178" w:name="_Toc517243882"/>
      <w:bookmarkStart w:id="179" w:name="_Toc517334328"/>
      <w:r w:rsidRPr="0082185D">
        <w:t>O5: PHN Board has a regular review of its performance</w:t>
      </w:r>
      <w:bookmarkEnd w:id="177"/>
      <w:bookmarkEnd w:id="178"/>
      <w:bookmarkEnd w:id="179"/>
    </w:p>
    <w:p w14:paraId="66DA528B" w14:textId="738A069F" w:rsidR="00EA7980" w:rsidRPr="00DA28C1" w:rsidRDefault="00EA7980" w:rsidP="000976BD">
      <w:r w:rsidRPr="00DA28C1">
        <w:t>This indicator has been retired from the Framework</w:t>
      </w:r>
      <w:r w:rsidRPr="00716651">
        <w:rPr>
          <w:rStyle w:val="Strong"/>
        </w:rPr>
        <w:t xml:space="preserve"> </w:t>
      </w:r>
      <w:r w:rsidR="00A26F7E" w:rsidRPr="000467FF">
        <w:t xml:space="preserve">from </w:t>
      </w:r>
      <w:r w:rsidRPr="00716651">
        <w:rPr>
          <w:rStyle w:val="Strong"/>
        </w:rPr>
        <w:t>1 September 2024</w:t>
      </w:r>
      <w:r w:rsidR="00A26F7E" w:rsidRPr="000467FF">
        <w:t xml:space="preserve"> (not required to be reported on commencing with the 2021-22 Twelve Month Performance Report</w:t>
      </w:r>
      <w:r w:rsidR="00322E71">
        <w:t>).</w:t>
      </w:r>
    </w:p>
    <w:p w14:paraId="609D7F27" w14:textId="77777777" w:rsidR="00EA7980" w:rsidRPr="0082185D" w:rsidRDefault="00EA7980" w:rsidP="00665D8A">
      <w:pPr>
        <w:pStyle w:val="Heading2"/>
      </w:pPr>
      <w:bookmarkStart w:id="180" w:name="_Toc517769845"/>
      <w:bookmarkStart w:id="181" w:name="_Toc517243883"/>
      <w:bookmarkStart w:id="182" w:name="_Toc517334329"/>
      <w:r w:rsidRPr="0082185D">
        <w:t>O6: PHN Board approves strategic plan</w:t>
      </w:r>
      <w:bookmarkEnd w:id="180"/>
      <w:bookmarkEnd w:id="181"/>
      <w:bookmarkEnd w:id="182"/>
    </w:p>
    <w:p w14:paraId="1523E126" w14:textId="4AAA01D2" w:rsidR="00EA7980" w:rsidRPr="001D23EF" w:rsidRDefault="00EA7980" w:rsidP="000976BD">
      <w:r w:rsidRPr="001D23EF">
        <w:t>This indicator has been retired from the Framework</w:t>
      </w:r>
      <w:r w:rsidRPr="00716651">
        <w:rPr>
          <w:rStyle w:val="Strong"/>
        </w:rPr>
        <w:t xml:space="preserve"> </w:t>
      </w:r>
      <w:r w:rsidR="00A26F7E" w:rsidRPr="000467FF">
        <w:t xml:space="preserve">from </w:t>
      </w:r>
      <w:r w:rsidRPr="00716651">
        <w:rPr>
          <w:rStyle w:val="Strong"/>
        </w:rPr>
        <w:t>1 September 2024</w:t>
      </w:r>
      <w:r w:rsidR="00A26F7E" w:rsidRPr="000467FF">
        <w:t xml:space="preserve"> (not required to be reported on commencing with the 2021-22 Twelve Month Performance Report</w:t>
      </w:r>
      <w:r w:rsidR="00322E71">
        <w:t>).</w:t>
      </w:r>
    </w:p>
    <w:p w14:paraId="4195D5AD" w14:textId="38EFFE17" w:rsidR="003140BD" w:rsidRPr="0082185D" w:rsidRDefault="00DB6C57" w:rsidP="00665D8A">
      <w:pPr>
        <w:pStyle w:val="Heading2"/>
      </w:pPr>
      <w:r w:rsidRPr="0082185D">
        <w:t>O7: Variance report of scheduled activities</w:t>
      </w:r>
      <w:bookmarkEnd w:id="165"/>
      <w:bookmarkEnd w:id="166"/>
      <w:bookmarkEnd w:id="167"/>
    </w:p>
    <w:tbl>
      <w:tblPr>
        <w:tblStyle w:val="PHNTealtable"/>
        <w:tblW w:w="972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4A0" w:firstRow="1" w:lastRow="0" w:firstColumn="1" w:lastColumn="0" w:noHBand="0" w:noVBand="1"/>
        <w:tblDescription w:val="This table details indicator O7: Variance report of scheduled activities. It is comprised of two columns, and 11 rows. Column one provides the Item of the indicator, and Column two outlines the corresponding description.&#10;"/>
      </w:tblPr>
      <w:tblGrid>
        <w:gridCol w:w="1570"/>
        <w:gridCol w:w="8158"/>
      </w:tblGrid>
      <w:tr w:rsidR="003140BD" w:rsidRPr="00F9458B" w14:paraId="392E7B04" w14:textId="77777777" w:rsidTr="00B80E97">
        <w:trPr>
          <w:cnfStyle w:val="100000000000" w:firstRow="1" w:lastRow="0" w:firstColumn="0" w:lastColumn="0" w:oddVBand="0" w:evenVBand="0" w:oddHBand="0" w:evenHBand="0" w:firstRowFirstColumn="0" w:firstRowLastColumn="0" w:lastRowFirstColumn="0" w:lastRowLastColumn="0"/>
          <w:tblHeader/>
        </w:trPr>
        <w:tc>
          <w:tcPr>
            <w:tcW w:w="1570" w:type="dxa"/>
            <w:shd w:val="clear" w:color="auto" w:fill="153A6E"/>
          </w:tcPr>
          <w:p w14:paraId="2C3325AA" w14:textId="77777777" w:rsidR="003140BD" w:rsidRPr="00716651" w:rsidRDefault="003140BD" w:rsidP="0082185D">
            <w:pPr>
              <w:pStyle w:val="TableHeaderWhite"/>
            </w:pPr>
            <w:r w:rsidRPr="00716651">
              <w:t>Item</w:t>
            </w:r>
          </w:p>
        </w:tc>
        <w:tc>
          <w:tcPr>
            <w:tcW w:w="8158" w:type="dxa"/>
            <w:shd w:val="clear" w:color="auto" w:fill="153A6E"/>
          </w:tcPr>
          <w:p w14:paraId="4138C01A" w14:textId="77777777" w:rsidR="003140BD" w:rsidRPr="00716651" w:rsidRDefault="003140BD" w:rsidP="0082185D">
            <w:pPr>
              <w:pStyle w:val="TableHeaderWhite"/>
            </w:pPr>
            <w:r w:rsidRPr="00716651">
              <w:t>Description</w:t>
            </w:r>
          </w:p>
        </w:tc>
      </w:tr>
      <w:tr w:rsidR="003140BD" w:rsidRPr="00F9458B" w14:paraId="60B3E477" w14:textId="77777777" w:rsidTr="00B80E97">
        <w:tc>
          <w:tcPr>
            <w:tcW w:w="1570" w:type="dxa"/>
          </w:tcPr>
          <w:p w14:paraId="47320C90" w14:textId="77777777" w:rsidR="003140BD" w:rsidRPr="008A6671" w:rsidRDefault="003140BD">
            <w:r w:rsidRPr="008A6671">
              <w:t>Assessment</w:t>
            </w:r>
          </w:p>
        </w:tc>
        <w:tc>
          <w:tcPr>
            <w:tcW w:w="8158" w:type="dxa"/>
          </w:tcPr>
          <w:p w14:paraId="6618CE6C" w14:textId="7C00FA16" w:rsidR="003140BD" w:rsidRPr="008A6671" w:rsidRDefault="003140BD">
            <w:r w:rsidRPr="008A6671">
              <w:t>Individual PHN</w:t>
            </w:r>
            <w:r w:rsidR="007134BA">
              <w:t>.</w:t>
            </w:r>
          </w:p>
        </w:tc>
      </w:tr>
      <w:tr w:rsidR="003140BD" w:rsidRPr="00F9458B" w14:paraId="6E16FDA5" w14:textId="77777777" w:rsidTr="00B80E97">
        <w:tc>
          <w:tcPr>
            <w:tcW w:w="1570" w:type="dxa"/>
            <w:shd w:val="clear" w:color="auto" w:fill="D72F0D"/>
          </w:tcPr>
          <w:p w14:paraId="7050A443" w14:textId="77777777" w:rsidR="003140BD" w:rsidRPr="0082185D" w:rsidRDefault="003140BD" w:rsidP="0082185D">
            <w:pPr>
              <w:pStyle w:val="TableTextwhite"/>
            </w:pPr>
            <w:r w:rsidRPr="0082185D">
              <w:t>Reporting</w:t>
            </w:r>
          </w:p>
        </w:tc>
        <w:tc>
          <w:tcPr>
            <w:tcW w:w="8158" w:type="dxa"/>
            <w:shd w:val="clear" w:color="auto" w:fill="D72F0D"/>
          </w:tcPr>
          <w:p w14:paraId="60BA81EB" w14:textId="698B23E8" w:rsidR="003140BD" w:rsidRPr="0082185D" w:rsidRDefault="00091D4D" w:rsidP="0082185D">
            <w:pPr>
              <w:pStyle w:val="TableTextwhite"/>
            </w:pPr>
            <w:r w:rsidRPr="0082185D">
              <w:t>Twelve</w:t>
            </w:r>
            <w:r w:rsidR="003140BD" w:rsidRPr="0082185D">
              <w:t xml:space="preserve"> monthly by PHN</w:t>
            </w:r>
            <w:r w:rsidR="007134BA" w:rsidRPr="0082185D">
              <w:t>.</w:t>
            </w:r>
          </w:p>
        </w:tc>
      </w:tr>
      <w:tr w:rsidR="003140BD" w:rsidRPr="00F9458B" w14:paraId="03F67406" w14:textId="77777777" w:rsidTr="00B80E97">
        <w:tc>
          <w:tcPr>
            <w:tcW w:w="1570" w:type="dxa"/>
          </w:tcPr>
          <w:p w14:paraId="030D84A7" w14:textId="77777777" w:rsidR="003140BD" w:rsidRPr="008A6671" w:rsidRDefault="003140BD">
            <w:r w:rsidRPr="008A6671">
              <w:t>Definition</w:t>
            </w:r>
          </w:p>
        </w:tc>
        <w:tc>
          <w:tcPr>
            <w:tcW w:w="8158" w:type="dxa"/>
          </w:tcPr>
          <w:p w14:paraId="38A6A8C0" w14:textId="207C20EB" w:rsidR="003140BD" w:rsidRPr="008A6671" w:rsidRDefault="003140BD">
            <w:pPr>
              <w:rPr>
                <w:rFonts w:eastAsia="Calibri"/>
              </w:rPr>
            </w:pPr>
            <w:r w:rsidRPr="008A6671">
              <w:rPr>
                <w:rFonts w:eastAsia="Calibri"/>
              </w:rPr>
              <w:t>A variance report of scheduled activities of the PHN tracking achievement and spend is produced</w:t>
            </w:r>
            <w:r w:rsidR="00E40FD7">
              <w:rPr>
                <w:rFonts w:eastAsia="Calibri"/>
              </w:rPr>
              <w:t>.</w:t>
            </w:r>
          </w:p>
          <w:p w14:paraId="6CA49C6D" w14:textId="29DC5414" w:rsidR="003140BD" w:rsidRPr="008A6671" w:rsidRDefault="003140BD">
            <w:pPr>
              <w:rPr>
                <w:rFonts w:eastAsia="Calibri"/>
              </w:rPr>
            </w:pPr>
            <w:r w:rsidRPr="008A6671">
              <w:rPr>
                <w:rFonts w:eastAsia="Calibri"/>
              </w:rPr>
              <w:t>Scheduled activities are those that are included in the PHN Activity Work Plan (AWP</w:t>
            </w:r>
            <w:r w:rsidRPr="008E5D2E">
              <w:rPr>
                <w:rFonts w:eastAsia="Calibri"/>
              </w:rPr>
              <w:t>)</w:t>
            </w:r>
            <w:r w:rsidR="00E40FD7">
              <w:rPr>
                <w:rFonts w:eastAsia="Calibri"/>
              </w:rPr>
              <w:t>.</w:t>
            </w:r>
          </w:p>
          <w:p w14:paraId="0211E7CE" w14:textId="1D0A7CA5" w:rsidR="003140BD" w:rsidRPr="008A6671" w:rsidRDefault="003140BD">
            <w:pPr>
              <w:rPr>
                <w:rFonts w:eastAsia="Calibri"/>
              </w:rPr>
            </w:pPr>
            <w:r w:rsidRPr="008A6671">
              <w:rPr>
                <w:rFonts w:eastAsia="Calibri"/>
              </w:rPr>
              <w:t>Achievement is measured against milestones/indicators developed by PHN</w:t>
            </w:r>
            <w:r w:rsidR="007134BA">
              <w:rPr>
                <w:rFonts w:eastAsia="Calibri"/>
              </w:rPr>
              <w:t>.</w:t>
            </w:r>
          </w:p>
        </w:tc>
      </w:tr>
      <w:tr w:rsidR="003140BD" w:rsidRPr="00F9458B" w14:paraId="6F4F7157" w14:textId="77777777" w:rsidTr="00B80E97">
        <w:tc>
          <w:tcPr>
            <w:tcW w:w="1570" w:type="dxa"/>
          </w:tcPr>
          <w:p w14:paraId="20CDC7C6" w14:textId="77777777" w:rsidR="003140BD" w:rsidRPr="008A6671" w:rsidRDefault="003140BD">
            <w:r w:rsidRPr="008A6671">
              <w:t>Purpose</w:t>
            </w:r>
          </w:p>
        </w:tc>
        <w:tc>
          <w:tcPr>
            <w:tcW w:w="8158" w:type="dxa"/>
          </w:tcPr>
          <w:p w14:paraId="7BA4C1D8" w14:textId="58B37FA1" w:rsidR="009949ED" w:rsidRPr="008A6671" w:rsidRDefault="007232C5">
            <w:pPr>
              <w:rPr>
                <w:rFonts w:eastAsia="Calibri"/>
              </w:rPr>
            </w:pPr>
            <w:r w:rsidRPr="008A6671">
              <w:rPr>
                <w:rFonts w:eastAsia="Calibri"/>
              </w:rPr>
              <w:t xml:space="preserve">This indicator is required for compliance purposes. </w:t>
            </w:r>
          </w:p>
          <w:p w14:paraId="4E26C391" w14:textId="365C89C1" w:rsidR="003140BD" w:rsidRPr="008A6671" w:rsidRDefault="003140BD">
            <w:pPr>
              <w:rPr>
                <w:rFonts w:eastAsia="Calibri"/>
              </w:rPr>
            </w:pPr>
            <w:r w:rsidRPr="008A6671">
              <w:rPr>
                <w:rFonts w:eastAsia="Calibri"/>
              </w:rPr>
              <w:t>There will be some variance between projected achievement and spend and actual achievement and spend on activities. A variance report helps to keep track of this spend and can identify where there may be significant barriers to delivery of an activity or an over or underspend. This can suggest whether the PHN is delivering as expected or it is experiencing problems. This information would be supported by contextual information from the PHN on whether variance is expected and/or plans to address variances</w:t>
            </w:r>
            <w:r w:rsidR="00E40FD7">
              <w:rPr>
                <w:rFonts w:eastAsia="Calibri"/>
              </w:rPr>
              <w:t>.</w:t>
            </w:r>
          </w:p>
          <w:p w14:paraId="1175CD3E" w14:textId="57CB0EEC" w:rsidR="00AD5A26" w:rsidRPr="008A6671" w:rsidRDefault="00AD5A26">
            <w:pPr>
              <w:rPr>
                <w:rFonts w:eastAsia="Calibri"/>
              </w:rPr>
            </w:pPr>
            <w:r w:rsidRPr="008A6671">
              <w:rPr>
                <w:rFonts w:eastAsia="Calibri"/>
              </w:rPr>
              <w:t>Findings will</w:t>
            </w:r>
            <w:r w:rsidR="00C75418" w:rsidRPr="008A6671">
              <w:rPr>
                <w:rFonts w:eastAsia="Calibri"/>
              </w:rPr>
              <w:t xml:space="preserve"> be used for individual performance assessments but will</w:t>
            </w:r>
            <w:r w:rsidRPr="008A6671">
              <w:rPr>
                <w:rFonts w:eastAsia="Calibri"/>
              </w:rPr>
              <w:t xml:space="preserve"> not be published in the PHN Program Annual </w:t>
            </w:r>
            <w:r w:rsidR="00C75418" w:rsidRPr="008A6671">
              <w:rPr>
                <w:rFonts w:eastAsia="Calibri"/>
              </w:rPr>
              <w:t xml:space="preserve">Performance </w:t>
            </w:r>
            <w:r w:rsidRPr="008A6671">
              <w:rPr>
                <w:rFonts w:eastAsia="Calibri"/>
              </w:rPr>
              <w:t>Report</w:t>
            </w:r>
            <w:r w:rsidR="00C75418" w:rsidRPr="008A6671">
              <w:rPr>
                <w:rFonts w:eastAsia="Calibri"/>
              </w:rPr>
              <w:t>.</w:t>
            </w:r>
          </w:p>
        </w:tc>
      </w:tr>
      <w:tr w:rsidR="003140BD" w:rsidRPr="00F9458B" w14:paraId="0A0F902E" w14:textId="77777777" w:rsidTr="00B80E97">
        <w:tc>
          <w:tcPr>
            <w:tcW w:w="1570" w:type="dxa"/>
          </w:tcPr>
          <w:p w14:paraId="55BC066F" w14:textId="61794478" w:rsidR="003140BD" w:rsidRPr="008A6671" w:rsidRDefault="003140BD">
            <w:r w:rsidRPr="008A6671">
              <w:lastRenderedPageBreak/>
              <w:t xml:space="preserve">Outcome Theme: </w:t>
            </w:r>
            <w:r w:rsidR="00601004" w:rsidRPr="008A6671">
              <w:t>N/A</w:t>
            </w:r>
          </w:p>
        </w:tc>
        <w:tc>
          <w:tcPr>
            <w:tcW w:w="8158" w:type="dxa"/>
          </w:tcPr>
          <w:p w14:paraId="73B53718" w14:textId="6D0D6973" w:rsidR="003140BD" w:rsidRPr="008A6671" w:rsidRDefault="00601004">
            <w:r w:rsidRPr="008A6671">
              <w:rPr>
                <w:rFonts w:eastAsia="Calibri"/>
              </w:rPr>
              <w:t>-</w:t>
            </w:r>
          </w:p>
        </w:tc>
      </w:tr>
      <w:tr w:rsidR="003140BD" w:rsidRPr="00F9458B" w14:paraId="78EE3EF5" w14:textId="77777777" w:rsidTr="00B80E97">
        <w:tc>
          <w:tcPr>
            <w:tcW w:w="1570" w:type="dxa"/>
          </w:tcPr>
          <w:p w14:paraId="121ADCF3" w14:textId="77777777" w:rsidR="003140BD" w:rsidRPr="008A6671" w:rsidRDefault="003140BD">
            <w:r w:rsidRPr="008A6671">
              <w:t>Performance Criteria</w:t>
            </w:r>
          </w:p>
        </w:tc>
        <w:tc>
          <w:tcPr>
            <w:tcW w:w="8158" w:type="dxa"/>
          </w:tcPr>
          <w:p w14:paraId="2B9B1E83" w14:textId="171D735A" w:rsidR="003140BD" w:rsidRPr="008A6671" w:rsidRDefault="003140BD">
            <w:r w:rsidRPr="008A6671">
              <w:rPr>
                <w:rFonts w:eastAsia="Calibri"/>
              </w:rPr>
              <w:t>All variations are accounted for by PHN</w:t>
            </w:r>
            <w:r w:rsidR="007134BA">
              <w:rPr>
                <w:rFonts w:eastAsia="Calibri"/>
              </w:rPr>
              <w:t>.</w:t>
            </w:r>
          </w:p>
        </w:tc>
      </w:tr>
      <w:tr w:rsidR="003140BD" w:rsidRPr="00F9458B" w14:paraId="7782B537" w14:textId="77777777" w:rsidTr="00B80E97">
        <w:tc>
          <w:tcPr>
            <w:tcW w:w="1570" w:type="dxa"/>
          </w:tcPr>
          <w:p w14:paraId="66F2461F" w14:textId="77777777" w:rsidR="003140BD" w:rsidRPr="008A6671" w:rsidRDefault="003140BD">
            <w:r w:rsidRPr="008A6671">
              <w:t>Data Source</w:t>
            </w:r>
          </w:p>
        </w:tc>
        <w:tc>
          <w:tcPr>
            <w:tcW w:w="8158" w:type="dxa"/>
          </w:tcPr>
          <w:p w14:paraId="7778FCAF" w14:textId="5FDF0D0C" w:rsidR="003140BD" w:rsidRPr="008A6671" w:rsidRDefault="003140BD">
            <w:pPr>
              <w:rPr>
                <w:rFonts w:eastAsia="Calibri"/>
              </w:rPr>
            </w:pPr>
            <w:r w:rsidRPr="008A6671">
              <w:rPr>
                <w:rFonts w:eastAsia="Calibri"/>
              </w:rPr>
              <w:t>Variance report on scheduled activities</w:t>
            </w:r>
            <w:r w:rsidR="007134BA">
              <w:rPr>
                <w:rFonts w:eastAsia="Calibri"/>
              </w:rPr>
              <w:t>.</w:t>
            </w:r>
          </w:p>
        </w:tc>
      </w:tr>
      <w:tr w:rsidR="003140BD" w:rsidRPr="00F9458B" w14:paraId="30F20767" w14:textId="77777777" w:rsidTr="00B80E97">
        <w:tc>
          <w:tcPr>
            <w:tcW w:w="1570" w:type="dxa"/>
          </w:tcPr>
          <w:p w14:paraId="6C6EF1B1" w14:textId="77777777" w:rsidR="003140BD" w:rsidRPr="008A6671" w:rsidRDefault="003140BD">
            <w:r w:rsidRPr="008A6671">
              <w:t>Calculation</w:t>
            </w:r>
          </w:p>
        </w:tc>
        <w:tc>
          <w:tcPr>
            <w:tcW w:w="8158" w:type="dxa"/>
          </w:tcPr>
          <w:p w14:paraId="773B1719" w14:textId="72F1EAAA" w:rsidR="003140BD" w:rsidRPr="008A6671" w:rsidRDefault="00540CAD">
            <w:pPr>
              <w:rPr>
                <w:rFonts w:eastAsia="Calibri"/>
              </w:rPr>
            </w:pPr>
            <w:r>
              <w:rPr>
                <w:rFonts w:eastAsia="Calibri"/>
              </w:rPr>
              <w:t xml:space="preserve">The </w:t>
            </w:r>
            <w:r w:rsidR="003140BD" w:rsidRPr="008A6671">
              <w:rPr>
                <w:rFonts w:eastAsia="Calibri"/>
              </w:rPr>
              <w:t xml:space="preserve">Department of Health </w:t>
            </w:r>
            <w:r>
              <w:rPr>
                <w:rFonts w:eastAsia="Calibri"/>
              </w:rPr>
              <w:t>and Aged Care</w:t>
            </w:r>
            <w:r w:rsidR="003140BD" w:rsidRPr="008A6671">
              <w:rPr>
                <w:rFonts w:eastAsia="Calibri"/>
              </w:rPr>
              <w:t xml:space="preserve"> will assess information provided in Variance Report (O7) against PHN Needs Assessment, PHN AWP and national priority areas. The Variance Report comprises a list of individual PHN activities pre-populated from AWPs where PHNs are to detail expected spend by reporting period against actual spend, identify the related need or priority area and assign a risk rating</w:t>
            </w:r>
            <w:r w:rsidR="007134BA">
              <w:rPr>
                <w:rFonts w:eastAsia="Calibri"/>
              </w:rPr>
              <w:t>.</w:t>
            </w:r>
          </w:p>
        </w:tc>
      </w:tr>
      <w:tr w:rsidR="003140BD" w:rsidRPr="00F9458B" w14:paraId="34C33DD2" w14:textId="77777777" w:rsidTr="00B80E97">
        <w:tc>
          <w:tcPr>
            <w:tcW w:w="1570" w:type="dxa"/>
          </w:tcPr>
          <w:p w14:paraId="5012D4DB" w14:textId="77777777" w:rsidR="003140BD" w:rsidRPr="008A6671" w:rsidRDefault="003140BD">
            <w:r w:rsidRPr="008A6671">
              <w:t>Limitations</w:t>
            </w:r>
          </w:p>
        </w:tc>
        <w:tc>
          <w:tcPr>
            <w:tcW w:w="8158" w:type="dxa"/>
          </w:tcPr>
          <w:p w14:paraId="7D7CB89C" w14:textId="77777777" w:rsidR="003140BD" w:rsidRPr="008A6671" w:rsidRDefault="003140BD">
            <w:r w:rsidRPr="008A6671">
              <w:t>-</w:t>
            </w:r>
          </w:p>
        </w:tc>
      </w:tr>
      <w:tr w:rsidR="003140BD" w:rsidRPr="00F9458B" w14:paraId="0AFF6F40" w14:textId="77777777" w:rsidTr="00B80E97">
        <w:tc>
          <w:tcPr>
            <w:tcW w:w="1570" w:type="dxa"/>
          </w:tcPr>
          <w:p w14:paraId="41277296" w14:textId="77777777" w:rsidR="003140BD" w:rsidRPr="008A6671" w:rsidRDefault="003140BD">
            <w:r w:rsidRPr="008A6671">
              <w:t>Additional information</w:t>
            </w:r>
          </w:p>
        </w:tc>
        <w:tc>
          <w:tcPr>
            <w:tcW w:w="8158" w:type="dxa"/>
          </w:tcPr>
          <w:p w14:paraId="2163C168" w14:textId="77777777" w:rsidR="003140BD" w:rsidRPr="008A6671" w:rsidRDefault="003140BD">
            <w:r w:rsidRPr="008A6671">
              <w:t>-</w:t>
            </w:r>
          </w:p>
        </w:tc>
      </w:tr>
    </w:tbl>
    <w:p w14:paraId="47219EE4" w14:textId="77777777" w:rsidR="00BF29AC" w:rsidRPr="0082185D" w:rsidRDefault="00BF29AC" w:rsidP="00665D8A">
      <w:pPr>
        <w:pStyle w:val="Heading2"/>
      </w:pPr>
      <w:bookmarkStart w:id="183" w:name="_Toc517243885"/>
      <w:bookmarkStart w:id="184" w:name="_Toc517334331"/>
      <w:bookmarkStart w:id="185" w:name="_Toc517769847"/>
      <w:r w:rsidRPr="0082185D">
        <w:t>O8: Quality management system</w:t>
      </w:r>
      <w:bookmarkEnd w:id="183"/>
      <w:bookmarkEnd w:id="184"/>
      <w:bookmarkEnd w:id="185"/>
    </w:p>
    <w:p w14:paraId="6FD96A97" w14:textId="51CB88F1" w:rsidR="00BF29AC" w:rsidRPr="00D32CE3" w:rsidRDefault="00BF29AC" w:rsidP="00F13B32">
      <w:r w:rsidRPr="0094569B">
        <w:t>This indicator has been retired from the Framework</w:t>
      </w:r>
      <w:r w:rsidRPr="00716651">
        <w:rPr>
          <w:rStyle w:val="Strong"/>
        </w:rPr>
        <w:t xml:space="preserve"> </w:t>
      </w:r>
      <w:r w:rsidR="00A26F7E" w:rsidRPr="000467FF">
        <w:t xml:space="preserve">from </w:t>
      </w:r>
      <w:r w:rsidRPr="00716651">
        <w:rPr>
          <w:rStyle w:val="Strong"/>
        </w:rPr>
        <w:t>1 September 2024</w:t>
      </w:r>
      <w:r w:rsidR="00A26F7E" w:rsidRPr="000467FF">
        <w:t xml:space="preserve"> (not required to be reported on commencing with the 2021-22 Twelve Month Performance Report</w:t>
      </w:r>
      <w:r w:rsidR="00322E71">
        <w:t>).</w:t>
      </w:r>
    </w:p>
    <w:p w14:paraId="02DB13ED" w14:textId="77777777" w:rsidR="00BF29AC" w:rsidRPr="0082185D" w:rsidRDefault="00BF29AC" w:rsidP="00665D8A">
      <w:pPr>
        <w:pStyle w:val="Heading2"/>
      </w:pPr>
      <w:bookmarkStart w:id="186" w:name="_Toc517243886"/>
      <w:bookmarkStart w:id="187" w:name="_Toc517334332"/>
      <w:bookmarkStart w:id="188" w:name="_Toc517769848"/>
      <w:r w:rsidRPr="0082185D">
        <w:t>O9: Staff satisfaction</w:t>
      </w:r>
      <w:bookmarkEnd w:id="186"/>
      <w:bookmarkEnd w:id="187"/>
      <w:bookmarkEnd w:id="188"/>
    </w:p>
    <w:p w14:paraId="29982252" w14:textId="36A5649E" w:rsidR="00BF29AC" w:rsidRDefault="00BF29AC" w:rsidP="00BF29AC">
      <w:r w:rsidRPr="0094569B">
        <w:t>This indicator has been retired from the Framework</w:t>
      </w:r>
      <w:r w:rsidRPr="00716651">
        <w:rPr>
          <w:rStyle w:val="Strong"/>
        </w:rPr>
        <w:t xml:space="preserve"> </w:t>
      </w:r>
      <w:r w:rsidR="00A26F7E" w:rsidRPr="000467FF">
        <w:t xml:space="preserve">from </w:t>
      </w:r>
      <w:r w:rsidRPr="00716651">
        <w:rPr>
          <w:rStyle w:val="Strong"/>
        </w:rPr>
        <w:t>1 September 2024</w:t>
      </w:r>
      <w:r w:rsidR="00A26F7E" w:rsidRPr="000467FF">
        <w:t xml:space="preserve"> (not required to be reported on commencing with the 2021-22 Twelve Month Performance Report</w:t>
      </w:r>
      <w:r w:rsidR="00322E71">
        <w:t>).</w:t>
      </w:r>
    </w:p>
    <w:p w14:paraId="4C69789C" w14:textId="79780CDD" w:rsidR="00BF29AC" w:rsidRPr="0082185D" w:rsidRDefault="00BF29AC" w:rsidP="00665D8A">
      <w:pPr>
        <w:pStyle w:val="Heading2"/>
      </w:pPr>
      <w:bookmarkStart w:id="189" w:name="_Toc517769849"/>
      <w:bookmarkStart w:id="190" w:name="_Toc517243887"/>
      <w:bookmarkStart w:id="191" w:name="_Toc517334333"/>
      <w:r w:rsidRPr="0082185D">
        <w:t>O10</w:t>
      </w:r>
      <w:r w:rsidR="0009137B" w:rsidRPr="0082185D">
        <w:t>:</w:t>
      </w:r>
      <w:r w:rsidRPr="0082185D">
        <w:t xml:space="preserve"> Performance management process</w:t>
      </w:r>
      <w:bookmarkEnd w:id="189"/>
      <w:bookmarkEnd w:id="190"/>
      <w:bookmarkEnd w:id="191"/>
    </w:p>
    <w:p w14:paraId="0544DAD5" w14:textId="7CEECBC9" w:rsidR="00BF29AC" w:rsidRDefault="00BF29AC" w:rsidP="00BF29AC">
      <w:r w:rsidRPr="0094569B">
        <w:t>This indicator has been retired from the Framework</w:t>
      </w:r>
      <w:r w:rsidRPr="00716651">
        <w:rPr>
          <w:rStyle w:val="Strong"/>
        </w:rPr>
        <w:t xml:space="preserve"> </w:t>
      </w:r>
      <w:r w:rsidR="00A26F7E" w:rsidRPr="000467FF">
        <w:t xml:space="preserve">from </w:t>
      </w:r>
      <w:r w:rsidRPr="00716651">
        <w:rPr>
          <w:rStyle w:val="Strong"/>
        </w:rPr>
        <w:t>1 September 2024</w:t>
      </w:r>
      <w:r w:rsidR="00A26F7E" w:rsidRPr="000467FF">
        <w:t xml:space="preserve"> (not required to be reported on commencing with the 2021-22 Twelve Month Performance Report</w:t>
      </w:r>
      <w:r w:rsidR="00322E71">
        <w:t>).</w:t>
      </w:r>
    </w:p>
    <w:p w14:paraId="3D8BCEE8" w14:textId="77777777" w:rsidR="00BF29AC" w:rsidRPr="0082185D" w:rsidRDefault="00BF29AC" w:rsidP="00665D8A">
      <w:pPr>
        <w:pStyle w:val="Heading2"/>
      </w:pPr>
      <w:bookmarkStart w:id="192" w:name="_Toc517769850"/>
      <w:bookmarkStart w:id="193" w:name="_Toc517243888"/>
      <w:bookmarkStart w:id="194" w:name="_Toc517334334"/>
      <w:r w:rsidRPr="0082185D">
        <w:t>O11: Cultural awareness training</w:t>
      </w:r>
      <w:bookmarkEnd w:id="192"/>
      <w:bookmarkEnd w:id="193"/>
      <w:bookmarkEnd w:id="194"/>
    </w:p>
    <w:p w14:paraId="1426300D" w14:textId="31822F7D" w:rsidR="00BF29AC" w:rsidRPr="008A6671" w:rsidRDefault="00BF29AC" w:rsidP="0091754B">
      <w:r w:rsidRPr="0094569B">
        <w:t>This indicator has been retired from the Framework</w:t>
      </w:r>
      <w:r w:rsidRPr="00716651">
        <w:rPr>
          <w:rStyle w:val="Strong"/>
        </w:rPr>
        <w:t xml:space="preserve"> </w:t>
      </w:r>
      <w:r w:rsidR="00A26F7E" w:rsidRPr="000467FF">
        <w:t xml:space="preserve">from </w:t>
      </w:r>
      <w:r w:rsidRPr="00716651">
        <w:rPr>
          <w:rStyle w:val="Strong"/>
        </w:rPr>
        <w:t>1 September 2024</w:t>
      </w:r>
      <w:r w:rsidR="00A26F7E" w:rsidRPr="000467FF">
        <w:t xml:space="preserve"> (not required to be reported on commencing with the 2021-22 Twelve Month Performance Report</w:t>
      </w:r>
      <w:r w:rsidR="00322E71">
        <w:t>).</w:t>
      </w:r>
      <w:bookmarkStart w:id="195" w:name="_Toc517769851"/>
      <w:bookmarkStart w:id="196" w:name="_Toc517243889"/>
      <w:bookmarkStart w:id="197" w:name="_Toc517334335"/>
      <w:bookmarkStart w:id="198" w:name="_Toc517267791"/>
    </w:p>
    <w:bookmarkEnd w:id="195"/>
    <w:bookmarkEnd w:id="196"/>
    <w:bookmarkEnd w:id="197"/>
    <w:p w14:paraId="54BFE37F" w14:textId="45BABCA6" w:rsidR="00F9458B" w:rsidRPr="0082185D" w:rsidRDefault="00331C57" w:rsidP="00665D8A">
      <w:pPr>
        <w:pStyle w:val="Heading2"/>
      </w:pPr>
      <w:r w:rsidRPr="0082185D">
        <w:t>O12: Rate of contracts for commissioned health services that include both output and outcome performance indicators</w:t>
      </w:r>
    </w:p>
    <w:tbl>
      <w:tblPr>
        <w:tblStyle w:val="PHNTealtable"/>
        <w:tblW w:w="972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4A0" w:firstRow="1" w:lastRow="0" w:firstColumn="1" w:lastColumn="0" w:noHBand="0" w:noVBand="1"/>
        <w:tblDescription w:val="This table details indicator O12: Rate of contracts for commissioned health services that include both output and outcome performance indicators. It is comprised of two columns, and 11 rows. Column one provides the Item of the indicator, and Column two outlines the corresponding description."/>
      </w:tblPr>
      <w:tblGrid>
        <w:gridCol w:w="1570"/>
        <w:gridCol w:w="8158"/>
      </w:tblGrid>
      <w:tr w:rsidR="00F9458B" w:rsidRPr="00F9458B" w14:paraId="31AA9713" w14:textId="77777777" w:rsidTr="00B80E97">
        <w:trPr>
          <w:cnfStyle w:val="100000000000" w:firstRow="1" w:lastRow="0" w:firstColumn="0" w:lastColumn="0" w:oddVBand="0" w:evenVBand="0" w:oddHBand="0" w:evenHBand="0" w:firstRowFirstColumn="0" w:firstRowLastColumn="0" w:lastRowFirstColumn="0" w:lastRowLastColumn="0"/>
          <w:tblHeader/>
        </w:trPr>
        <w:tc>
          <w:tcPr>
            <w:tcW w:w="1570" w:type="dxa"/>
            <w:shd w:val="clear" w:color="auto" w:fill="153A6E"/>
          </w:tcPr>
          <w:p w14:paraId="60875E85" w14:textId="77777777" w:rsidR="00F9458B" w:rsidRPr="00716651" w:rsidRDefault="00F9458B" w:rsidP="0082185D">
            <w:pPr>
              <w:pStyle w:val="TableHeaderWhite"/>
            </w:pPr>
            <w:r w:rsidRPr="00716651">
              <w:t>Item</w:t>
            </w:r>
          </w:p>
        </w:tc>
        <w:tc>
          <w:tcPr>
            <w:tcW w:w="8158" w:type="dxa"/>
            <w:shd w:val="clear" w:color="auto" w:fill="153A6E"/>
          </w:tcPr>
          <w:p w14:paraId="4441F6EC" w14:textId="43416A2B" w:rsidR="00F9458B" w:rsidRPr="00716651" w:rsidRDefault="00F9458B" w:rsidP="0082185D">
            <w:pPr>
              <w:pStyle w:val="TableHeaderWhite"/>
            </w:pPr>
            <w:r w:rsidRPr="00716651">
              <w:t>Description</w:t>
            </w:r>
          </w:p>
        </w:tc>
      </w:tr>
      <w:tr w:rsidR="00F9458B" w:rsidRPr="00F9458B" w14:paraId="017C439B" w14:textId="77777777" w:rsidTr="00B80E97">
        <w:tc>
          <w:tcPr>
            <w:tcW w:w="1570" w:type="dxa"/>
          </w:tcPr>
          <w:p w14:paraId="7872777C" w14:textId="77777777" w:rsidR="00F9458B" w:rsidRPr="008A6671" w:rsidRDefault="00F9458B" w:rsidP="00F9458B">
            <w:r w:rsidRPr="008A6671">
              <w:t>Assessment</w:t>
            </w:r>
          </w:p>
        </w:tc>
        <w:tc>
          <w:tcPr>
            <w:tcW w:w="8158" w:type="dxa"/>
          </w:tcPr>
          <w:p w14:paraId="5A5ECA1B" w14:textId="526A04FE" w:rsidR="00F9458B" w:rsidRPr="008A6671" w:rsidRDefault="00F9458B" w:rsidP="00F9458B">
            <w:r w:rsidRPr="008A6671">
              <w:t>Individual PHN</w:t>
            </w:r>
            <w:r w:rsidR="00460C86">
              <w:t>.</w:t>
            </w:r>
          </w:p>
        </w:tc>
      </w:tr>
      <w:tr w:rsidR="00F9458B" w:rsidRPr="00F9458B" w14:paraId="194D7266" w14:textId="77777777" w:rsidTr="00B80E97">
        <w:tc>
          <w:tcPr>
            <w:tcW w:w="1570" w:type="dxa"/>
            <w:shd w:val="clear" w:color="auto" w:fill="D72F0D"/>
          </w:tcPr>
          <w:p w14:paraId="173A43F7" w14:textId="77777777" w:rsidR="00F9458B" w:rsidRPr="0082185D" w:rsidRDefault="00F9458B" w:rsidP="0082185D">
            <w:pPr>
              <w:pStyle w:val="TableTextwhite"/>
            </w:pPr>
            <w:r w:rsidRPr="0082185D">
              <w:t>Reporting</w:t>
            </w:r>
          </w:p>
        </w:tc>
        <w:tc>
          <w:tcPr>
            <w:tcW w:w="8158" w:type="dxa"/>
            <w:shd w:val="clear" w:color="auto" w:fill="D72F0D"/>
          </w:tcPr>
          <w:p w14:paraId="314E061E" w14:textId="34738078" w:rsidR="00F9458B" w:rsidRPr="0082185D" w:rsidRDefault="00F9458B" w:rsidP="0082185D">
            <w:pPr>
              <w:pStyle w:val="TableTextwhite"/>
            </w:pPr>
            <w:r w:rsidRPr="0082185D">
              <w:t>Twelve monthly by PHN</w:t>
            </w:r>
            <w:r w:rsidR="00460C86" w:rsidRPr="0082185D">
              <w:t>.</w:t>
            </w:r>
          </w:p>
        </w:tc>
      </w:tr>
      <w:tr w:rsidR="00F9458B" w:rsidRPr="00F9458B" w14:paraId="4AF353EF" w14:textId="77777777" w:rsidTr="00B80E97">
        <w:tc>
          <w:tcPr>
            <w:tcW w:w="1570" w:type="dxa"/>
          </w:tcPr>
          <w:p w14:paraId="4B2A6572" w14:textId="77777777" w:rsidR="00F9458B" w:rsidRPr="008A6671" w:rsidRDefault="00F9458B" w:rsidP="00F9458B">
            <w:r w:rsidRPr="008A6671">
              <w:t>Definition</w:t>
            </w:r>
          </w:p>
        </w:tc>
        <w:tc>
          <w:tcPr>
            <w:tcW w:w="8158" w:type="dxa"/>
          </w:tcPr>
          <w:p w14:paraId="348292F4" w14:textId="4DBE8C5D" w:rsidR="00F9458B" w:rsidRPr="008A6671" w:rsidRDefault="00F9458B" w:rsidP="00F9458B">
            <w:pPr>
              <w:rPr>
                <w:rFonts w:eastAsia="Calibri"/>
              </w:rPr>
            </w:pPr>
            <w:r w:rsidRPr="008A6671">
              <w:rPr>
                <w:rFonts w:eastAsia="Calibri"/>
              </w:rPr>
              <w:t>The PHN includes both output and outcome performance indicators in its active contracts with commissioned service providers</w:t>
            </w:r>
          </w:p>
          <w:p w14:paraId="72C0B8E8" w14:textId="77777777" w:rsidR="00E40FD7" w:rsidRDefault="00587D23" w:rsidP="00F9458B">
            <w:pPr>
              <w:rPr>
                <w:rFonts w:eastAsia="Calibri"/>
              </w:rPr>
            </w:pPr>
            <w:r w:rsidRPr="00587D23">
              <w:rPr>
                <w:rFonts w:eastAsia="Calibri"/>
              </w:rPr>
              <w:t>Active contracts are those commenced, continuing or ceased during the financial year</w:t>
            </w:r>
            <w:r w:rsidR="00E40FD7">
              <w:rPr>
                <w:rFonts w:eastAsia="Calibri"/>
              </w:rPr>
              <w:t>.</w:t>
            </w:r>
          </w:p>
          <w:p w14:paraId="104C7635" w14:textId="66828242" w:rsidR="00F9458B" w:rsidRPr="008A6671" w:rsidRDefault="00F9458B" w:rsidP="00F9458B">
            <w:pPr>
              <w:rPr>
                <w:rFonts w:eastAsia="Calibri"/>
              </w:rPr>
            </w:pPr>
            <w:r w:rsidRPr="008A6671">
              <w:rPr>
                <w:rFonts w:eastAsia="Calibri"/>
              </w:rPr>
              <w:t>Output performance indicators measure the services and/or products delivered by the process or activity that was funded</w:t>
            </w:r>
            <w:r w:rsidR="00E40FD7">
              <w:rPr>
                <w:rFonts w:eastAsia="Calibri"/>
              </w:rPr>
              <w:t>.</w:t>
            </w:r>
          </w:p>
          <w:p w14:paraId="605F8161" w14:textId="37CC0B99" w:rsidR="00F9458B" w:rsidRPr="008A6671" w:rsidRDefault="00F9458B" w:rsidP="00F9458B">
            <w:r w:rsidRPr="008A6671">
              <w:rPr>
                <w:rFonts w:eastAsia="Calibri"/>
              </w:rPr>
              <w:lastRenderedPageBreak/>
              <w:t>Outcome performance indicators measure the impact of the services and/or products delivered</w:t>
            </w:r>
            <w:r w:rsidR="00460C86">
              <w:rPr>
                <w:rFonts w:eastAsia="Calibri"/>
              </w:rPr>
              <w:t>.</w:t>
            </w:r>
          </w:p>
        </w:tc>
      </w:tr>
      <w:tr w:rsidR="00F9458B" w:rsidRPr="00F9458B" w14:paraId="017821E1" w14:textId="77777777" w:rsidTr="00B80E97">
        <w:tc>
          <w:tcPr>
            <w:tcW w:w="1570" w:type="dxa"/>
          </w:tcPr>
          <w:p w14:paraId="73E7CEAA" w14:textId="77777777" w:rsidR="00F9458B" w:rsidRPr="008A6671" w:rsidRDefault="00F9458B" w:rsidP="00F9458B">
            <w:r w:rsidRPr="008A6671">
              <w:t>Purpose</w:t>
            </w:r>
          </w:p>
        </w:tc>
        <w:tc>
          <w:tcPr>
            <w:tcW w:w="8158" w:type="dxa"/>
          </w:tcPr>
          <w:p w14:paraId="1EF03D9B" w14:textId="29E5BC75" w:rsidR="00F9458B" w:rsidRPr="008A6671" w:rsidRDefault="00F9458B" w:rsidP="00F9458B">
            <w:pPr>
              <w:rPr>
                <w:rFonts w:eastAsia="Calibri"/>
              </w:rPr>
            </w:pPr>
            <w:r w:rsidRPr="008A6671">
              <w:rPr>
                <w:rFonts w:eastAsia="Calibri"/>
              </w:rPr>
              <w:t>PHNs are encouraged to include both output and outcomes performance indicators in their contracts with commissioned service providers. This will allow the PHN to demonstrate the impact of their commissioning over time towards the PHN Program outcomes</w:t>
            </w:r>
            <w:r w:rsidR="00460C86">
              <w:rPr>
                <w:rFonts w:eastAsia="Calibri"/>
              </w:rPr>
              <w:t>.</w:t>
            </w:r>
          </w:p>
        </w:tc>
      </w:tr>
      <w:tr w:rsidR="00F9458B" w:rsidRPr="00F9458B" w14:paraId="10E3D65D" w14:textId="77777777" w:rsidTr="00B80E97">
        <w:tc>
          <w:tcPr>
            <w:tcW w:w="1570" w:type="dxa"/>
          </w:tcPr>
          <w:p w14:paraId="78B85B8C" w14:textId="7DA4EB49" w:rsidR="00F9458B" w:rsidRPr="008A6671" w:rsidRDefault="00F9458B" w:rsidP="00F9458B">
            <w:r w:rsidRPr="008A6671">
              <w:t xml:space="preserve">Outcome Theme: </w:t>
            </w:r>
            <w:r w:rsidR="001D708E" w:rsidRPr="008A6671">
              <w:t>Addressing Needs</w:t>
            </w:r>
          </w:p>
        </w:tc>
        <w:tc>
          <w:tcPr>
            <w:tcW w:w="8158" w:type="dxa"/>
          </w:tcPr>
          <w:p w14:paraId="4B1C1F26" w14:textId="44D2AC3A" w:rsidR="00F9458B" w:rsidRPr="00B64335" w:rsidRDefault="00F9458B" w:rsidP="00B64335">
            <w:pPr>
              <w:rPr>
                <w:rFonts w:eastAsia="Calibri"/>
              </w:rPr>
            </w:pPr>
            <w:r w:rsidRPr="008A6671">
              <w:rPr>
                <w:rFonts w:eastAsia="Calibri"/>
              </w:rPr>
              <w:t>Outcome:</w:t>
            </w:r>
            <w:r w:rsidR="00B4469C">
              <w:t xml:space="preserve"> </w:t>
            </w:r>
            <w:r w:rsidR="00B4469C" w:rsidRPr="008A6671">
              <w:rPr>
                <w:rFonts w:eastAsia="Calibri"/>
              </w:rPr>
              <w:t>PHN activities and initiatives address local needs</w:t>
            </w:r>
            <w:r w:rsidR="00E40FD7">
              <w:rPr>
                <w:rFonts w:eastAsia="Calibri"/>
              </w:rPr>
              <w:t>.</w:t>
            </w:r>
          </w:p>
        </w:tc>
      </w:tr>
      <w:tr w:rsidR="00F9458B" w:rsidRPr="00F9458B" w14:paraId="05C471B6" w14:textId="77777777" w:rsidTr="00B80E97">
        <w:tc>
          <w:tcPr>
            <w:tcW w:w="1570" w:type="dxa"/>
          </w:tcPr>
          <w:p w14:paraId="0FA3744C" w14:textId="77777777" w:rsidR="00F9458B" w:rsidRPr="008A6671" w:rsidRDefault="00F9458B" w:rsidP="00F9458B">
            <w:r w:rsidRPr="008A6671">
              <w:t>Performance Criteria</w:t>
            </w:r>
          </w:p>
        </w:tc>
        <w:tc>
          <w:tcPr>
            <w:tcW w:w="8158" w:type="dxa"/>
          </w:tcPr>
          <w:p w14:paraId="0CB1382B" w14:textId="3ABA1037" w:rsidR="00F9458B" w:rsidRPr="008A6671" w:rsidRDefault="00F9458B" w:rsidP="00F9458B">
            <w:r w:rsidRPr="008A6671">
              <w:rPr>
                <w:rFonts w:eastAsia="Calibri"/>
              </w:rPr>
              <w:t>Increase in the number of contracts containing both output and outcome performance indicators</w:t>
            </w:r>
            <w:r w:rsidR="00460C86">
              <w:rPr>
                <w:rFonts w:eastAsia="Calibri"/>
              </w:rPr>
              <w:t>.</w:t>
            </w:r>
          </w:p>
        </w:tc>
      </w:tr>
      <w:tr w:rsidR="00F9458B" w:rsidRPr="00F9458B" w14:paraId="470A9645" w14:textId="77777777" w:rsidTr="00B80E97">
        <w:tc>
          <w:tcPr>
            <w:tcW w:w="1570" w:type="dxa"/>
          </w:tcPr>
          <w:p w14:paraId="5C4B0D69" w14:textId="77777777" w:rsidR="00F9458B" w:rsidRPr="008A6671" w:rsidRDefault="00F9458B" w:rsidP="00F9458B">
            <w:r w:rsidRPr="008A6671">
              <w:t>Data Source</w:t>
            </w:r>
          </w:p>
        </w:tc>
        <w:tc>
          <w:tcPr>
            <w:tcW w:w="8158" w:type="dxa"/>
          </w:tcPr>
          <w:p w14:paraId="464E5B1F" w14:textId="0F0CD0BF" w:rsidR="00F9458B" w:rsidRPr="008A6671" w:rsidRDefault="00F9458B" w:rsidP="00F9458B">
            <w:r w:rsidRPr="008A6671">
              <w:rPr>
                <w:rFonts w:eastAsia="Calibri"/>
              </w:rPr>
              <w:t>PHN provides number of contracts and extracts of output and outcome measures from contracts</w:t>
            </w:r>
            <w:r w:rsidR="00460C86">
              <w:rPr>
                <w:rFonts w:eastAsia="Calibri"/>
              </w:rPr>
              <w:t>.</w:t>
            </w:r>
          </w:p>
        </w:tc>
      </w:tr>
      <w:tr w:rsidR="00F9458B" w:rsidRPr="00F9458B" w14:paraId="6F3EDA71" w14:textId="77777777" w:rsidTr="00B80E97">
        <w:tc>
          <w:tcPr>
            <w:tcW w:w="1570" w:type="dxa"/>
          </w:tcPr>
          <w:p w14:paraId="7C339F04" w14:textId="77777777" w:rsidR="00F9458B" w:rsidRPr="008A6671" w:rsidRDefault="00F9458B" w:rsidP="00F9458B">
            <w:r w:rsidRPr="008A6671">
              <w:t>Calculation</w:t>
            </w:r>
          </w:p>
        </w:tc>
        <w:tc>
          <w:tcPr>
            <w:tcW w:w="8158" w:type="dxa"/>
          </w:tcPr>
          <w:p w14:paraId="6368675E" w14:textId="77777777" w:rsidR="00F9458B" w:rsidRPr="008A6671" w:rsidRDefault="00F9458B" w:rsidP="00F9458B">
            <w:pPr>
              <w:rPr>
                <w:rFonts w:eastAsia="Calibri"/>
              </w:rPr>
            </w:pPr>
            <w:r w:rsidRPr="008A6671">
              <w:rPr>
                <w:rFonts w:eastAsia="Calibri"/>
              </w:rPr>
              <w:t>Numerator:</w:t>
            </w:r>
          </w:p>
          <w:p w14:paraId="3752785C" w14:textId="79B0DCCA" w:rsidR="00F9458B" w:rsidRPr="008A6671" w:rsidRDefault="00F9458B" w:rsidP="00F9458B">
            <w:pPr>
              <w:rPr>
                <w:rFonts w:eastAsia="Calibri"/>
              </w:rPr>
            </w:pPr>
            <w:r w:rsidRPr="008A6671">
              <w:rPr>
                <w:rFonts w:eastAsia="Calibri"/>
              </w:rPr>
              <w:t>Number of active contracts with output and outcome measures</w:t>
            </w:r>
            <w:r w:rsidR="00E40FD7">
              <w:rPr>
                <w:rFonts w:eastAsia="Calibri"/>
              </w:rPr>
              <w:t>.</w:t>
            </w:r>
          </w:p>
          <w:p w14:paraId="71E03AE2" w14:textId="77777777" w:rsidR="00F9458B" w:rsidRPr="008A6671" w:rsidRDefault="00F9458B" w:rsidP="00F9458B">
            <w:pPr>
              <w:rPr>
                <w:rFonts w:eastAsia="Calibri"/>
              </w:rPr>
            </w:pPr>
            <w:r w:rsidRPr="008A6671">
              <w:rPr>
                <w:rFonts w:eastAsia="Calibri"/>
              </w:rPr>
              <w:t>Denominator:</w:t>
            </w:r>
          </w:p>
          <w:p w14:paraId="423FEBA9" w14:textId="11133470" w:rsidR="00F9458B" w:rsidRPr="008A6671" w:rsidRDefault="00F9458B" w:rsidP="00F9458B">
            <w:pPr>
              <w:rPr>
                <w:rFonts w:eastAsia="Calibri"/>
              </w:rPr>
            </w:pPr>
            <w:r w:rsidRPr="008A6671">
              <w:rPr>
                <w:rFonts w:eastAsia="Calibri"/>
              </w:rPr>
              <w:t>Number of total contracts executed</w:t>
            </w:r>
            <w:r w:rsidR="00E40FD7">
              <w:rPr>
                <w:rFonts w:eastAsia="Calibri"/>
              </w:rPr>
              <w:t>.</w:t>
            </w:r>
          </w:p>
          <w:p w14:paraId="29407A1A" w14:textId="77777777" w:rsidR="00F9458B" w:rsidRPr="008A6671" w:rsidRDefault="00F9458B" w:rsidP="00F9458B">
            <w:pPr>
              <w:rPr>
                <w:rFonts w:eastAsia="Calibri"/>
              </w:rPr>
            </w:pPr>
            <w:r w:rsidRPr="008A6671">
              <w:rPr>
                <w:rFonts w:eastAsia="Calibri"/>
              </w:rPr>
              <w:t>Computation:</w:t>
            </w:r>
          </w:p>
          <w:p w14:paraId="29990AC4" w14:textId="2E717DBB" w:rsidR="00F9458B" w:rsidRPr="008A6671" w:rsidRDefault="00F9458B" w:rsidP="00F9458B">
            <w:pPr>
              <w:rPr>
                <w:rFonts w:eastAsia="Calibri"/>
              </w:rPr>
            </w:pPr>
            <w:r w:rsidRPr="008A6671">
              <w:rPr>
                <w:rFonts w:eastAsia="Calibri"/>
              </w:rPr>
              <w:t>100 x (numerator / denominator) presented as a percentage</w:t>
            </w:r>
            <w:r w:rsidR="00E20954">
              <w:rPr>
                <w:rFonts w:eastAsia="Calibri"/>
              </w:rPr>
              <w:t xml:space="preserve"> of total contracts</w:t>
            </w:r>
            <w:r w:rsidRPr="008A6671">
              <w:rPr>
                <w:rFonts w:eastAsia="Calibri"/>
              </w:rPr>
              <w:t xml:space="preserve"> in PHN region</w:t>
            </w:r>
            <w:r w:rsidR="00460C86">
              <w:rPr>
                <w:rFonts w:eastAsia="Calibri"/>
              </w:rPr>
              <w:t>.</w:t>
            </w:r>
          </w:p>
        </w:tc>
      </w:tr>
      <w:tr w:rsidR="00F9458B" w:rsidRPr="00F9458B" w14:paraId="113C58F0" w14:textId="77777777" w:rsidTr="00B80E97">
        <w:tc>
          <w:tcPr>
            <w:tcW w:w="1570" w:type="dxa"/>
          </w:tcPr>
          <w:p w14:paraId="594F07B4" w14:textId="77777777" w:rsidR="00F9458B" w:rsidRPr="008A6671" w:rsidRDefault="00F9458B" w:rsidP="00F9458B">
            <w:r w:rsidRPr="008A6671">
              <w:t>Limitations</w:t>
            </w:r>
          </w:p>
        </w:tc>
        <w:tc>
          <w:tcPr>
            <w:tcW w:w="8158" w:type="dxa"/>
          </w:tcPr>
          <w:p w14:paraId="47E75889" w14:textId="77777777" w:rsidR="00F9458B" w:rsidRPr="008A6671" w:rsidRDefault="00F9458B" w:rsidP="00F9458B">
            <w:r w:rsidRPr="008A6671">
              <w:t>-</w:t>
            </w:r>
          </w:p>
        </w:tc>
      </w:tr>
      <w:tr w:rsidR="00F9458B" w:rsidRPr="00F9458B" w14:paraId="604209D2" w14:textId="77777777" w:rsidTr="00B80E97">
        <w:tc>
          <w:tcPr>
            <w:tcW w:w="1570" w:type="dxa"/>
          </w:tcPr>
          <w:p w14:paraId="532CA882" w14:textId="77777777" w:rsidR="00F9458B" w:rsidRPr="008A6671" w:rsidRDefault="00F9458B" w:rsidP="00F9458B">
            <w:r w:rsidRPr="008A6671">
              <w:t>Additional information</w:t>
            </w:r>
          </w:p>
        </w:tc>
        <w:tc>
          <w:tcPr>
            <w:tcW w:w="8158" w:type="dxa"/>
          </w:tcPr>
          <w:p w14:paraId="73495B57" w14:textId="34E2D15D" w:rsidR="00F9458B" w:rsidRPr="008A6671" w:rsidRDefault="00F9458B" w:rsidP="00F9458B">
            <w:pPr>
              <w:rPr>
                <w:rFonts w:eastAsia="Calibri"/>
              </w:rPr>
            </w:pPr>
            <w:r w:rsidRPr="008A6671">
              <w:rPr>
                <w:rFonts w:eastAsia="Calibri"/>
              </w:rPr>
              <w:t>It is noted that PHNs construct the most appropriate performance indicators for each service they commission. For some contracts it will be most appropriate to include output performance indicators initially</w:t>
            </w:r>
            <w:r w:rsidR="00460C86">
              <w:rPr>
                <w:rFonts w:eastAsia="Calibri"/>
              </w:rPr>
              <w:t>.</w:t>
            </w:r>
          </w:p>
        </w:tc>
      </w:tr>
    </w:tbl>
    <w:p w14:paraId="0E45BC02" w14:textId="6916F4B5" w:rsidR="00431AFC" w:rsidRPr="0082185D" w:rsidRDefault="00675388" w:rsidP="00665D8A">
      <w:pPr>
        <w:pStyle w:val="Heading2"/>
      </w:pPr>
      <w:bookmarkStart w:id="199" w:name="_Toc517243890"/>
      <w:bookmarkStart w:id="200" w:name="_Toc517334336"/>
      <w:bookmarkStart w:id="201" w:name="_Toc517769852"/>
      <w:r w:rsidRPr="0082185D">
        <w:t>O13:</w:t>
      </w:r>
      <w:r w:rsidRPr="00665D8A">
        <w:t xml:space="preserve"> Annual Report and audited financial statements</w:t>
      </w:r>
      <w:bookmarkEnd w:id="199"/>
      <w:bookmarkEnd w:id="200"/>
      <w:bookmarkEnd w:id="201"/>
    </w:p>
    <w:tbl>
      <w:tblPr>
        <w:tblStyle w:val="PHNTealtable"/>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4A0" w:firstRow="1" w:lastRow="0" w:firstColumn="1" w:lastColumn="0" w:noHBand="0" w:noVBand="1"/>
        <w:tblDescription w:val="This table details indicator O13: Annual Report and audited financial statements (requires PHNs input). It is comprised of two columns, and 11 rows. Column one provides the Item of the indicator, and Column two outlines the corresponding description."/>
      </w:tblPr>
      <w:tblGrid>
        <w:gridCol w:w="1571"/>
        <w:gridCol w:w="8156"/>
      </w:tblGrid>
      <w:tr w:rsidR="00431AFC" w:rsidRPr="00F9458B" w14:paraId="4A5E6F9B" w14:textId="77777777">
        <w:trPr>
          <w:cnfStyle w:val="100000000000" w:firstRow="1" w:lastRow="0" w:firstColumn="0" w:lastColumn="0" w:oddVBand="0" w:evenVBand="0" w:oddHBand="0" w:evenHBand="0" w:firstRowFirstColumn="0" w:firstRowLastColumn="0" w:lastRowFirstColumn="0" w:lastRowLastColumn="0"/>
          <w:tblHeader/>
        </w:trPr>
        <w:tc>
          <w:tcPr>
            <w:tcW w:w="1574" w:type="dxa"/>
            <w:shd w:val="clear" w:color="auto" w:fill="153A6E"/>
          </w:tcPr>
          <w:p w14:paraId="244A4828" w14:textId="77777777" w:rsidR="00431AFC" w:rsidRPr="00716651" w:rsidRDefault="00431AFC" w:rsidP="00716651">
            <w:pPr>
              <w:pStyle w:val="TableHeaderWhite"/>
            </w:pPr>
            <w:r w:rsidRPr="00716651">
              <w:t>Item</w:t>
            </w:r>
          </w:p>
        </w:tc>
        <w:tc>
          <w:tcPr>
            <w:tcW w:w="8388" w:type="dxa"/>
            <w:shd w:val="clear" w:color="auto" w:fill="153A6E"/>
          </w:tcPr>
          <w:p w14:paraId="50BEFF8C" w14:textId="77777777" w:rsidR="00431AFC" w:rsidRPr="00716651" w:rsidRDefault="00431AFC" w:rsidP="00716651">
            <w:pPr>
              <w:pStyle w:val="TableHeaderWhite"/>
            </w:pPr>
            <w:r w:rsidRPr="00716651">
              <w:t>Description</w:t>
            </w:r>
          </w:p>
        </w:tc>
      </w:tr>
      <w:tr w:rsidR="00431AFC" w:rsidRPr="00F9458B" w14:paraId="3FE09433" w14:textId="77777777">
        <w:tc>
          <w:tcPr>
            <w:tcW w:w="1574" w:type="dxa"/>
          </w:tcPr>
          <w:p w14:paraId="23EC6DAB" w14:textId="77777777" w:rsidR="00431AFC" w:rsidRPr="008A6671" w:rsidRDefault="00431AFC">
            <w:r w:rsidRPr="008A6671">
              <w:t>Assessment</w:t>
            </w:r>
          </w:p>
        </w:tc>
        <w:tc>
          <w:tcPr>
            <w:tcW w:w="8388" w:type="dxa"/>
          </w:tcPr>
          <w:p w14:paraId="4038033A" w14:textId="7C86B51F" w:rsidR="00431AFC" w:rsidRPr="008A6671" w:rsidRDefault="00431AFC">
            <w:r w:rsidRPr="008A6671">
              <w:t>Individual PHN</w:t>
            </w:r>
            <w:r w:rsidR="00460C86">
              <w:t>.</w:t>
            </w:r>
          </w:p>
        </w:tc>
      </w:tr>
      <w:tr w:rsidR="00431AFC" w:rsidRPr="00F9458B" w14:paraId="178C180C" w14:textId="77777777">
        <w:tc>
          <w:tcPr>
            <w:tcW w:w="1574" w:type="dxa"/>
            <w:shd w:val="clear" w:color="auto" w:fill="D72F0D"/>
          </w:tcPr>
          <w:p w14:paraId="25A230FC" w14:textId="77777777" w:rsidR="00431AFC" w:rsidRPr="0082185D" w:rsidRDefault="00431AFC" w:rsidP="0082185D">
            <w:pPr>
              <w:pStyle w:val="TableTextwhite"/>
            </w:pPr>
            <w:r w:rsidRPr="0082185D">
              <w:t>Reporting</w:t>
            </w:r>
          </w:p>
        </w:tc>
        <w:tc>
          <w:tcPr>
            <w:tcW w:w="8388" w:type="dxa"/>
            <w:shd w:val="clear" w:color="auto" w:fill="D72F0D"/>
          </w:tcPr>
          <w:p w14:paraId="5A3DFFD3" w14:textId="45737E40" w:rsidR="00431AFC" w:rsidRPr="0082185D" w:rsidRDefault="00431AFC" w:rsidP="0082185D">
            <w:pPr>
              <w:pStyle w:val="TableTextwhite"/>
            </w:pPr>
            <w:r w:rsidRPr="0082185D">
              <w:t>Twelve monthly by PHN</w:t>
            </w:r>
            <w:r w:rsidR="00460C86" w:rsidRPr="0082185D">
              <w:t>.</w:t>
            </w:r>
          </w:p>
        </w:tc>
      </w:tr>
      <w:tr w:rsidR="00431AFC" w:rsidRPr="00F9458B" w14:paraId="06A29F8A" w14:textId="77777777">
        <w:tc>
          <w:tcPr>
            <w:tcW w:w="1574" w:type="dxa"/>
          </w:tcPr>
          <w:p w14:paraId="74834864" w14:textId="77777777" w:rsidR="00431AFC" w:rsidRPr="008A6671" w:rsidRDefault="00431AFC">
            <w:r w:rsidRPr="008A6671">
              <w:t>Definition</w:t>
            </w:r>
          </w:p>
        </w:tc>
        <w:tc>
          <w:tcPr>
            <w:tcW w:w="8388" w:type="dxa"/>
          </w:tcPr>
          <w:p w14:paraId="6B7D21D5" w14:textId="544DCAD6" w:rsidR="00431AFC" w:rsidRPr="008A6671" w:rsidRDefault="00431AFC">
            <w:pPr>
              <w:rPr>
                <w:rFonts w:eastAsia="Calibri"/>
              </w:rPr>
            </w:pPr>
            <w:r w:rsidRPr="008A6671">
              <w:rPr>
                <w:rFonts w:eastAsia="Calibri"/>
              </w:rPr>
              <w:t>Annual Report and audited financial statements are submitted to the Department and are lodged in accordance with the Corporations Act 2001</w:t>
            </w:r>
            <w:r w:rsidR="00E40FD7">
              <w:rPr>
                <w:rFonts w:eastAsia="Calibri"/>
              </w:rPr>
              <w:t>.</w:t>
            </w:r>
          </w:p>
          <w:p w14:paraId="3A87CBCF" w14:textId="79C5C7B9" w:rsidR="00431AFC" w:rsidRPr="008A6671" w:rsidRDefault="00431AFC">
            <w:pPr>
              <w:rPr>
                <w:rFonts w:eastAsia="Calibri"/>
              </w:rPr>
            </w:pPr>
            <w:r w:rsidRPr="008A6671">
              <w:rPr>
                <w:rFonts w:eastAsia="Calibri"/>
              </w:rPr>
              <w:t>PHN Full-Time Equivalent (FTE)</w:t>
            </w:r>
            <w:r w:rsidRPr="008E5D2E">
              <w:rPr>
                <w:rFonts w:eastAsia="Calibri"/>
              </w:rPr>
              <w:t xml:space="preserve"> </w:t>
            </w:r>
            <w:r w:rsidR="007C7EBF">
              <w:rPr>
                <w:rFonts w:eastAsia="Calibri"/>
              </w:rPr>
              <w:t>staff</w:t>
            </w:r>
            <w:r w:rsidRPr="008A6671">
              <w:rPr>
                <w:rFonts w:eastAsia="Calibri"/>
              </w:rPr>
              <w:t xml:space="preserve"> is also to be provided. Contextual information may also be included to support FTE numbers if necessary</w:t>
            </w:r>
            <w:r w:rsidR="00460C86">
              <w:rPr>
                <w:rFonts w:eastAsia="Calibri"/>
              </w:rPr>
              <w:t>.</w:t>
            </w:r>
          </w:p>
        </w:tc>
      </w:tr>
      <w:tr w:rsidR="00431AFC" w:rsidRPr="00F9458B" w14:paraId="7F0665D9" w14:textId="77777777">
        <w:tc>
          <w:tcPr>
            <w:tcW w:w="1574" w:type="dxa"/>
          </w:tcPr>
          <w:p w14:paraId="27CF34B8" w14:textId="77777777" w:rsidR="00431AFC" w:rsidRPr="008A6671" w:rsidRDefault="00431AFC">
            <w:r w:rsidRPr="008A6671">
              <w:t>Purpose</w:t>
            </w:r>
          </w:p>
        </w:tc>
        <w:tc>
          <w:tcPr>
            <w:tcW w:w="8388" w:type="dxa"/>
          </w:tcPr>
          <w:p w14:paraId="181AEBEE" w14:textId="04832480" w:rsidR="009A277A" w:rsidRPr="008A6671" w:rsidRDefault="009A277A">
            <w:pPr>
              <w:rPr>
                <w:rFonts w:eastAsia="Calibri"/>
              </w:rPr>
            </w:pPr>
            <w:r w:rsidRPr="008A6671">
              <w:rPr>
                <w:rFonts w:eastAsia="Calibri"/>
              </w:rPr>
              <w:t>This indicator is required for compliance purposes.</w:t>
            </w:r>
          </w:p>
          <w:p w14:paraId="368AD793" w14:textId="7219DB69" w:rsidR="00431AFC" w:rsidRPr="008A6671" w:rsidRDefault="00431AFC">
            <w:pPr>
              <w:rPr>
                <w:rFonts w:eastAsia="Calibri"/>
              </w:rPr>
            </w:pPr>
            <w:r w:rsidRPr="008A6671">
              <w:rPr>
                <w:rFonts w:eastAsia="Calibri"/>
              </w:rPr>
              <w:t>PHNs are contractually required to provide their Annual Report and audited financial statements as the Department has a responsibility to account for the spending of public money</w:t>
            </w:r>
            <w:r w:rsidR="009A277A" w:rsidRPr="008A6671">
              <w:rPr>
                <w:rFonts w:eastAsia="Calibri"/>
              </w:rPr>
              <w:t>.</w:t>
            </w:r>
          </w:p>
          <w:p w14:paraId="53264A8A" w14:textId="7812E5F4" w:rsidR="009A277A" w:rsidRPr="008A6671" w:rsidRDefault="009A277A">
            <w:pPr>
              <w:rPr>
                <w:rFonts w:eastAsia="Calibri"/>
              </w:rPr>
            </w:pPr>
            <w:r w:rsidRPr="008A6671">
              <w:rPr>
                <w:rFonts w:eastAsia="Calibri"/>
              </w:rPr>
              <w:lastRenderedPageBreak/>
              <w:t>Findings will be used for individual performance assessments but will not be published in the PHN Program Annual Performance Report.</w:t>
            </w:r>
          </w:p>
        </w:tc>
      </w:tr>
      <w:tr w:rsidR="00431AFC" w:rsidRPr="00F9458B" w14:paraId="7E8C2693" w14:textId="77777777">
        <w:tc>
          <w:tcPr>
            <w:tcW w:w="1574" w:type="dxa"/>
          </w:tcPr>
          <w:p w14:paraId="337E2E3E" w14:textId="4F440029" w:rsidR="00431AFC" w:rsidRPr="008A6671" w:rsidRDefault="00431AFC">
            <w:r w:rsidRPr="008A6671">
              <w:t xml:space="preserve">Outcome Theme: </w:t>
            </w:r>
            <w:r w:rsidR="00601004" w:rsidRPr="008A6671">
              <w:t>N/A</w:t>
            </w:r>
          </w:p>
        </w:tc>
        <w:tc>
          <w:tcPr>
            <w:tcW w:w="8388" w:type="dxa"/>
          </w:tcPr>
          <w:p w14:paraId="22F07A2F" w14:textId="33713F4C" w:rsidR="00431AFC" w:rsidRPr="008A6671" w:rsidRDefault="00601004">
            <w:r w:rsidRPr="008A6671">
              <w:rPr>
                <w:rFonts w:eastAsia="Calibri"/>
              </w:rPr>
              <w:t>-</w:t>
            </w:r>
          </w:p>
        </w:tc>
      </w:tr>
      <w:tr w:rsidR="00431AFC" w:rsidRPr="00F9458B" w14:paraId="782DE34B" w14:textId="77777777">
        <w:tc>
          <w:tcPr>
            <w:tcW w:w="1574" w:type="dxa"/>
          </w:tcPr>
          <w:p w14:paraId="61B0DCDF" w14:textId="77777777" w:rsidR="00431AFC" w:rsidRPr="008A6671" w:rsidRDefault="00431AFC">
            <w:r w:rsidRPr="008A6671">
              <w:t>Performance Criteria</w:t>
            </w:r>
          </w:p>
        </w:tc>
        <w:tc>
          <w:tcPr>
            <w:tcW w:w="8388" w:type="dxa"/>
          </w:tcPr>
          <w:p w14:paraId="5916406F" w14:textId="338BED68" w:rsidR="00431AFC" w:rsidRPr="008A6671" w:rsidRDefault="00431AFC">
            <w:r w:rsidRPr="008A6671">
              <w:t>Annual Report meets requirements</w:t>
            </w:r>
            <w:r w:rsidR="00E40FD7">
              <w:t>.</w:t>
            </w:r>
          </w:p>
          <w:p w14:paraId="45B2D1F8" w14:textId="1A1F8986" w:rsidR="00431AFC" w:rsidRPr="008A6671" w:rsidRDefault="00431AFC">
            <w:r w:rsidRPr="008A6671">
              <w:t>Audited financial reports have unqualified auditor statement</w:t>
            </w:r>
            <w:r w:rsidR="00460C86">
              <w:t>.</w:t>
            </w:r>
          </w:p>
        </w:tc>
      </w:tr>
      <w:tr w:rsidR="00431AFC" w:rsidRPr="00F9458B" w14:paraId="0409A35E" w14:textId="77777777">
        <w:tc>
          <w:tcPr>
            <w:tcW w:w="1574" w:type="dxa"/>
          </w:tcPr>
          <w:p w14:paraId="1375AA09" w14:textId="77777777" w:rsidR="00431AFC" w:rsidRPr="008A6671" w:rsidRDefault="00431AFC">
            <w:r w:rsidRPr="008A6671">
              <w:t>Data Source</w:t>
            </w:r>
          </w:p>
        </w:tc>
        <w:tc>
          <w:tcPr>
            <w:tcW w:w="8388" w:type="dxa"/>
          </w:tcPr>
          <w:p w14:paraId="2408E36D" w14:textId="46EB8BE2" w:rsidR="00431AFC" w:rsidRPr="008A6671" w:rsidRDefault="00431AFC">
            <w:r w:rsidRPr="008A6671">
              <w:rPr>
                <w:rFonts w:eastAsia="Calibri"/>
              </w:rPr>
              <w:t xml:space="preserve">PHN supplies Annual Report and </w:t>
            </w:r>
            <w:proofErr w:type="gramStart"/>
            <w:r w:rsidRPr="008A6671">
              <w:rPr>
                <w:rFonts w:eastAsia="Calibri"/>
              </w:rPr>
              <w:t>audited</w:t>
            </w:r>
            <w:proofErr w:type="gramEnd"/>
            <w:r w:rsidRPr="008A6671">
              <w:rPr>
                <w:rFonts w:eastAsia="Calibri"/>
              </w:rPr>
              <w:t xml:space="preserve"> financial statements</w:t>
            </w:r>
            <w:r w:rsidR="00460C86">
              <w:rPr>
                <w:rFonts w:eastAsia="Calibri"/>
              </w:rPr>
              <w:t>.</w:t>
            </w:r>
          </w:p>
        </w:tc>
      </w:tr>
      <w:tr w:rsidR="00431AFC" w:rsidRPr="00F9458B" w14:paraId="5B7C2379" w14:textId="77777777">
        <w:tc>
          <w:tcPr>
            <w:tcW w:w="1574" w:type="dxa"/>
          </w:tcPr>
          <w:p w14:paraId="00CD0DAA" w14:textId="77777777" w:rsidR="00431AFC" w:rsidRPr="008A6671" w:rsidRDefault="00431AFC">
            <w:r w:rsidRPr="008A6671">
              <w:t>Calculation</w:t>
            </w:r>
          </w:p>
        </w:tc>
        <w:tc>
          <w:tcPr>
            <w:tcW w:w="8388" w:type="dxa"/>
          </w:tcPr>
          <w:p w14:paraId="5591F54B" w14:textId="7E1C0E15" w:rsidR="00431AFC" w:rsidRPr="008A6671" w:rsidRDefault="00180842">
            <w:r>
              <w:rPr>
                <w:rFonts w:eastAsia="Calibri"/>
              </w:rPr>
              <w:t xml:space="preserve">The </w:t>
            </w:r>
            <w:r w:rsidR="00431AFC" w:rsidRPr="008A6671">
              <w:rPr>
                <w:rFonts w:eastAsia="Calibri"/>
              </w:rPr>
              <w:t>Department will assess the qualitative information provided by the PHN</w:t>
            </w:r>
            <w:r w:rsidR="00460C86">
              <w:rPr>
                <w:rFonts w:eastAsia="Calibri"/>
              </w:rPr>
              <w:t>.</w:t>
            </w:r>
          </w:p>
        </w:tc>
      </w:tr>
      <w:tr w:rsidR="00431AFC" w:rsidRPr="00F9458B" w14:paraId="51F1CC1F" w14:textId="77777777">
        <w:tc>
          <w:tcPr>
            <w:tcW w:w="1574" w:type="dxa"/>
          </w:tcPr>
          <w:p w14:paraId="4469CD78" w14:textId="77777777" w:rsidR="00431AFC" w:rsidRPr="008A6671" w:rsidRDefault="00431AFC">
            <w:r w:rsidRPr="008A6671">
              <w:t>Limitations</w:t>
            </w:r>
          </w:p>
        </w:tc>
        <w:tc>
          <w:tcPr>
            <w:tcW w:w="8388" w:type="dxa"/>
          </w:tcPr>
          <w:p w14:paraId="29FC5FBE" w14:textId="77777777" w:rsidR="00431AFC" w:rsidRPr="008A6671" w:rsidRDefault="00431AFC">
            <w:r w:rsidRPr="008A6671">
              <w:t>-</w:t>
            </w:r>
          </w:p>
        </w:tc>
      </w:tr>
      <w:tr w:rsidR="00431AFC" w:rsidRPr="00F9458B" w14:paraId="5361568E" w14:textId="77777777">
        <w:tc>
          <w:tcPr>
            <w:tcW w:w="1574" w:type="dxa"/>
          </w:tcPr>
          <w:p w14:paraId="4430A1C5" w14:textId="77777777" w:rsidR="00431AFC" w:rsidRPr="008A6671" w:rsidRDefault="00431AFC">
            <w:r w:rsidRPr="008A6671">
              <w:t>Additional information</w:t>
            </w:r>
          </w:p>
        </w:tc>
        <w:tc>
          <w:tcPr>
            <w:tcW w:w="8388" w:type="dxa"/>
          </w:tcPr>
          <w:p w14:paraId="18BADA9C" w14:textId="77777777" w:rsidR="00431AFC" w:rsidRPr="008A6671" w:rsidRDefault="00431AFC">
            <w:r w:rsidRPr="008A6671">
              <w:t>-</w:t>
            </w:r>
          </w:p>
        </w:tc>
      </w:tr>
    </w:tbl>
    <w:p w14:paraId="54BF5715" w14:textId="77777777" w:rsidR="005B5493" w:rsidRPr="00B64335" w:rsidRDefault="008F7846" w:rsidP="00B64335">
      <w:pPr>
        <w:rPr>
          <w:rStyle w:val="Strong"/>
        </w:rPr>
      </w:pPr>
      <w:bookmarkStart w:id="202" w:name="_Toc517243891"/>
      <w:bookmarkStart w:id="203" w:name="_Toc517334337"/>
      <w:bookmarkStart w:id="204" w:name="_Toc517769853"/>
      <w:r w:rsidRPr="00B64335">
        <w:rPr>
          <w:rStyle w:val="Strong"/>
        </w:rPr>
        <w:t>O14</w:t>
      </w:r>
      <w:r w:rsidR="005B5493" w:rsidRPr="00B64335">
        <w:rPr>
          <w:rStyle w:val="Strong"/>
        </w:rPr>
        <w:t>: PHN stakeholder engagement</w:t>
      </w:r>
      <w:bookmarkEnd w:id="202"/>
      <w:bookmarkEnd w:id="203"/>
      <w:bookmarkEnd w:id="204"/>
    </w:p>
    <w:p w14:paraId="4B7C91A0" w14:textId="77777777" w:rsidR="00EA719F" w:rsidRPr="00DA28C1" w:rsidRDefault="00EA719F" w:rsidP="00514887">
      <w:r w:rsidRPr="000467FF">
        <w:t>This indicator has been retired from the Framework from 1 September 2024 (not required to be reported on commencing with the 2021-22 Twelve Month Performance Report</w:t>
      </w:r>
      <w:r w:rsidR="00322E71">
        <w:t>).</w:t>
      </w:r>
    </w:p>
    <w:p w14:paraId="04EB8E88" w14:textId="77777777" w:rsidR="003A535E" w:rsidRPr="00B64335" w:rsidRDefault="008F7846" w:rsidP="00B64335">
      <w:pPr>
        <w:rPr>
          <w:rStyle w:val="Strong"/>
        </w:rPr>
      </w:pPr>
      <w:bookmarkStart w:id="205" w:name="_Toc517769854"/>
      <w:bookmarkStart w:id="206" w:name="_Toc517243892"/>
      <w:bookmarkStart w:id="207" w:name="_Toc517334338"/>
      <w:r w:rsidRPr="00B64335">
        <w:rPr>
          <w:rStyle w:val="Strong"/>
        </w:rPr>
        <w:t>O15</w:t>
      </w:r>
      <w:r w:rsidR="003A535E" w:rsidRPr="00B64335">
        <w:rPr>
          <w:rStyle w:val="Strong"/>
        </w:rPr>
        <w:t>: Engaging with complaints</w:t>
      </w:r>
      <w:bookmarkEnd w:id="205"/>
      <w:bookmarkEnd w:id="206"/>
      <w:bookmarkEnd w:id="207"/>
    </w:p>
    <w:p w14:paraId="5BC79DFE" w14:textId="77777777" w:rsidR="00EA719F" w:rsidRPr="00DA28C1" w:rsidRDefault="00EA719F" w:rsidP="00514887">
      <w:r w:rsidRPr="00DA28C1">
        <w:t>This indicator has been retired from the Framework</w:t>
      </w:r>
      <w:r w:rsidRPr="00716651">
        <w:t xml:space="preserve"> </w:t>
      </w:r>
      <w:r w:rsidRPr="000467FF">
        <w:t>from 1 September 2024 (not required to be reported on commencing with the 2021-22 Twelve Month Performance Report</w:t>
      </w:r>
      <w:r w:rsidR="00322E71">
        <w:t>).</w:t>
      </w:r>
    </w:p>
    <w:p w14:paraId="64C373E0" w14:textId="77777777" w:rsidR="00431AFC" w:rsidRPr="00B64335" w:rsidRDefault="00431AFC" w:rsidP="00B64335">
      <w:bookmarkStart w:id="208" w:name="_Toc522006919"/>
      <w:bookmarkStart w:id="209" w:name="_Toc522013924"/>
      <w:bookmarkEnd w:id="198"/>
      <w:r w:rsidRPr="00B64335">
        <w:br w:type="page"/>
      </w:r>
    </w:p>
    <w:p w14:paraId="33B71670" w14:textId="4FE379C6" w:rsidR="00802E78" w:rsidRDefault="00802E78" w:rsidP="00034E43">
      <w:pPr>
        <w:pStyle w:val="Heading1Orange"/>
      </w:pPr>
      <w:bookmarkStart w:id="210" w:name="_Toc176250630"/>
      <w:bookmarkStart w:id="211" w:name="_Toc197069404"/>
      <w:r w:rsidRPr="00034E43">
        <w:lastRenderedPageBreak/>
        <w:t>Version</w:t>
      </w:r>
      <w:r>
        <w:t xml:space="preserve"> History</w:t>
      </w:r>
      <w:bookmarkEnd w:id="208"/>
      <w:bookmarkEnd w:id="209"/>
      <w:bookmarkEnd w:id="210"/>
      <w:bookmarkEnd w:id="211"/>
    </w:p>
    <w:tbl>
      <w:tblPr>
        <w:tblStyle w:val="TableGrid"/>
        <w:tblW w:w="9558" w:type="dxa"/>
        <w:tblLayout w:type="fixed"/>
        <w:tblLook w:val="04A0" w:firstRow="1" w:lastRow="0" w:firstColumn="1" w:lastColumn="0" w:noHBand="0" w:noVBand="1"/>
        <w:tblCaption w:val="Version history table"/>
        <w:tblDescription w:val="This table is made up of 4 columns and 2 rows. It identifies versions and descripiton of chages with each version."/>
      </w:tblPr>
      <w:tblGrid>
        <w:gridCol w:w="1555"/>
        <w:gridCol w:w="2654"/>
        <w:gridCol w:w="2444"/>
        <w:gridCol w:w="2905"/>
      </w:tblGrid>
      <w:tr w:rsidR="00802E78" w:rsidRPr="00DC6287" w14:paraId="5686AE29" w14:textId="77777777" w:rsidTr="00FA7032">
        <w:trPr>
          <w:trHeight w:val="619"/>
          <w:tblHeader/>
        </w:trPr>
        <w:tc>
          <w:tcPr>
            <w:tcW w:w="1555" w:type="dxa"/>
            <w:shd w:val="clear" w:color="auto" w:fill="153A6E"/>
            <w:vAlign w:val="bottom"/>
          </w:tcPr>
          <w:p w14:paraId="11E4A540" w14:textId="77777777" w:rsidR="00802E78" w:rsidRPr="0082185D" w:rsidRDefault="00802E78" w:rsidP="0082185D">
            <w:pPr>
              <w:pStyle w:val="TableHeaderWhite"/>
            </w:pPr>
            <w:r w:rsidRPr="0082185D">
              <w:t>Version</w:t>
            </w:r>
          </w:p>
        </w:tc>
        <w:tc>
          <w:tcPr>
            <w:tcW w:w="2654" w:type="dxa"/>
            <w:shd w:val="clear" w:color="auto" w:fill="153A6E"/>
            <w:vAlign w:val="bottom"/>
          </w:tcPr>
          <w:p w14:paraId="0BA44492" w14:textId="77777777" w:rsidR="00802E78" w:rsidRPr="0082185D" w:rsidRDefault="00802E78" w:rsidP="0082185D">
            <w:pPr>
              <w:pStyle w:val="TableHeaderWhite"/>
            </w:pPr>
            <w:r w:rsidRPr="0082185D">
              <w:t>Description of change</w:t>
            </w:r>
          </w:p>
        </w:tc>
        <w:tc>
          <w:tcPr>
            <w:tcW w:w="2444" w:type="dxa"/>
            <w:shd w:val="clear" w:color="auto" w:fill="153A6E"/>
            <w:vAlign w:val="bottom"/>
          </w:tcPr>
          <w:p w14:paraId="37E750FC" w14:textId="77777777" w:rsidR="00802E78" w:rsidRPr="0082185D" w:rsidRDefault="00802E78" w:rsidP="0082185D">
            <w:pPr>
              <w:pStyle w:val="TableHeaderWhite"/>
            </w:pPr>
            <w:r w:rsidRPr="0082185D">
              <w:t>Author</w:t>
            </w:r>
          </w:p>
        </w:tc>
        <w:tc>
          <w:tcPr>
            <w:tcW w:w="2905" w:type="dxa"/>
            <w:shd w:val="clear" w:color="auto" w:fill="153A6E"/>
            <w:vAlign w:val="bottom"/>
          </w:tcPr>
          <w:p w14:paraId="401A9303" w14:textId="77777777" w:rsidR="00802E78" w:rsidRPr="0082185D" w:rsidRDefault="00802E78" w:rsidP="0082185D">
            <w:pPr>
              <w:pStyle w:val="TableHeaderWhite"/>
            </w:pPr>
            <w:r w:rsidRPr="0082185D">
              <w:t>Effective date</w:t>
            </w:r>
          </w:p>
        </w:tc>
      </w:tr>
      <w:tr w:rsidR="00540C17" w:rsidRPr="00DC6287" w14:paraId="5738106A" w14:textId="77777777" w:rsidTr="00FA7032">
        <w:trPr>
          <w:trHeight w:val="408"/>
        </w:trPr>
        <w:tc>
          <w:tcPr>
            <w:tcW w:w="1555" w:type="dxa"/>
          </w:tcPr>
          <w:p w14:paraId="07D42D18" w14:textId="77777777" w:rsidR="00540C17" w:rsidRPr="0082185D" w:rsidRDefault="00540C17" w:rsidP="0082185D">
            <w:r w:rsidRPr="0082185D">
              <w:t>1.0</w:t>
            </w:r>
          </w:p>
        </w:tc>
        <w:tc>
          <w:tcPr>
            <w:tcW w:w="2654" w:type="dxa"/>
          </w:tcPr>
          <w:p w14:paraId="71D2AF28" w14:textId="288D60C6" w:rsidR="00540C17" w:rsidRPr="0082185D" w:rsidRDefault="00540C17" w:rsidP="0082185D">
            <w:r w:rsidRPr="0082185D">
              <w:t>Initial release version</w:t>
            </w:r>
          </w:p>
        </w:tc>
        <w:tc>
          <w:tcPr>
            <w:tcW w:w="2444" w:type="dxa"/>
          </w:tcPr>
          <w:p w14:paraId="3A968FA3" w14:textId="7FAABE03" w:rsidR="00540C17" w:rsidRPr="0082185D" w:rsidRDefault="00370D32" w:rsidP="0082185D">
            <w:r w:rsidRPr="0082185D">
              <w:t>Department of Health and Aged Care</w:t>
            </w:r>
          </w:p>
        </w:tc>
        <w:tc>
          <w:tcPr>
            <w:tcW w:w="2905" w:type="dxa"/>
          </w:tcPr>
          <w:p w14:paraId="3D112EAA" w14:textId="77777777" w:rsidR="00540C17" w:rsidRPr="0082185D" w:rsidRDefault="00540C17" w:rsidP="0082185D">
            <w:r w:rsidRPr="0082185D">
              <w:t>1 / 7 / 18</w:t>
            </w:r>
          </w:p>
        </w:tc>
      </w:tr>
      <w:tr w:rsidR="00540C17" w:rsidRPr="00DC6287" w14:paraId="5EA0FC22" w14:textId="77777777" w:rsidTr="00FA7032">
        <w:trPr>
          <w:trHeight w:val="408"/>
        </w:trPr>
        <w:tc>
          <w:tcPr>
            <w:tcW w:w="1555" w:type="dxa"/>
          </w:tcPr>
          <w:p w14:paraId="1CDA987D" w14:textId="77777777" w:rsidR="00540C17" w:rsidRPr="0082185D" w:rsidRDefault="00540C17" w:rsidP="0082185D">
            <w:r w:rsidRPr="0082185D">
              <w:t>1.1</w:t>
            </w:r>
          </w:p>
        </w:tc>
        <w:tc>
          <w:tcPr>
            <w:tcW w:w="2654" w:type="dxa"/>
          </w:tcPr>
          <w:p w14:paraId="0918AF0F" w14:textId="77777777" w:rsidR="00540C17" w:rsidRPr="0082185D" w:rsidRDefault="00455A8C" w:rsidP="0082185D">
            <w:r w:rsidRPr="0082185D">
              <w:t>Addition of Version History, Creative Commons licence notification, clarification of performance criteria wording for indicators MH1, MH2 &amp; MH3, and the collapse of Mental Health indicators MH6 and MH7 into a single performance indicator.</w:t>
            </w:r>
          </w:p>
        </w:tc>
        <w:tc>
          <w:tcPr>
            <w:tcW w:w="2444" w:type="dxa"/>
          </w:tcPr>
          <w:p w14:paraId="1300760B" w14:textId="633A01BE" w:rsidR="00540C17" w:rsidRPr="0082185D" w:rsidRDefault="00370D32" w:rsidP="0082185D">
            <w:r w:rsidRPr="0082185D">
              <w:t>Department of Health and Aged Care</w:t>
            </w:r>
          </w:p>
        </w:tc>
        <w:tc>
          <w:tcPr>
            <w:tcW w:w="2905" w:type="dxa"/>
          </w:tcPr>
          <w:p w14:paraId="13BD4231" w14:textId="60FF1877" w:rsidR="00540C17" w:rsidRPr="0082185D" w:rsidRDefault="00AB00D3" w:rsidP="0082185D">
            <w:r w:rsidRPr="0082185D">
              <w:t>1 / 9 / 18 (applies to annual reports up to and including 2020-21)</w:t>
            </w:r>
          </w:p>
        </w:tc>
      </w:tr>
      <w:tr w:rsidR="00F179A4" w:rsidRPr="00DC6287" w14:paraId="68FDE461" w14:textId="77777777" w:rsidTr="00FA7032">
        <w:trPr>
          <w:trHeight w:val="408"/>
        </w:trPr>
        <w:tc>
          <w:tcPr>
            <w:tcW w:w="1555" w:type="dxa"/>
          </w:tcPr>
          <w:p w14:paraId="15FC65B2" w14:textId="2846624F" w:rsidR="00F179A4" w:rsidRPr="0082185D" w:rsidRDefault="00F179A4" w:rsidP="0082185D">
            <w:r w:rsidRPr="0082185D">
              <w:t>1.2</w:t>
            </w:r>
          </w:p>
        </w:tc>
        <w:tc>
          <w:tcPr>
            <w:tcW w:w="2654" w:type="dxa"/>
          </w:tcPr>
          <w:p w14:paraId="64AA915F" w14:textId="77777777" w:rsidR="00F179A4" w:rsidRPr="0082185D" w:rsidRDefault="00F179A4" w:rsidP="0082185D">
            <w:r w:rsidRPr="0082185D">
              <w:t>Updated assessment and reporting practices:</w:t>
            </w:r>
          </w:p>
          <w:p w14:paraId="7E97DD33" w14:textId="4E1F5404" w:rsidR="00F179A4" w:rsidRPr="0082185D" w:rsidRDefault="00F179A4" w:rsidP="0082185D">
            <w:r w:rsidRPr="0082185D">
              <w:t xml:space="preserve">P1: </w:t>
            </w:r>
            <w:r w:rsidR="00D74862" w:rsidRPr="0082185D">
              <w:t>updated reporting cadence</w:t>
            </w:r>
            <w:r w:rsidR="00E827AC" w:rsidRPr="0082185D">
              <w:t>;</w:t>
            </w:r>
            <w:r w:rsidR="00D74862" w:rsidRPr="0082185D">
              <w:t xml:space="preserve"> </w:t>
            </w:r>
            <w:r w:rsidRPr="0082185D">
              <w:t>removed Capable Organisations outcome theme.</w:t>
            </w:r>
          </w:p>
          <w:p w14:paraId="230DD8C0" w14:textId="77777777" w:rsidR="00F179A4" w:rsidRPr="0082185D" w:rsidRDefault="00F179A4" w:rsidP="0082185D">
            <w:r w:rsidRPr="0082185D">
              <w:t>P3: removed performance criteria.</w:t>
            </w:r>
          </w:p>
          <w:p w14:paraId="72A84C82" w14:textId="472A999B" w:rsidR="00CB5A4D" w:rsidRPr="0082185D" w:rsidRDefault="00CB5A4D" w:rsidP="0082185D">
            <w:r w:rsidRPr="0082185D">
              <w:t>P4: removed Capable Organisations outcome theme.</w:t>
            </w:r>
          </w:p>
          <w:p w14:paraId="654114E4" w14:textId="4B74113B" w:rsidR="00F179A4" w:rsidRPr="0082185D" w:rsidRDefault="00F179A4" w:rsidP="0082185D">
            <w:r w:rsidRPr="0082185D">
              <w:t xml:space="preserve">P5: removed performance criteria; updated data source; removed pharmacies and allied health service practices from </w:t>
            </w:r>
            <w:r w:rsidR="00442192" w:rsidRPr="0082185D">
              <w:t>the indicator</w:t>
            </w:r>
            <w:r w:rsidRPr="0082185D">
              <w:t>.</w:t>
            </w:r>
          </w:p>
          <w:p w14:paraId="0CCB5230" w14:textId="4480E412" w:rsidR="00F179A4" w:rsidRPr="0082185D" w:rsidRDefault="00F179A4" w:rsidP="0082185D">
            <w:r w:rsidRPr="0082185D">
              <w:t xml:space="preserve">P6: </w:t>
            </w:r>
            <w:r w:rsidR="00783975" w:rsidRPr="0082185D">
              <w:t xml:space="preserve">clarified wording in </w:t>
            </w:r>
            <w:r w:rsidR="003A6ED9" w:rsidRPr="0082185D">
              <w:t xml:space="preserve">purpose; </w:t>
            </w:r>
            <w:r w:rsidRPr="0082185D">
              <w:t xml:space="preserve">removed performance criteria; updated data source; revised limitations. </w:t>
            </w:r>
          </w:p>
          <w:p w14:paraId="6F1CA95E" w14:textId="5B3086D3" w:rsidR="00F179A4" w:rsidRPr="0082185D" w:rsidRDefault="00F179A4" w:rsidP="0082185D">
            <w:r w:rsidRPr="0082185D">
              <w:t>P7: updated name &amp; terminology; updated definition and purpose; removed performance criteria;</w:t>
            </w:r>
            <w:r w:rsidR="00552C06" w:rsidRPr="0082185D">
              <w:t xml:space="preserve"> updated calculation;</w:t>
            </w:r>
            <w:r w:rsidRPr="0082185D">
              <w:t xml:space="preserve"> revised limitations.</w:t>
            </w:r>
          </w:p>
          <w:p w14:paraId="399A6240" w14:textId="77777777" w:rsidR="00F179A4" w:rsidRPr="0082185D" w:rsidRDefault="00F179A4" w:rsidP="0082185D">
            <w:r w:rsidRPr="0082185D">
              <w:t>P8: indicator retired from Framework.</w:t>
            </w:r>
          </w:p>
          <w:p w14:paraId="72B808B0" w14:textId="1E297103" w:rsidR="00F179A4" w:rsidRPr="0082185D" w:rsidRDefault="00F179A4" w:rsidP="0082185D">
            <w:r w:rsidRPr="0082185D">
              <w:lastRenderedPageBreak/>
              <w:t>P9: renamed; updated definition and purpose;</w:t>
            </w:r>
            <w:r w:rsidR="00775128" w:rsidRPr="0082185D">
              <w:t xml:space="preserve"> revised wording in outcome theme;</w:t>
            </w:r>
            <w:r w:rsidRPr="0082185D">
              <w:t xml:space="preserve"> removed disaggregation by First Nations status; removed performance criteria; updated data source; updated calculation; revised limitations and additional information.</w:t>
            </w:r>
          </w:p>
          <w:p w14:paraId="1932472B" w14:textId="4C539E8E" w:rsidR="00F179A4" w:rsidRPr="0082185D" w:rsidRDefault="00F179A4" w:rsidP="0082185D">
            <w:r w:rsidRPr="0082185D">
              <w:t xml:space="preserve">P10: </w:t>
            </w:r>
            <w:r w:rsidR="00E22470" w:rsidRPr="0082185D">
              <w:t xml:space="preserve">clarified definition; </w:t>
            </w:r>
            <w:r w:rsidRPr="0082185D">
              <w:t>removed performance criteria; updated data source; clarified calculation</w:t>
            </w:r>
            <w:r w:rsidR="0018326B" w:rsidRPr="0082185D">
              <w:t>; updated limitations and additional information</w:t>
            </w:r>
            <w:r w:rsidRPr="0082185D">
              <w:t>.</w:t>
            </w:r>
          </w:p>
          <w:p w14:paraId="38E10095" w14:textId="46234824" w:rsidR="00F179A4" w:rsidRPr="0082185D" w:rsidRDefault="00F179A4" w:rsidP="0082185D">
            <w:r w:rsidRPr="0082185D">
              <w:t xml:space="preserve">P11: </w:t>
            </w:r>
            <w:r w:rsidR="0018326B" w:rsidRPr="0082185D">
              <w:t xml:space="preserve">indicator retired from </w:t>
            </w:r>
            <w:r w:rsidR="0045666A" w:rsidRPr="0082185D">
              <w:t>F</w:t>
            </w:r>
            <w:r w:rsidR="0018326B" w:rsidRPr="0082185D">
              <w:t>ramework.</w:t>
            </w:r>
          </w:p>
          <w:p w14:paraId="2AE0244E" w14:textId="523015F7" w:rsidR="00F179A4" w:rsidRPr="0082185D" w:rsidRDefault="00F179A4" w:rsidP="0082185D">
            <w:r w:rsidRPr="0082185D">
              <w:t xml:space="preserve">P12: updated definition; removed disaggregation by First Nations status and Coordinated Care outcome theme; removed performance criteria; </w:t>
            </w:r>
            <w:r w:rsidR="00E27769" w:rsidRPr="0082185D">
              <w:t>updated data source</w:t>
            </w:r>
            <w:r w:rsidR="006353C3" w:rsidRPr="0082185D">
              <w:t xml:space="preserve"> and calculation; </w:t>
            </w:r>
            <w:r w:rsidRPr="0082185D">
              <w:t>revised limitations</w:t>
            </w:r>
            <w:r w:rsidR="006353C3" w:rsidRPr="0082185D">
              <w:t>; removed additional information</w:t>
            </w:r>
            <w:r w:rsidRPr="0082185D">
              <w:t xml:space="preserve">. </w:t>
            </w:r>
          </w:p>
          <w:p w14:paraId="73DD8572" w14:textId="1CC32ED9" w:rsidR="00F179A4" w:rsidRPr="0082185D" w:rsidRDefault="00F179A4" w:rsidP="0082185D">
            <w:r w:rsidRPr="0082185D">
              <w:t xml:space="preserve">P13: </w:t>
            </w:r>
            <w:r w:rsidR="00442C5B" w:rsidRPr="0082185D">
              <w:t xml:space="preserve">slightly updated definition text; </w:t>
            </w:r>
            <w:r w:rsidRPr="0082185D">
              <w:t>updated purpose; removed performance criteria</w:t>
            </w:r>
            <w:r w:rsidR="003B1FC0" w:rsidRPr="0082185D">
              <w:t>; updated data source</w:t>
            </w:r>
            <w:r w:rsidRPr="0082185D">
              <w:t>.</w:t>
            </w:r>
          </w:p>
          <w:p w14:paraId="1880043B" w14:textId="710D907D" w:rsidR="00D56D0A" w:rsidRPr="0082185D" w:rsidRDefault="00D56D0A" w:rsidP="0082185D">
            <w:r w:rsidRPr="0082185D">
              <w:t>Updated additional information in all Mental Health (MH) indicators.</w:t>
            </w:r>
          </w:p>
          <w:p w14:paraId="51868A87" w14:textId="2418496D" w:rsidR="002B554A" w:rsidRPr="0082185D" w:rsidRDefault="002B554A" w:rsidP="0082185D">
            <w:r w:rsidRPr="0082185D">
              <w:t>MH4: updated purpose and performance criteria.</w:t>
            </w:r>
          </w:p>
          <w:p w14:paraId="145560B3" w14:textId="77777777" w:rsidR="00F179A4" w:rsidRPr="0082185D" w:rsidRDefault="00F179A4" w:rsidP="0082185D">
            <w:r w:rsidRPr="0082185D">
              <w:t>Updated names of all Indigenous Health (IH) indicators to First Nations (FN).</w:t>
            </w:r>
          </w:p>
          <w:p w14:paraId="0FF2B4AB" w14:textId="2BF30B21" w:rsidR="005824AD" w:rsidRPr="0082185D" w:rsidRDefault="005824AD" w:rsidP="0082185D">
            <w:r w:rsidRPr="0082185D">
              <w:t xml:space="preserve">FN1: </w:t>
            </w:r>
            <w:r w:rsidR="00184F57" w:rsidRPr="0082185D">
              <w:t xml:space="preserve">slightly updated definition text; </w:t>
            </w:r>
            <w:r w:rsidRPr="0082185D">
              <w:t xml:space="preserve">updated </w:t>
            </w:r>
            <w:r w:rsidRPr="0082185D">
              <w:lastRenderedPageBreak/>
              <w:t>data source and calculation.</w:t>
            </w:r>
          </w:p>
          <w:p w14:paraId="2A6B774A" w14:textId="78D3967C" w:rsidR="00F179A4" w:rsidRPr="0082185D" w:rsidRDefault="00F179A4" w:rsidP="0082185D">
            <w:r w:rsidRPr="0082185D">
              <w:t xml:space="preserve">FN2: </w:t>
            </w:r>
            <w:r w:rsidR="0031399A" w:rsidRPr="0082185D">
              <w:t xml:space="preserve">updated definition; </w:t>
            </w:r>
            <w:r w:rsidRPr="0082185D">
              <w:t>clarified performance criteria.</w:t>
            </w:r>
          </w:p>
          <w:p w14:paraId="1A932100" w14:textId="339FE00D" w:rsidR="009845F2" w:rsidRPr="0082185D" w:rsidRDefault="009845F2" w:rsidP="0082185D">
            <w:r w:rsidRPr="0082185D">
              <w:t>FN3: renamed.</w:t>
            </w:r>
          </w:p>
          <w:p w14:paraId="5537907F" w14:textId="4C4729C8" w:rsidR="000F2D4F" w:rsidRPr="0082185D" w:rsidRDefault="000F2D4F" w:rsidP="0082185D">
            <w:r w:rsidRPr="0082185D">
              <w:t>FN4: clarified calculation.</w:t>
            </w:r>
          </w:p>
          <w:p w14:paraId="77CC1790" w14:textId="597B6054" w:rsidR="00F179A4" w:rsidRPr="0082185D" w:rsidRDefault="00F179A4" w:rsidP="0082185D">
            <w:r w:rsidRPr="0082185D">
              <w:t>FN5: renamed</w:t>
            </w:r>
            <w:r w:rsidR="00787FBA" w:rsidRPr="0082185D">
              <w:t>; slightly updated definition text</w:t>
            </w:r>
            <w:r w:rsidRPr="0082185D">
              <w:t>.</w:t>
            </w:r>
          </w:p>
          <w:p w14:paraId="6BB0ECAA" w14:textId="24079DAC" w:rsidR="00F179A4" w:rsidRPr="0082185D" w:rsidRDefault="00F179A4" w:rsidP="0082185D">
            <w:r w:rsidRPr="0082185D">
              <w:t>FN8: updated definition; removed performance criteria; updated data source; updated calculation</w:t>
            </w:r>
            <w:r w:rsidR="00287B6D" w:rsidRPr="0082185D">
              <w:t>.</w:t>
            </w:r>
          </w:p>
          <w:p w14:paraId="7D74319C" w14:textId="77777777" w:rsidR="00F179A4" w:rsidRPr="0082185D" w:rsidRDefault="00F179A4" w:rsidP="0082185D">
            <w:r w:rsidRPr="0082185D">
              <w:t>PH1: updated performance criteria; clarified data source and calculation.</w:t>
            </w:r>
          </w:p>
          <w:p w14:paraId="6DA0379D" w14:textId="569687B8" w:rsidR="00F179A4" w:rsidRPr="0082185D" w:rsidRDefault="00F179A4" w:rsidP="0082185D">
            <w:r w:rsidRPr="0082185D">
              <w:t>PH2: updated definition; removed performance criteria; updated data source; updated calculation; updated limitations.</w:t>
            </w:r>
          </w:p>
          <w:p w14:paraId="6F1051DB" w14:textId="031A55A9" w:rsidR="00ED1BE2" w:rsidRPr="0082185D" w:rsidRDefault="00ED1BE2" w:rsidP="0082185D">
            <w:r w:rsidRPr="0082185D">
              <w:t>W1: clarified calculation.</w:t>
            </w:r>
          </w:p>
          <w:p w14:paraId="36826B4F" w14:textId="77777777" w:rsidR="00F179A4" w:rsidRPr="0082185D" w:rsidRDefault="00F179A4" w:rsidP="0082185D">
            <w:r w:rsidRPr="0082185D">
              <w:t>DH1: clarified reporting.</w:t>
            </w:r>
          </w:p>
          <w:p w14:paraId="445B977B" w14:textId="0F28A9BB" w:rsidR="00F179A4" w:rsidRPr="0082185D" w:rsidRDefault="00F179A4" w:rsidP="0082185D">
            <w:r w:rsidRPr="0082185D">
              <w:t xml:space="preserve">DH2: </w:t>
            </w:r>
            <w:r w:rsidR="00AB665B" w:rsidRPr="0082185D">
              <w:t xml:space="preserve">revised indicator to only </w:t>
            </w:r>
            <w:r w:rsidR="00F21A01" w:rsidRPr="0082185D">
              <w:t xml:space="preserve">use general practice data; </w:t>
            </w:r>
            <w:r w:rsidRPr="0082185D">
              <w:t>updated data source</w:t>
            </w:r>
            <w:r w:rsidR="008A108E" w:rsidRPr="0082185D">
              <w:t xml:space="preserve">, </w:t>
            </w:r>
            <w:r w:rsidRPr="0082185D">
              <w:t>calculation</w:t>
            </w:r>
            <w:r w:rsidR="008A108E" w:rsidRPr="0082185D">
              <w:t>, and additional information</w:t>
            </w:r>
            <w:r w:rsidRPr="0082185D">
              <w:t>.</w:t>
            </w:r>
          </w:p>
          <w:p w14:paraId="08CF251A" w14:textId="77777777" w:rsidR="00F179A4" w:rsidRPr="0082185D" w:rsidRDefault="00F179A4" w:rsidP="0082185D">
            <w:r w:rsidRPr="0082185D">
              <w:t>AC1: updated name &amp; terminology throughout; updated definition; removed performance criteria; updated data source; clarified calculation.</w:t>
            </w:r>
          </w:p>
          <w:p w14:paraId="0DCEFAA4" w14:textId="77777777" w:rsidR="00F179A4" w:rsidRPr="0082185D" w:rsidRDefault="00F179A4" w:rsidP="0082185D">
            <w:r w:rsidRPr="0082185D">
              <w:t>AC2: changed age group from 75+ to 65+; updated definition; removed performance criteria; updated data source; updated calculation; updated additional information.</w:t>
            </w:r>
          </w:p>
          <w:p w14:paraId="1BB488D1" w14:textId="1B16477E" w:rsidR="00FE1837" w:rsidRPr="0082185D" w:rsidRDefault="00FE1837" w:rsidP="0082185D">
            <w:r w:rsidRPr="0082185D">
              <w:lastRenderedPageBreak/>
              <w:t>AOD1: updated data source.</w:t>
            </w:r>
          </w:p>
          <w:p w14:paraId="58720ECA" w14:textId="77777777" w:rsidR="00F179A4" w:rsidRPr="0082185D" w:rsidRDefault="00F179A4" w:rsidP="0082185D">
            <w:r w:rsidRPr="0082185D">
              <w:t>Indicators O1-O6, O8-O11, and O14-O15 - indicators retired from Framework.</w:t>
            </w:r>
          </w:p>
          <w:p w14:paraId="2AAE317A" w14:textId="5AD31220" w:rsidR="00F179A4" w:rsidRPr="0082185D" w:rsidRDefault="00F179A4" w:rsidP="0082185D">
            <w:r w:rsidRPr="0082185D">
              <w:t xml:space="preserve">O7: updated </w:t>
            </w:r>
            <w:r w:rsidR="006B50F5" w:rsidRPr="0082185D">
              <w:t>definition, p</w:t>
            </w:r>
            <w:r w:rsidRPr="0082185D">
              <w:t>urpose</w:t>
            </w:r>
            <w:r w:rsidR="00853C58" w:rsidRPr="0082185D">
              <w:t xml:space="preserve">, </w:t>
            </w:r>
            <w:r w:rsidR="000A4DDB" w:rsidRPr="0082185D">
              <w:t>performance criteria, data source, and calculation</w:t>
            </w:r>
            <w:r w:rsidRPr="0082185D">
              <w:t>; removed outcome theme.</w:t>
            </w:r>
          </w:p>
          <w:p w14:paraId="77ACE3D8" w14:textId="3A62BDCF" w:rsidR="00F179A4" w:rsidRPr="0082185D" w:rsidRDefault="00F179A4" w:rsidP="0082185D">
            <w:r w:rsidRPr="0082185D">
              <w:t xml:space="preserve">O12: </w:t>
            </w:r>
            <w:r w:rsidR="0062167E" w:rsidRPr="0082185D">
              <w:t xml:space="preserve">updated definition; </w:t>
            </w:r>
            <w:r w:rsidRPr="0082185D">
              <w:t>changed outcome theme</w:t>
            </w:r>
            <w:r w:rsidR="0062167E" w:rsidRPr="0082185D">
              <w:t>; clarified calculation</w:t>
            </w:r>
            <w:r w:rsidRPr="0082185D">
              <w:t>.</w:t>
            </w:r>
          </w:p>
          <w:p w14:paraId="3EADBD18" w14:textId="77777777" w:rsidR="00F179A4" w:rsidRPr="0082185D" w:rsidRDefault="00F179A4" w:rsidP="0082185D">
            <w:r w:rsidRPr="0082185D">
              <w:t>O13: updated purpose; removed outcome theme.</w:t>
            </w:r>
          </w:p>
          <w:p w14:paraId="0ED61E1B" w14:textId="2A3C23A7" w:rsidR="00F179A4" w:rsidRPr="0082185D" w:rsidRDefault="00F179A4" w:rsidP="0082185D">
            <w:r w:rsidRPr="0082185D">
              <w:t>Updated terminology from Aboriginal and Torres Strait Islander to First Nations peoples throughout; updated Department of Health to Department of Health and Aged care, or the Department.</w:t>
            </w:r>
          </w:p>
        </w:tc>
        <w:tc>
          <w:tcPr>
            <w:tcW w:w="2444" w:type="dxa"/>
          </w:tcPr>
          <w:p w14:paraId="474DAD60" w14:textId="600A2373" w:rsidR="00F179A4" w:rsidRPr="0082185D" w:rsidDel="00370D32" w:rsidRDefault="00F179A4" w:rsidP="0082185D">
            <w:r w:rsidRPr="0082185D">
              <w:lastRenderedPageBreak/>
              <w:t>Department of Health and Aged Care</w:t>
            </w:r>
          </w:p>
        </w:tc>
        <w:tc>
          <w:tcPr>
            <w:tcW w:w="2905" w:type="dxa"/>
          </w:tcPr>
          <w:p w14:paraId="0A01253A" w14:textId="441761BC" w:rsidR="00F179A4" w:rsidRPr="0082185D" w:rsidRDefault="00F179A4" w:rsidP="0082185D">
            <w:r w:rsidRPr="0082185D">
              <w:t>1 / 9 / 24 (applies to the Primary Health Network Program Annual Performance Report 2021-22)</w:t>
            </w:r>
          </w:p>
        </w:tc>
      </w:tr>
    </w:tbl>
    <w:p w14:paraId="60F5963E" w14:textId="77777777" w:rsidR="00540C17" w:rsidRDefault="00802E78" w:rsidP="00802E78">
      <w:r>
        <w:lastRenderedPageBreak/>
        <w:br w:type="page"/>
      </w:r>
    </w:p>
    <w:p w14:paraId="4891A5F5" w14:textId="4CF4D62D" w:rsidR="00802E78" w:rsidRPr="008A6671" w:rsidRDefault="00802E78" w:rsidP="003B0D60">
      <w:r w:rsidRPr="008A6671">
        <w:lastRenderedPageBreak/>
        <w:t>© Commonwealth of Australia as represented by the Department of Health</w:t>
      </w:r>
      <w:r w:rsidR="00370D32" w:rsidRPr="008A6671">
        <w:t xml:space="preserve"> and Aged Care</w:t>
      </w:r>
      <w:r w:rsidRPr="008A6671">
        <w:t xml:space="preserve"> </w:t>
      </w:r>
      <w:r w:rsidR="00D328F0">
        <w:t>2024</w:t>
      </w:r>
    </w:p>
    <w:p w14:paraId="16989541" w14:textId="77777777" w:rsidR="00802E78" w:rsidRPr="00B80E97" w:rsidRDefault="00802E78" w:rsidP="003B0D60">
      <w:r w:rsidRPr="008A6671">
        <w:t>Creative Commons Licence</w:t>
      </w:r>
    </w:p>
    <w:p w14:paraId="76A28BA4" w14:textId="77777777" w:rsidR="00802E78" w:rsidRPr="008A6671" w:rsidRDefault="00802E78" w:rsidP="00802E78">
      <w:r w:rsidRPr="003B0D60">
        <w:rPr>
          <w:noProof/>
          <w:lang w:eastAsia="en-AU"/>
        </w:rPr>
        <w:drawing>
          <wp:inline distT="0" distB="0" distL="0" distR="0" wp14:anchorId="51106AE6" wp14:editId="0D818503">
            <wp:extent cx="1026160" cy="356870"/>
            <wp:effectExtent l="0" t="0" r="2540" b="5080"/>
            <wp:docPr id="2" name="Picture 2" descr="cid:image001.png@01D10CD1.33FE7F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0CD1.33FE7F70"/>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1026160" cy="356870"/>
                    </a:xfrm>
                    <a:prstGeom prst="rect">
                      <a:avLst/>
                    </a:prstGeom>
                    <a:noFill/>
                    <a:ln>
                      <a:noFill/>
                    </a:ln>
                  </pic:spPr>
                </pic:pic>
              </a:graphicData>
            </a:graphic>
          </wp:inline>
        </w:drawing>
      </w:r>
    </w:p>
    <w:p w14:paraId="54D41926" w14:textId="77777777" w:rsidR="00802E78" w:rsidRPr="008A6671" w:rsidRDefault="00802E78" w:rsidP="003B0D60">
      <w:r w:rsidRPr="008A6671">
        <w:t xml:space="preserve">This publication is licensed under the Creative Commons Attribution 4.0 International Public License available from </w:t>
      </w:r>
      <w:hyperlink r:id="rId23" w:history="1">
        <w:r w:rsidRPr="00E5087B">
          <w:rPr>
            <w:rStyle w:val="Hyperlink"/>
            <w:rFonts w:cs="Arial"/>
            <w:szCs w:val="22"/>
          </w:rPr>
          <w:t>https://creativecommons.org/licenses/by/4.0/legalcode</w:t>
        </w:r>
      </w:hyperlink>
      <w:r w:rsidRPr="00B64335">
        <w:rPr>
          <w:rStyle w:val="Hyperlink"/>
        </w:rPr>
        <w:t xml:space="preserve"> </w:t>
      </w:r>
      <w:r w:rsidRPr="008A6671">
        <w:t xml:space="preserve">(“Licence”). You must read and understand the Licence before using any material from this publication. </w:t>
      </w:r>
    </w:p>
    <w:p w14:paraId="67D5A955" w14:textId="77777777" w:rsidR="00802E78" w:rsidRPr="008A6671" w:rsidRDefault="00802E78" w:rsidP="003B0D60">
      <w:r w:rsidRPr="008A6671">
        <w:t>Restrictions</w:t>
      </w:r>
    </w:p>
    <w:p w14:paraId="0ACE1C9D" w14:textId="77777777" w:rsidR="00802E78" w:rsidRPr="008A6671" w:rsidRDefault="00802E78" w:rsidP="003B0D60">
      <w:r w:rsidRPr="008A6671">
        <w:t xml:space="preserve">The Licence may not give you all the permissions necessary for your intended use. For example, other rights (such as publicity, privacy and moral rights) may limit how you use the material found in this publication.  </w:t>
      </w:r>
    </w:p>
    <w:p w14:paraId="202C7ABE" w14:textId="5BD0A2E2" w:rsidR="00802E78" w:rsidRPr="008A6671" w:rsidRDefault="00802E78" w:rsidP="003B0D60">
      <w:r w:rsidRPr="008A6671">
        <w:t>The Licence does not cover, and there is no permission given for, use of any of the following material found in this publication:</w:t>
      </w:r>
    </w:p>
    <w:p w14:paraId="656D9E57" w14:textId="77777777" w:rsidR="00802E78" w:rsidRPr="008A6671" w:rsidRDefault="00802E78" w:rsidP="00716651">
      <w:pPr>
        <w:pStyle w:val="ListBullet"/>
      </w:pPr>
      <w:r w:rsidRPr="008A6671">
        <w:t>the Commonwealth Coat of Arms. (</w:t>
      </w:r>
      <w:proofErr w:type="gramStart"/>
      <w:r w:rsidRPr="008A6671">
        <w:t>by</w:t>
      </w:r>
      <w:proofErr w:type="gramEnd"/>
      <w:r w:rsidRPr="008A6671">
        <w:t xml:space="preserve"> way of information, the terms under which the Coat of Arms may be used can be found on the Department of Prime Minister and Cabinet website </w:t>
      </w:r>
      <w:r w:rsidRPr="00B64335">
        <w:rPr>
          <w:rStyle w:val="Hyperlink"/>
        </w:rPr>
        <w:t>http://www.dpmc.gov.au/government/commonwealth-coat-arms</w:t>
      </w:r>
      <w:proofErr w:type="gramStart"/>
      <w:r w:rsidRPr="008A6671">
        <w:t>);</w:t>
      </w:r>
      <w:proofErr w:type="gramEnd"/>
    </w:p>
    <w:p w14:paraId="39606F36" w14:textId="77777777" w:rsidR="00802E78" w:rsidRPr="008A6671" w:rsidRDefault="00802E78" w:rsidP="00716651">
      <w:pPr>
        <w:pStyle w:val="ListBullet"/>
      </w:pPr>
      <w:r w:rsidRPr="008A6671">
        <w:t xml:space="preserve">any logos and </w:t>
      </w:r>
      <w:proofErr w:type="gramStart"/>
      <w:r w:rsidRPr="008A6671">
        <w:t>trademarks;</w:t>
      </w:r>
      <w:proofErr w:type="gramEnd"/>
    </w:p>
    <w:p w14:paraId="43972AE8" w14:textId="77777777" w:rsidR="00802E78" w:rsidRPr="008A6671" w:rsidRDefault="00802E78" w:rsidP="00716651">
      <w:pPr>
        <w:pStyle w:val="ListBullet"/>
      </w:pPr>
      <w:r w:rsidRPr="008A6671">
        <w:t xml:space="preserve">any photographs and </w:t>
      </w:r>
      <w:proofErr w:type="gramStart"/>
      <w:r w:rsidRPr="008A6671">
        <w:t>images;</w:t>
      </w:r>
      <w:proofErr w:type="gramEnd"/>
      <w:r w:rsidRPr="008A6671">
        <w:t xml:space="preserve"> </w:t>
      </w:r>
    </w:p>
    <w:p w14:paraId="1955DA47" w14:textId="77777777" w:rsidR="00802E78" w:rsidRPr="008A6671" w:rsidRDefault="00802E78" w:rsidP="00716651">
      <w:pPr>
        <w:pStyle w:val="ListBullet"/>
      </w:pPr>
      <w:r w:rsidRPr="008A6671">
        <w:t>any signatures; and</w:t>
      </w:r>
    </w:p>
    <w:p w14:paraId="0DA3A106" w14:textId="77777777" w:rsidR="00802E78" w:rsidRPr="008A6671" w:rsidRDefault="00802E78" w:rsidP="00716651">
      <w:pPr>
        <w:pStyle w:val="ListBullet"/>
      </w:pPr>
      <w:r w:rsidRPr="008A6671">
        <w:t>any material belonging to third parties.</w:t>
      </w:r>
    </w:p>
    <w:p w14:paraId="596524BE" w14:textId="77777777" w:rsidR="00802E78" w:rsidRPr="008A6671" w:rsidRDefault="00802E78" w:rsidP="003B0D60">
      <w:r w:rsidRPr="008A6671">
        <w:t>Attribution</w:t>
      </w:r>
    </w:p>
    <w:p w14:paraId="183F6465" w14:textId="43E29D8F" w:rsidR="00802E78" w:rsidRPr="008A6671" w:rsidRDefault="00802E78" w:rsidP="003B0D60">
      <w:r w:rsidRPr="008A6671">
        <w:t>Without limiting your obligations under the Licence, the Department of Health</w:t>
      </w:r>
      <w:r w:rsidR="00370D32" w:rsidRPr="008A6671">
        <w:t xml:space="preserve"> and Aged Care</w:t>
      </w:r>
      <w:r w:rsidRPr="008A6671">
        <w:t xml:space="preserve"> requests that you attribute this publication in your work. Any reasonable form of words may be used </w:t>
      </w:r>
      <w:proofErr w:type="gramStart"/>
      <w:r w:rsidRPr="008A6671">
        <w:t>provided that</w:t>
      </w:r>
      <w:proofErr w:type="gramEnd"/>
      <w:r w:rsidRPr="008A6671">
        <w:t xml:space="preserve"> you:</w:t>
      </w:r>
    </w:p>
    <w:p w14:paraId="52FB2239" w14:textId="77777777" w:rsidR="00802E78" w:rsidRPr="008A6671" w:rsidRDefault="00802E78" w:rsidP="00716651">
      <w:pPr>
        <w:pStyle w:val="ListBullet"/>
      </w:pPr>
      <w:r w:rsidRPr="008A6671">
        <w:t xml:space="preserve">include a reference to this publication and </w:t>
      </w:r>
      <w:proofErr w:type="gramStart"/>
      <w:r w:rsidRPr="008A6671">
        <w:t>where</w:t>
      </w:r>
      <w:proofErr w:type="gramEnd"/>
      <w:r w:rsidRPr="008A6671">
        <w:t xml:space="preserve">, practicable, the relevant page </w:t>
      </w:r>
      <w:proofErr w:type="gramStart"/>
      <w:r w:rsidRPr="008A6671">
        <w:t>numbers;</w:t>
      </w:r>
      <w:proofErr w:type="gramEnd"/>
      <w:r w:rsidRPr="008A6671">
        <w:t xml:space="preserve"> </w:t>
      </w:r>
    </w:p>
    <w:p w14:paraId="075CD301" w14:textId="77777777" w:rsidR="00802E78" w:rsidRPr="008A6671" w:rsidRDefault="00802E78" w:rsidP="00716651">
      <w:pPr>
        <w:pStyle w:val="ListBullet"/>
      </w:pPr>
      <w:r w:rsidRPr="008A6671">
        <w:t xml:space="preserve">make it clear that you have permission to use the material under the Creative Commons Attribution 4.0 International Public </w:t>
      </w:r>
      <w:proofErr w:type="gramStart"/>
      <w:r w:rsidRPr="008A6671">
        <w:t>License;</w:t>
      </w:r>
      <w:proofErr w:type="gramEnd"/>
    </w:p>
    <w:p w14:paraId="0F178F3B" w14:textId="77777777" w:rsidR="00802E78" w:rsidRPr="008A6671" w:rsidRDefault="00802E78" w:rsidP="00716651">
      <w:pPr>
        <w:pStyle w:val="ListBullet"/>
      </w:pPr>
      <w:r w:rsidRPr="008A6671">
        <w:t xml:space="preserve">make it clear </w:t>
      </w:r>
      <w:proofErr w:type="gramStart"/>
      <w:r w:rsidRPr="008A6671">
        <w:t>whether or not</w:t>
      </w:r>
      <w:proofErr w:type="gramEnd"/>
      <w:r w:rsidRPr="008A6671">
        <w:t xml:space="preserve"> you have changed the material used from this </w:t>
      </w:r>
      <w:proofErr w:type="gramStart"/>
      <w:r w:rsidRPr="008A6671">
        <w:t>publication;</w:t>
      </w:r>
      <w:proofErr w:type="gramEnd"/>
      <w:r w:rsidRPr="008A6671">
        <w:t xml:space="preserve"> </w:t>
      </w:r>
    </w:p>
    <w:p w14:paraId="15DE70F3" w14:textId="0F655FCA" w:rsidR="00802E78" w:rsidRPr="008A6671" w:rsidRDefault="00802E78" w:rsidP="00716651">
      <w:pPr>
        <w:pStyle w:val="ListBullet"/>
      </w:pPr>
      <w:r w:rsidRPr="008A6671">
        <w:t>include a copyright notice in relation to the material used. In the case of no change to the material, the words “© Commonwealth of Australia (Department of Health</w:t>
      </w:r>
      <w:r w:rsidR="00370D32" w:rsidRPr="008A6671">
        <w:t xml:space="preserve"> and Aged Care</w:t>
      </w:r>
      <w:r w:rsidRPr="008A6671">
        <w:t>) 2018” may be used. In the case where the material has been changed or adapted, the words: “Based on Commonwealth of Australia (Department of Health</w:t>
      </w:r>
      <w:r w:rsidR="00370D32" w:rsidRPr="008A6671">
        <w:t xml:space="preserve"> and Aged Care</w:t>
      </w:r>
      <w:r w:rsidRPr="008A6671">
        <w:t>) material” may be used; and</w:t>
      </w:r>
    </w:p>
    <w:p w14:paraId="119FDBB1" w14:textId="26CA0007" w:rsidR="00802E78" w:rsidRPr="008A6671" w:rsidRDefault="00802E78" w:rsidP="00716651">
      <w:pPr>
        <w:pStyle w:val="ListBullet"/>
      </w:pPr>
      <w:r w:rsidRPr="008A6671">
        <w:t>do not suggest that the Department of Health</w:t>
      </w:r>
      <w:r w:rsidR="00370D32" w:rsidRPr="008A6671">
        <w:t xml:space="preserve"> and Aged Care</w:t>
      </w:r>
      <w:r w:rsidRPr="008A6671">
        <w:t xml:space="preserve"> endorses you or your use of the material.</w:t>
      </w:r>
    </w:p>
    <w:p w14:paraId="3CBBDEBB" w14:textId="77777777" w:rsidR="00802E78" w:rsidRPr="00716651" w:rsidRDefault="00802E78" w:rsidP="00716651">
      <w:r w:rsidRPr="00716651">
        <w:t>Enquiries</w:t>
      </w:r>
    </w:p>
    <w:p w14:paraId="0E5C8613" w14:textId="7DED2D43" w:rsidR="00802E78" w:rsidRPr="00B64335" w:rsidRDefault="00802E78" w:rsidP="00802E78">
      <w:pPr>
        <w:rPr>
          <w:rStyle w:val="Hyperlink"/>
        </w:rPr>
      </w:pPr>
      <w:r w:rsidRPr="008A6671">
        <w:t>Enquiries regarding any other use of this publication should be addressed to the Branch Manager, Communication Branch, Department of Health</w:t>
      </w:r>
      <w:r w:rsidR="00370D32" w:rsidRPr="008A6671">
        <w:t xml:space="preserve"> and Aged Care</w:t>
      </w:r>
      <w:r w:rsidRPr="008A6671">
        <w:t xml:space="preserve">, GPO Box 9848, Canberra ACT 2601, or via e-mail to </w:t>
      </w:r>
      <w:hyperlink r:id="rId24" w:history="1">
        <w:r w:rsidRPr="00E5087B">
          <w:rPr>
            <w:rStyle w:val="Hyperlink"/>
            <w:rFonts w:cs="Arial"/>
            <w:szCs w:val="22"/>
          </w:rPr>
          <w:t>copyright@health.gov.au</w:t>
        </w:r>
      </w:hyperlink>
    </w:p>
    <w:sectPr w:rsidR="00802E78" w:rsidRPr="00B64335" w:rsidSect="00716651">
      <w:footerReference w:type="default" r:id="rId25"/>
      <w:footnotePr>
        <w:numRestart w:val="eachPage"/>
      </w:footnotePr>
      <w:pgSz w:w="11907" w:h="16839" w:code="9"/>
      <w:pgMar w:top="1134" w:right="1080" w:bottom="1276" w:left="1080" w:header="850"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3EA0C" w14:textId="77777777" w:rsidR="00437D54" w:rsidRDefault="00437D54" w:rsidP="00E05D0D">
      <w:r>
        <w:separator/>
      </w:r>
    </w:p>
    <w:p w14:paraId="05D6A1E9" w14:textId="77777777" w:rsidR="00437D54" w:rsidRDefault="00437D54"/>
  </w:endnote>
  <w:endnote w:type="continuationSeparator" w:id="0">
    <w:p w14:paraId="337E851A" w14:textId="77777777" w:rsidR="00437D54" w:rsidRDefault="00437D54" w:rsidP="00E05D0D">
      <w:r>
        <w:continuationSeparator/>
      </w:r>
    </w:p>
    <w:p w14:paraId="17C50B91" w14:textId="77777777" w:rsidR="00437D54" w:rsidRDefault="00437D54"/>
  </w:endnote>
  <w:endnote w:type="continuationNotice" w:id="1">
    <w:p w14:paraId="6CB72C13" w14:textId="77777777" w:rsidR="00437D54" w:rsidRDefault="00437D54" w:rsidP="00E05D0D"/>
    <w:p w14:paraId="4A22D867" w14:textId="77777777" w:rsidR="00437D54" w:rsidRDefault="00437D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A2C1E" w14:textId="224DF8AB" w:rsidR="00353071" w:rsidRDefault="004C43F9">
    <w:pPr>
      <w:pStyle w:val="Footer"/>
    </w:pPr>
    <w:r>
      <w:t xml:space="preserve">Page |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52DBC1" w14:textId="77777777" w:rsidR="00437D54" w:rsidRDefault="00437D54" w:rsidP="00B64335">
      <w:r>
        <w:separator/>
      </w:r>
    </w:p>
  </w:footnote>
  <w:footnote w:type="continuationSeparator" w:id="0">
    <w:p w14:paraId="3F583846" w14:textId="77777777" w:rsidR="00437D54" w:rsidRDefault="00437D54" w:rsidP="00E05D0D">
      <w:r>
        <w:continuationSeparator/>
      </w:r>
    </w:p>
    <w:p w14:paraId="3673A587" w14:textId="77777777" w:rsidR="00437D54" w:rsidRDefault="00437D54"/>
  </w:footnote>
  <w:footnote w:type="continuationNotice" w:id="1">
    <w:p w14:paraId="1CC85544" w14:textId="77777777" w:rsidR="00437D54" w:rsidRDefault="00437D54" w:rsidP="00E05D0D"/>
    <w:p w14:paraId="4C7BD596" w14:textId="77777777" w:rsidR="00437D54" w:rsidRDefault="00437D54"/>
  </w:footnote>
  <w:footnote w:id="2">
    <w:p w14:paraId="026E0A93" w14:textId="1DF2C433" w:rsidR="00E5778D" w:rsidRPr="00F82232" w:rsidRDefault="00E5778D">
      <w:r>
        <w:rPr>
          <w:rStyle w:val="FootnoteReference"/>
        </w:rPr>
        <w:footnoteRef/>
      </w:r>
      <w:r>
        <w:t xml:space="preserve"> </w:t>
      </w:r>
      <w:r w:rsidR="00570D89" w:rsidRPr="00F44396">
        <w:t>The reporting rows where PHNs are required to supply data are coloured orange as a visual cue.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50680068"/>
    <w:lvl w:ilvl="0">
      <w:start w:val="1"/>
      <w:numFmt w:val="bullet"/>
      <w:pStyle w:val="ListBullet2"/>
      <w:lvlText w:val="o"/>
      <w:lvlJc w:val="left"/>
      <w:pPr>
        <w:ind w:left="643" w:hanging="360"/>
      </w:pPr>
      <w:rPr>
        <w:rFonts w:ascii="Courier New" w:hAnsi="Courier New" w:cs="Courier New" w:hint="default"/>
      </w:rPr>
    </w:lvl>
  </w:abstractNum>
  <w:abstractNum w:abstractNumId="1" w15:restartNumberingAfterBreak="0">
    <w:nsid w:val="FFFFFF89"/>
    <w:multiLevelType w:val="singleLevel"/>
    <w:tmpl w:val="28FE05C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835FA5"/>
    <w:multiLevelType w:val="hybridMultilevel"/>
    <w:tmpl w:val="27F89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063724"/>
    <w:multiLevelType w:val="multilevel"/>
    <w:tmpl w:val="1BFCEC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3311526"/>
    <w:multiLevelType w:val="multilevel"/>
    <w:tmpl w:val="A03E09D4"/>
    <w:lvl w:ilvl="0">
      <w:start w:val="1"/>
      <w:numFmt w:val="decimal"/>
      <w:pStyle w:val="NumberList"/>
      <w:lvlText w:val="%1."/>
      <w:lvlJc w:val="left"/>
      <w:pPr>
        <w:ind w:left="360" w:hanging="360"/>
      </w:pPr>
      <w:rPr>
        <w:rFonts w:hint="default"/>
      </w:rPr>
    </w:lvl>
    <w:lvl w:ilvl="1">
      <w:start w:val="3"/>
      <w:numFmt w:val="decimal"/>
      <w:isLgl/>
      <w:lvlText w:val="%1.%2"/>
      <w:lvlJc w:val="left"/>
      <w:pPr>
        <w:ind w:left="930" w:hanging="930"/>
      </w:pPr>
      <w:rPr>
        <w:rFonts w:hint="default"/>
      </w:rPr>
    </w:lvl>
    <w:lvl w:ilvl="2">
      <w:start w:val="2"/>
      <w:numFmt w:val="decimal"/>
      <w:isLgl/>
      <w:lvlText w:val="%1.%2.%3"/>
      <w:lvlJc w:val="left"/>
      <w:pPr>
        <w:ind w:left="930" w:hanging="93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15:restartNumberingAfterBreak="0">
    <w:nsid w:val="056E041E"/>
    <w:multiLevelType w:val="hybridMultilevel"/>
    <w:tmpl w:val="53404A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6353440"/>
    <w:multiLevelType w:val="hybridMultilevel"/>
    <w:tmpl w:val="5AD06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AD1E4C"/>
    <w:multiLevelType w:val="hybridMultilevel"/>
    <w:tmpl w:val="0C845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3602463"/>
    <w:multiLevelType w:val="hybridMultilevel"/>
    <w:tmpl w:val="1CD69D84"/>
    <w:lvl w:ilvl="0" w:tplc="0C090001">
      <w:start w:val="1"/>
      <w:numFmt w:val="bullet"/>
      <w:lvlText w:val=""/>
      <w:lvlJc w:val="left"/>
      <w:pPr>
        <w:ind w:left="720" w:hanging="72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38334087"/>
    <w:multiLevelType w:val="hybridMultilevel"/>
    <w:tmpl w:val="6FB62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9AE0A89"/>
    <w:multiLevelType w:val="hybridMultilevel"/>
    <w:tmpl w:val="6EA2AE58"/>
    <w:lvl w:ilvl="0" w:tplc="03401FD6">
      <w:start w:val="1"/>
      <w:numFmt w:val="bullet"/>
      <w:pStyle w:val="Bullet1"/>
      <w:lvlText w:val=""/>
      <w:lvlJc w:val="left"/>
      <w:pPr>
        <w:tabs>
          <w:tab w:val="num" w:pos="397"/>
        </w:tabs>
        <w:ind w:left="397" w:hanging="397"/>
      </w:pPr>
      <w:rPr>
        <w:rFonts w:ascii="Symbol" w:hAnsi="Symbol" w:hint="default"/>
        <w:b w:val="0"/>
        <w:i w:val="0"/>
        <w:color w:val="000000"/>
        <w:sz w:val="2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0871E6"/>
    <w:multiLevelType w:val="hybridMultilevel"/>
    <w:tmpl w:val="4F9EC1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F122AC"/>
    <w:multiLevelType w:val="hybridMultilevel"/>
    <w:tmpl w:val="B0DEE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3917BB9"/>
    <w:multiLevelType w:val="multilevel"/>
    <w:tmpl w:val="3F528B94"/>
    <w:name w:val="NumberedLists2"/>
    <w:lvl w:ilvl="0">
      <w:start w:val="1"/>
      <w:numFmt w:val="none"/>
      <w:pStyle w:val="Text"/>
      <w:suff w:val="nothing"/>
      <w:lvlText w:val=""/>
      <w:lvlJc w:val="left"/>
      <w:pPr>
        <w:ind w:left="0" w:firstLine="0"/>
      </w:pPr>
      <w:rPr>
        <w:rFonts w:hint="default"/>
        <w:color w:val="auto"/>
      </w:rPr>
    </w:lvl>
    <w:lvl w:ilvl="1">
      <w:start w:val="1"/>
      <w:numFmt w:val="none"/>
      <w:pStyle w:val="Indent1"/>
      <w:suff w:val="nothing"/>
      <w:lvlText w:val=""/>
      <w:lvlJc w:val="left"/>
      <w:pPr>
        <w:ind w:left="284" w:firstLine="0"/>
      </w:pPr>
      <w:rPr>
        <w:rFonts w:hint="default"/>
      </w:rPr>
    </w:lvl>
    <w:lvl w:ilvl="2">
      <w:start w:val="1"/>
      <w:numFmt w:val="none"/>
      <w:pStyle w:val="Indent2"/>
      <w:suff w:val="nothing"/>
      <w:lvlText w:val=""/>
      <w:lvlJc w:val="left"/>
      <w:pPr>
        <w:ind w:left="568" w:firstLine="0"/>
      </w:pPr>
      <w:rPr>
        <w:rFonts w:hint="default"/>
      </w:rPr>
    </w:lvl>
    <w:lvl w:ilvl="3">
      <w:start w:val="1"/>
      <w:numFmt w:val="none"/>
      <w:pStyle w:val="Indent3"/>
      <w:suff w:val="nothing"/>
      <w:lvlText w:val=""/>
      <w:lvlJc w:val="left"/>
      <w:pPr>
        <w:ind w:left="852" w:firstLine="0"/>
      </w:pPr>
      <w:rPr>
        <w:rFonts w:hint="default"/>
      </w:rPr>
    </w:lvl>
    <w:lvl w:ilvl="4">
      <w:start w:val="1"/>
      <w:numFmt w:val="none"/>
      <w:pStyle w:val="Indent4"/>
      <w:suff w:val="nothing"/>
      <w:lvlText w:val=""/>
      <w:lvlJc w:val="left"/>
      <w:pPr>
        <w:ind w:left="1136" w:firstLine="0"/>
      </w:pPr>
      <w:rPr>
        <w:rFonts w:hint="default"/>
      </w:rPr>
    </w:lvl>
    <w:lvl w:ilvl="5">
      <w:start w:val="1"/>
      <w:numFmt w:val="none"/>
      <w:pStyle w:val="Indent5"/>
      <w:suff w:val="nothing"/>
      <w:lvlText w:val=""/>
      <w:lvlJc w:val="left"/>
      <w:pPr>
        <w:ind w:left="1420" w:firstLine="0"/>
      </w:pPr>
      <w:rPr>
        <w:rFonts w:hint="default"/>
      </w:rPr>
    </w:lvl>
    <w:lvl w:ilvl="6">
      <w:start w:val="1"/>
      <w:numFmt w:val="none"/>
      <w:pStyle w:val="Indent6"/>
      <w:suff w:val="nothing"/>
      <w:lvlText w:val=""/>
      <w:lvlJc w:val="left"/>
      <w:pPr>
        <w:ind w:left="1704" w:firstLine="0"/>
      </w:pPr>
      <w:rPr>
        <w:rFonts w:hint="default"/>
      </w:rPr>
    </w:lvl>
    <w:lvl w:ilvl="7">
      <w:start w:val="1"/>
      <w:numFmt w:val="none"/>
      <w:pStyle w:val="Indent7"/>
      <w:suff w:val="nothing"/>
      <w:lvlText w:val=""/>
      <w:lvlJc w:val="left"/>
      <w:pPr>
        <w:ind w:left="1988" w:firstLine="0"/>
      </w:pPr>
      <w:rPr>
        <w:rFonts w:hint="default"/>
      </w:rPr>
    </w:lvl>
    <w:lvl w:ilvl="8">
      <w:start w:val="1"/>
      <w:numFmt w:val="none"/>
      <w:pStyle w:val="Indent8"/>
      <w:suff w:val="nothing"/>
      <w:lvlText w:val=""/>
      <w:lvlJc w:val="left"/>
      <w:pPr>
        <w:ind w:left="2272" w:firstLine="0"/>
      </w:pPr>
      <w:rPr>
        <w:rFonts w:hint="default"/>
      </w:rPr>
    </w:lvl>
  </w:abstractNum>
  <w:abstractNum w:abstractNumId="15" w15:restartNumberingAfterBreak="0">
    <w:nsid w:val="69D85658"/>
    <w:multiLevelType w:val="hybridMultilevel"/>
    <w:tmpl w:val="51EC5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ABA23E2"/>
    <w:multiLevelType w:val="hybridMultilevel"/>
    <w:tmpl w:val="9A2E69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7DE5DD2"/>
    <w:multiLevelType w:val="hybridMultilevel"/>
    <w:tmpl w:val="11006AAE"/>
    <w:lvl w:ilvl="0" w:tplc="B2168648">
      <w:start w:val="1"/>
      <w:numFmt w:val="bullet"/>
      <w:pStyle w:val="ListNumber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7B276D57"/>
    <w:multiLevelType w:val="hybridMultilevel"/>
    <w:tmpl w:val="F1641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41624417">
    <w:abstractNumId w:val="1"/>
  </w:num>
  <w:num w:numId="2" w16cid:durableId="1460029136">
    <w:abstractNumId w:val="13"/>
  </w:num>
  <w:num w:numId="3" w16cid:durableId="1676492155">
    <w:abstractNumId w:val="14"/>
  </w:num>
  <w:num w:numId="4" w16cid:durableId="2066904695">
    <w:abstractNumId w:val="0"/>
  </w:num>
  <w:num w:numId="5" w16cid:durableId="1496412065">
    <w:abstractNumId w:val="17"/>
  </w:num>
  <w:num w:numId="6" w16cid:durableId="1040940292">
    <w:abstractNumId w:val="4"/>
  </w:num>
  <w:num w:numId="7" w16cid:durableId="711030200">
    <w:abstractNumId w:val="18"/>
  </w:num>
  <w:num w:numId="8" w16cid:durableId="352076133">
    <w:abstractNumId w:val="7"/>
  </w:num>
  <w:num w:numId="9" w16cid:durableId="372313480">
    <w:abstractNumId w:val="11"/>
  </w:num>
  <w:num w:numId="10" w16cid:durableId="888960300">
    <w:abstractNumId w:val="19"/>
  </w:num>
  <w:num w:numId="11" w16cid:durableId="1754620057">
    <w:abstractNumId w:val="10"/>
  </w:num>
  <w:num w:numId="12" w16cid:durableId="1624312136">
    <w:abstractNumId w:val="9"/>
  </w:num>
  <w:num w:numId="13" w16cid:durableId="1320647647">
    <w:abstractNumId w:val="2"/>
  </w:num>
  <w:num w:numId="14" w16cid:durableId="399789239">
    <w:abstractNumId w:val="12"/>
  </w:num>
  <w:num w:numId="15" w16cid:durableId="1674600923">
    <w:abstractNumId w:val="16"/>
  </w:num>
  <w:num w:numId="16" w16cid:durableId="988441979">
    <w:abstractNumId w:val="15"/>
  </w:num>
  <w:num w:numId="17" w16cid:durableId="1232229398">
    <w:abstractNumId w:val="6"/>
  </w:num>
  <w:num w:numId="18" w16cid:durableId="662705890">
    <w:abstractNumId w:val="8"/>
  </w:num>
  <w:num w:numId="19" w16cid:durableId="1615135026">
    <w:abstractNumId w:val="5"/>
  </w:num>
  <w:num w:numId="20" w16cid:durableId="424808622">
    <w:abstractNumId w:val="3"/>
  </w:num>
  <w:num w:numId="21" w16cid:durableId="1230869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58B"/>
    <w:rsid w:val="000002EB"/>
    <w:rsid w:val="000010D9"/>
    <w:rsid w:val="000017C0"/>
    <w:rsid w:val="00002D20"/>
    <w:rsid w:val="00002FE2"/>
    <w:rsid w:val="00003743"/>
    <w:rsid w:val="000037C0"/>
    <w:rsid w:val="00003EB6"/>
    <w:rsid w:val="0000494A"/>
    <w:rsid w:val="00004AC2"/>
    <w:rsid w:val="00005679"/>
    <w:rsid w:val="00005973"/>
    <w:rsid w:val="00005E9B"/>
    <w:rsid w:val="00005F87"/>
    <w:rsid w:val="00006035"/>
    <w:rsid w:val="00007471"/>
    <w:rsid w:val="000076AB"/>
    <w:rsid w:val="00010BD9"/>
    <w:rsid w:val="00010C24"/>
    <w:rsid w:val="00012055"/>
    <w:rsid w:val="0001268B"/>
    <w:rsid w:val="000127FE"/>
    <w:rsid w:val="00012A02"/>
    <w:rsid w:val="00013932"/>
    <w:rsid w:val="00013C41"/>
    <w:rsid w:val="00014270"/>
    <w:rsid w:val="0001481F"/>
    <w:rsid w:val="0001490B"/>
    <w:rsid w:val="00014D5B"/>
    <w:rsid w:val="00015265"/>
    <w:rsid w:val="00016216"/>
    <w:rsid w:val="0001669A"/>
    <w:rsid w:val="00016E85"/>
    <w:rsid w:val="00016F69"/>
    <w:rsid w:val="00017B66"/>
    <w:rsid w:val="000200A2"/>
    <w:rsid w:val="000205E8"/>
    <w:rsid w:val="0002066B"/>
    <w:rsid w:val="00021560"/>
    <w:rsid w:val="000217B5"/>
    <w:rsid w:val="00022838"/>
    <w:rsid w:val="00022A9E"/>
    <w:rsid w:val="00022FB6"/>
    <w:rsid w:val="00023298"/>
    <w:rsid w:val="000240DE"/>
    <w:rsid w:val="00024CE6"/>
    <w:rsid w:val="000258F4"/>
    <w:rsid w:val="000266E8"/>
    <w:rsid w:val="000274F5"/>
    <w:rsid w:val="00027EE7"/>
    <w:rsid w:val="00030553"/>
    <w:rsid w:val="000317C6"/>
    <w:rsid w:val="0003197E"/>
    <w:rsid w:val="000319CD"/>
    <w:rsid w:val="00031E3F"/>
    <w:rsid w:val="00031EF6"/>
    <w:rsid w:val="00032E1B"/>
    <w:rsid w:val="000335C5"/>
    <w:rsid w:val="000337C9"/>
    <w:rsid w:val="00033FC2"/>
    <w:rsid w:val="00034E2B"/>
    <w:rsid w:val="00034E43"/>
    <w:rsid w:val="000351A7"/>
    <w:rsid w:val="000362BD"/>
    <w:rsid w:val="000363D6"/>
    <w:rsid w:val="00036ED2"/>
    <w:rsid w:val="00036F4B"/>
    <w:rsid w:val="000379A7"/>
    <w:rsid w:val="000379D5"/>
    <w:rsid w:val="00040506"/>
    <w:rsid w:val="00040D0F"/>
    <w:rsid w:val="00040E12"/>
    <w:rsid w:val="000433DC"/>
    <w:rsid w:val="00043A67"/>
    <w:rsid w:val="00043ABA"/>
    <w:rsid w:val="0004459E"/>
    <w:rsid w:val="000445E9"/>
    <w:rsid w:val="0004478E"/>
    <w:rsid w:val="000450DB"/>
    <w:rsid w:val="00045243"/>
    <w:rsid w:val="0004555F"/>
    <w:rsid w:val="0004585E"/>
    <w:rsid w:val="00045888"/>
    <w:rsid w:val="000458A8"/>
    <w:rsid w:val="000467FF"/>
    <w:rsid w:val="00046CB0"/>
    <w:rsid w:val="00046EA2"/>
    <w:rsid w:val="00047BCB"/>
    <w:rsid w:val="00050DB6"/>
    <w:rsid w:val="0005186A"/>
    <w:rsid w:val="00051CA6"/>
    <w:rsid w:val="00052646"/>
    <w:rsid w:val="00052B77"/>
    <w:rsid w:val="000534E0"/>
    <w:rsid w:val="00053823"/>
    <w:rsid w:val="000539C3"/>
    <w:rsid w:val="00053B34"/>
    <w:rsid w:val="000543EA"/>
    <w:rsid w:val="00054BE3"/>
    <w:rsid w:val="000551C0"/>
    <w:rsid w:val="000554B0"/>
    <w:rsid w:val="00055830"/>
    <w:rsid w:val="00056A95"/>
    <w:rsid w:val="00056BB8"/>
    <w:rsid w:val="00056E49"/>
    <w:rsid w:val="00056E63"/>
    <w:rsid w:val="00057027"/>
    <w:rsid w:val="000570C3"/>
    <w:rsid w:val="00057354"/>
    <w:rsid w:val="00061CBF"/>
    <w:rsid w:val="0006248E"/>
    <w:rsid w:val="000626B9"/>
    <w:rsid w:val="00063051"/>
    <w:rsid w:val="00063CD2"/>
    <w:rsid w:val="00063E81"/>
    <w:rsid w:val="00064E4C"/>
    <w:rsid w:val="00066E78"/>
    <w:rsid w:val="00067456"/>
    <w:rsid w:val="00067624"/>
    <w:rsid w:val="000678FF"/>
    <w:rsid w:val="00067931"/>
    <w:rsid w:val="00070F31"/>
    <w:rsid w:val="00071361"/>
    <w:rsid w:val="00072BA6"/>
    <w:rsid w:val="0007323C"/>
    <w:rsid w:val="00073D33"/>
    <w:rsid w:val="0007414C"/>
    <w:rsid w:val="00074354"/>
    <w:rsid w:val="00075DD6"/>
    <w:rsid w:val="00075FF4"/>
    <w:rsid w:val="00076CCC"/>
    <w:rsid w:val="00077026"/>
    <w:rsid w:val="00077040"/>
    <w:rsid w:val="000802D7"/>
    <w:rsid w:val="000806BB"/>
    <w:rsid w:val="000806ED"/>
    <w:rsid w:val="0008175D"/>
    <w:rsid w:val="00081AD7"/>
    <w:rsid w:val="00081CF2"/>
    <w:rsid w:val="00082623"/>
    <w:rsid w:val="00082A56"/>
    <w:rsid w:val="000832A8"/>
    <w:rsid w:val="000838C4"/>
    <w:rsid w:val="000847AB"/>
    <w:rsid w:val="0008578A"/>
    <w:rsid w:val="00085D38"/>
    <w:rsid w:val="0008626A"/>
    <w:rsid w:val="000866D6"/>
    <w:rsid w:val="000872B3"/>
    <w:rsid w:val="000877B1"/>
    <w:rsid w:val="000902C3"/>
    <w:rsid w:val="00090B4C"/>
    <w:rsid w:val="00090BAD"/>
    <w:rsid w:val="00091088"/>
    <w:rsid w:val="0009137B"/>
    <w:rsid w:val="00091B9C"/>
    <w:rsid w:val="00091D4D"/>
    <w:rsid w:val="00091F89"/>
    <w:rsid w:val="00091FC1"/>
    <w:rsid w:val="00092851"/>
    <w:rsid w:val="000928F6"/>
    <w:rsid w:val="0009310C"/>
    <w:rsid w:val="000939E7"/>
    <w:rsid w:val="00094102"/>
    <w:rsid w:val="00094268"/>
    <w:rsid w:val="00094506"/>
    <w:rsid w:val="0009473E"/>
    <w:rsid w:val="00095215"/>
    <w:rsid w:val="000953CC"/>
    <w:rsid w:val="000954B0"/>
    <w:rsid w:val="00095D2A"/>
    <w:rsid w:val="0009611C"/>
    <w:rsid w:val="00096CAC"/>
    <w:rsid w:val="00096FC9"/>
    <w:rsid w:val="000974C9"/>
    <w:rsid w:val="00097598"/>
    <w:rsid w:val="000976BD"/>
    <w:rsid w:val="00097A86"/>
    <w:rsid w:val="000A03BB"/>
    <w:rsid w:val="000A165F"/>
    <w:rsid w:val="000A2088"/>
    <w:rsid w:val="000A21F6"/>
    <w:rsid w:val="000A3600"/>
    <w:rsid w:val="000A3610"/>
    <w:rsid w:val="000A393B"/>
    <w:rsid w:val="000A3D88"/>
    <w:rsid w:val="000A419A"/>
    <w:rsid w:val="000A4A49"/>
    <w:rsid w:val="000A4DDB"/>
    <w:rsid w:val="000A5720"/>
    <w:rsid w:val="000A6D08"/>
    <w:rsid w:val="000A76F1"/>
    <w:rsid w:val="000B0A1B"/>
    <w:rsid w:val="000B1676"/>
    <w:rsid w:val="000B1751"/>
    <w:rsid w:val="000B195D"/>
    <w:rsid w:val="000B1D71"/>
    <w:rsid w:val="000B1E16"/>
    <w:rsid w:val="000B23C3"/>
    <w:rsid w:val="000B2690"/>
    <w:rsid w:val="000B36CC"/>
    <w:rsid w:val="000B36D9"/>
    <w:rsid w:val="000B4273"/>
    <w:rsid w:val="000B6300"/>
    <w:rsid w:val="000B633B"/>
    <w:rsid w:val="000B7D08"/>
    <w:rsid w:val="000B7E71"/>
    <w:rsid w:val="000C051E"/>
    <w:rsid w:val="000C0632"/>
    <w:rsid w:val="000C0E5E"/>
    <w:rsid w:val="000C10CA"/>
    <w:rsid w:val="000C1751"/>
    <w:rsid w:val="000C1864"/>
    <w:rsid w:val="000C193E"/>
    <w:rsid w:val="000C2811"/>
    <w:rsid w:val="000C2AB4"/>
    <w:rsid w:val="000C2C61"/>
    <w:rsid w:val="000C2F08"/>
    <w:rsid w:val="000C3006"/>
    <w:rsid w:val="000C30AB"/>
    <w:rsid w:val="000C36AC"/>
    <w:rsid w:val="000C3700"/>
    <w:rsid w:val="000C383C"/>
    <w:rsid w:val="000C3991"/>
    <w:rsid w:val="000C4014"/>
    <w:rsid w:val="000C483A"/>
    <w:rsid w:val="000C490C"/>
    <w:rsid w:val="000C54B0"/>
    <w:rsid w:val="000C5E0E"/>
    <w:rsid w:val="000C67FD"/>
    <w:rsid w:val="000C6DA8"/>
    <w:rsid w:val="000C7C4C"/>
    <w:rsid w:val="000D045B"/>
    <w:rsid w:val="000D09EB"/>
    <w:rsid w:val="000D1057"/>
    <w:rsid w:val="000D1727"/>
    <w:rsid w:val="000D1F56"/>
    <w:rsid w:val="000D203C"/>
    <w:rsid w:val="000D2204"/>
    <w:rsid w:val="000D26F7"/>
    <w:rsid w:val="000D2885"/>
    <w:rsid w:val="000D3C1D"/>
    <w:rsid w:val="000D52C1"/>
    <w:rsid w:val="000D6295"/>
    <w:rsid w:val="000D6301"/>
    <w:rsid w:val="000D6474"/>
    <w:rsid w:val="000D650C"/>
    <w:rsid w:val="000D653F"/>
    <w:rsid w:val="000D66FD"/>
    <w:rsid w:val="000D71E0"/>
    <w:rsid w:val="000D73D3"/>
    <w:rsid w:val="000E12D1"/>
    <w:rsid w:val="000E1DC6"/>
    <w:rsid w:val="000E2CDF"/>
    <w:rsid w:val="000E3066"/>
    <w:rsid w:val="000E381F"/>
    <w:rsid w:val="000E3FC2"/>
    <w:rsid w:val="000E4310"/>
    <w:rsid w:val="000E5032"/>
    <w:rsid w:val="000E5136"/>
    <w:rsid w:val="000E5A27"/>
    <w:rsid w:val="000E7570"/>
    <w:rsid w:val="000E7B24"/>
    <w:rsid w:val="000F06F0"/>
    <w:rsid w:val="000F07E6"/>
    <w:rsid w:val="000F0EDB"/>
    <w:rsid w:val="000F1A6F"/>
    <w:rsid w:val="000F1BB6"/>
    <w:rsid w:val="000F1F2A"/>
    <w:rsid w:val="000F2B6F"/>
    <w:rsid w:val="000F2D4F"/>
    <w:rsid w:val="000F2EBD"/>
    <w:rsid w:val="000F3006"/>
    <w:rsid w:val="000F3598"/>
    <w:rsid w:val="000F375A"/>
    <w:rsid w:val="000F3C24"/>
    <w:rsid w:val="000F3FFE"/>
    <w:rsid w:val="000F4CB1"/>
    <w:rsid w:val="000F4FCD"/>
    <w:rsid w:val="000F5073"/>
    <w:rsid w:val="000F5125"/>
    <w:rsid w:val="000F5186"/>
    <w:rsid w:val="000F5233"/>
    <w:rsid w:val="000F53EA"/>
    <w:rsid w:val="000F5593"/>
    <w:rsid w:val="000F5667"/>
    <w:rsid w:val="000F5812"/>
    <w:rsid w:val="000F5A43"/>
    <w:rsid w:val="000F5C13"/>
    <w:rsid w:val="000F67B1"/>
    <w:rsid w:val="000F6E8A"/>
    <w:rsid w:val="000F6EB5"/>
    <w:rsid w:val="000F7402"/>
    <w:rsid w:val="000F744E"/>
    <w:rsid w:val="000F754A"/>
    <w:rsid w:val="000F7B64"/>
    <w:rsid w:val="00100FC1"/>
    <w:rsid w:val="0010102A"/>
    <w:rsid w:val="00101203"/>
    <w:rsid w:val="00101263"/>
    <w:rsid w:val="001022E5"/>
    <w:rsid w:val="001023E1"/>
    <w:rsid w:val="00102497"/>
    <w:rsid w:val="001024F3"/>
    <w:rsid w:val="00102B53"/>
    <w:rsid w:val="00102BFB"/>
    <w:rsid w:val="00103181"/>
    <w:rsid w:val="00103C6A"/>
    <w:rsid w:val="00103F3B"/>
    <w:rsid w:val="00104DD8"/>
    <w:rsid w:val="00104F1B"/>
    <w:rsid w:val="001051E8"/>
    <w:rsid w:val="0010596F"/>
    <w:rsid w:val="001068C2"/>
    <w:rsid w:val="00106A36"/>
    <w:rsid w:val="001079CB"/>
    <w:rsid w:val="00107B49"/>
    <w:rsid w:val="00110258"/>
    <w:rsid w:val="00110296"/>
    <w:rsid w:val="00110C05"/>
    <w:rsid w:val="001114AD"/>
    <w:rsid w:val="00111537"/>
    <w:rsid w:val="001121AD"/>
    <w:rsid w:val="001145CD"/>
    <w:rsid w:val="00114B2F"/>
    <w:rsid w:val="001159D8"/>
    <w:rsid w:val="00115A72"/>
    <w:rsid w:val="00116A2E"/>
    <w:rsid w:val="0011704A"/>
    <w:rsid w:val="00117310"/>
    <w:rsid w:val="00117917"/>
    <w:rsid w:val="00117BDA"/>
    <w:rsid w:val="00117DC6"/>
    <w:rsid w:val="00120F93"/>
    <w:rsid w:val="0012148E"/>
    <w:rsid w:val="001217D2"/>
    <w:rsid w:val="001221BA"/>
    <w:rsid w:val="00122438"/>
    <w:rsid w:val="0012313A"/>
    <w:rsid w:val="00123874"/>
    <w:rsid w:val="00124BD1"/>
    <w:rsid w:val="001255F4"/>
    <w:rsid w:val="00125D56"/>
    <w:rsid w:val="00125D5D"/>
    <w:rsid w:val="001264CF"/>
    <w:rsid w:val="001274A8"/>
    <w:rsid w:val="00127E45"/>
    <w:rsid w:val="0013166A"/>
    <w:rsid w:val="00131D54"/>
    <w:rsid w:val="00131DD0"/>
    <w:rsid w:val="00131EF4"/>
    <w:rsid w:val="0013324F"/>
    <w:rsid w:val="001337DB"/>
    <w:rsid w:val="0013386F"/>
    <w:rsid w:val="0013403B"/>
    <w:rsid w:val="001341EB"/>
    <w:rsid w:val="001349EB"/>
    <w:rsid w:val="00134DC8"/>
    <w:rsid w:val="00134F80"/>
    <w:rsid w:val="00135D1D"/>
    <w:rsid w:val="0013621B"/>
    <w:rsid w:val="00136BEF"/>
    <w:rsid w:val="001373E7"/>
    <w:rsid w:val="001374B8"/>
    <w:rsid w:val="0013771E"/>
    <w:rsid w:val="00137F4B"/>
    <w:rsid w:val="0014007E"/>
    <w:rsid w:val="001404C0"/>
    <w:rsid w:val="00140BC3"/>
    <w:rsid w:val="001417DA"/>
    <w:rsid w:val="00141C62"/>
    <w:rsid w:val="00143993"/>
    <w:rsid w:val="001441C7"/>
    <w:rsid w:val="00145860"/>
    <w:rsid w:val="00145A8F"/>
    <w:rsid w:val="0014688F"/>
    <w:rsid w:val="00146B5A"/>
    <w:rsid w:val="00146D40"/>
    <w:rsid w:val="0014732D"/>
    <w:rsid w:val="001478D9"/>
    <w:rsid w:val="00147E41"/>
    <w:rsid w:val="0015031C"/>
    <w:rsid w:val="001505E4"/>
    <w:rsid w:val="001512CE"/>
    <w:rsid w:val="00151525"/>
    <w:rsid w:val="0015153C"/>
    <w:rsid w:val="0015168D"/>
    <w:rsid w:val="0015195D"/>
    <w:rsid w:val="00151FC1"/>
    <w:rsid w:val="001521B8"/>
    <w:rsid w:val="001524B1"/>
    <w:rsid w:val="00152802"/>
    <w:rsid w:val="00152A8A"/>
    <w:rsid w:val="00152D2C"/>
    <w:rsid w:val="00154EB3"/>
    <w:rsid w:val="00155582"/>
    <w:rsid w:val="001555B1"/>
    <w:rsid w:val="0015594D"/>
    <w:rsid w:val="001559A6"/>
    <w:rsid w:val="00156C8A"/>
    <w:rsid w:val="00156DB7"/>
    <w:rsid w:val="001601DA"/>
    <w:rsid w:val="00160483"/>
    <w:rsid w:val="00160CDC"/>
    <w:rsid w:val="001610F7"/>
    <w:rsid w:val="001613C7"/>
    <w:rsid w:val="00161409"/>
    <w:rsid w:val="00161589"/>
    <w:rsid w:val="00161A5D"/>
    <w:rsid w:val="00161B4C"/>
    <w:rsid w:val="00161CB9"/>
    <w:rsid w:val="00161FB1"/>
    <w:rsid w:val="00162068"/>
    <w:rsid w:val="00162D7F"/>
    <w:rsid w:val="00164304"/>
    <w:rsid w:val="001644CC"/>
    <w:rsid w:val="00165451"/>
    <w:rsid w:val="0016548E"/>
    <w:rsid w:val="00165FD7"/>
    <w:rsid w:val="00166CE3"/>
    <w:rsid w:val="00167E85"/>
    <w:rsid w:val="00167ED9"/>
    <w:rsid w:val="00170011"/>
    <w:rsid w:val="001703B7"/>
    <w:rsid w:val="00170492"/>
    <w:rsid w:val="00170E13"/>
    <w:rsid w:val="00171137"/>
    <w:rsid w:val="0017115E"/>
    <w:rsid w:val="00172138"/>
    <w:rsid w:val="00172286"/>
    <w:rsid w:val="001723FE"/>
    <w:rsid w:val="00172648"/>
    <w:rsid w:val="00172827"/>
    <w:rsid w:val="00172DE8"/>
    <w:rsid w:val="0017361D"/>
    <w:rsid w:val="00173A79"/>
    <w:rsid w:val="00173D41"/>
    <w:rsid w:val="0017589B"/>
    <w:rsid w:val="00175973"/>
    <w:rsid w:val="00175A8C"/>
    <w:rsid w:val="00176337"/>
    <w:rsid w:val="00176494"/>
    <w:rsid w:val="00176A93"/>
    <w:rsid w:val="00177175"/>
    <w:rsid w:val="001803BA"/>
    <w:rsid w:val="00180842"/>
    <w:rsid w:val="001817BE"/>
    <w:rsid w:val="00181F4D"/>
    <w:rsid w:val="00182308"/>
    <w:rsid w:val="00182FF2"/>
    <w:rsid w:val="00183030"/>
    <w:rsid w:val="001831D7"/>
    <w:rsid w:val="0018326B"/>
    <w:rsid w:val="00183488"/>
    <w:rsid w:val="00183804"/>
    <w:rsid w:val="0018383D"/>
    <w:rsid w:val="00184E12"/>
    <w:rsid w:val="00184F57"/>
    <w:rsid w:val="0018630E"/>
    <w:rsid w:val="001863B9"/>
    <w:rsid w:val="0018757E"/>
    <w:rsid w:val="00187B02"/>
    <w:rsid w:val="00191434"/>
    <w:rsid w:val="00191BB3"/>
    <w:rsid w:val="00192359"/>
    <w:rsid w:val="00192695"/>
    <w:rsid w:val="001926C8"/>
    <w:rsid w:val="00192A49"/>
    <w:rsid w:val="00192C14"/>
    <w:rsid w:val="00192FBE"/>
    <w:rsid w:val="0019322D"/>
    <w:rsid w:val="00193DF6"/>
    <w:rsid w:val="0019620A"/>
    <w:rsid w:val="00197DF7"/>
    <w:rsid w:val="001A08E6"/>
    <w:rsid w:val="001A0FBB"/>
    <w:rsid w:val="001A1A0D"/>
    <w:rsid w:val="001A1C9D"/>
    <w:rsid w:val="001A25C2"/>
    <w:rsid w:val="001A2F76"/>
    <w:rsid w:val="001A303A"/>
    <w:rsid w:val="001A3F71"/>
    <w:rsid w:val="001A4625"/>
    <w:rsid w:val="001A4A00"/>
    <w:rsid w:val="001A4A9F"/>
    <w:rsid w:val="001A50A5"/>
    <w:rsid w:val="001A53D6"/>
    <w:rsid w:val="001A6117"/>
    <w:rsid w:val="001A62F3"/>
    <w:rsid w:val="001A6790"/>
    <w:rsid w:val="001A69B4"/>
    <w:rsid w:val="001A6C98"/>
    <w:rsid w:val="001A6FFD"/>
    <w:rsid w:val="001A7150"/>
    <w:rsid w:val="001A796F"/>
    <w:rsid w:val="001B0A5B"/>
    <w:rsid w:val="001B1ADE"/>
    <w:rsid w:val="001B265F"/>
    <w:rsid w:val="001B2873"/>
    <w:rsid w:val="001B2B7B"/>
    <w:rsid w:val="001B30EF"/>
    <w:rsid w:val="001B31F2"/>
    <w:rsid w:val="001B3443"/>
    <w:rsid w:val="001B45DF"/>
    <w:rsid w:val="001B4EA3"/>
    <w:rsid w:val="001B4ED9"/>
    <w:rsid w:val="001B514A"/>
    <w:rsid w:val="001B59F0"/>
    <w:rsid w:val="001B5CB2"/>
    <w:rsid w:val="001B5E62"/>
    <w:rsid w:val="001B6094"/>
    <w:rsid w:val="001B646A"/>
    <w:rsid w:val="001B695E"/>
    <w:rsid w:val="001B74C3"/>
    <w:rsid w:val="001B7530"/>
    <w:rsid w:val="001B7DAC"/>
    <w:rsid w:val="001C0040"/>
    <w:rsid w:val="001C01F7"/>
    <w:rsid w:val="001C05F3"/>
    <w:rsid w:val="001C22FE"/>
    <w:rsid w:val="001C29E0"/>
    <w:rsid w:val="001C3196"/>
    <w:rsid w:val="001C3EC7"/>
    <w:rsid w:val="001C4165"/>
    <w:rsid w:val="001C4883"/>
    <w:rsid w:val="001C554B"/>
    <w:rsid w:val="001C5C2F"/>
    <w:rsid w:val="001C662A"/>
    <w:rsid w:val="001C69C3"/>
    <w:rsid w:val="001D08EE"/>
    <w:rsid w:val="001D0948"/>
    <w:rsid w:val="001D0E25"/>
    <w:rsid w:val="001D16ED"/>
    <w:rsid w:val="001D23EF"/>
    <w:rsid w:val="001D2F57"/>
    <w:rsid w:val="001D3077"/>
    <w:rsid w:val="001D3172"/>
    <w:rsid w:val="001D34FB"/>
    <w:rsid w:val="001D34FC"/>
    <w:rsid w:val="001D37A2"/>
    <w:rsid w:val="001D4A6C"/>
    <w:rsid w:val="001D4AF1"/>
    <w:rsid w:val="001D4E5B"/>
    <w:rsid w:val="001D5804"/>
    <w:rsid w:val="001D59AC"/>
    <w:rsid w:val="001D5D72"/>
    <w:rsid w:val="001D60D7"/>
    <w:rsid w:val="001D61D9"/>
    <w:rsid w:val="001D6261"/>
    <w:rsid w:val="001D6841"/>
    <w:rsid w:val="001D686C"/>
    <w:rsid w:val="001D7055"/>
    <w:rsid w:val="001D708E"/>
    <w:rsid w:val="001D752B"/>
    <w:rsid w:val="001D768C"/>
    <w:rsid w:val="001D7963"/>
    <w:rsid w:val="001D7D8D"/>
    <w:rsid w:val="001E05C5"/>
    <w:rsid w:val="001E2463"/>
    <w:rsid w:val="001E247C"/>
    <w:rsid w:val="001E2D5E"/>
    <w:rsid w:val="001E2E1C"/>
    <w:rsid w:val="001E327E"/>
    <w:rsid w:val="001E350C"/>
    <w:rsid w:val="001E3552"/>
    <w:rsid w:val="001E3AB5"/>
    <w:rsid w:val="001E480E"/>
    <w:rsid w:val="001E497A"/>
    <w:rsid w:val="001E5518"/>
    <w:rsid w:val="001E5795"/>
    <w:rsid w:val="001E66FC"/>
    <w:rsid w:val="001E683F"/>
    <w:rsid w:val="001E756A"/>
    <w:rsid w:val="001E7817"/>
    <w:rsid w:val="001E7D8B"/>
    <w:rsid w:val="001E7E87"/>
    <w:rsid w:val="001F0914"/>
    <w:rsid w:val="001F1150"/>
    <w:rsid w:val="001F260E"/>
    <w:rsid w:val="001F2AF7"/>
    <w:rsid w:val="001F2B4F"/>
    <w:rsid w:val="001F350B"/>
    <w:rsid w:val="001F4543"/>
    <w:rsid w:val="001F4F8E"/>
    <w:rsid w:val="001F524B"/>
    <w:rsid w:val="001F5785"/>
    <w:rsid w:val="001F5A10"/>
    <w:rsid w:val="001F5ABF"/>
    <w:rsid w:val="001F7513"/>
    <w:rsid w:val="001F78EC"/>
    <w:rsid w:val="00200187"/>
    <w:rsid w:val="00200916"/>
    <w:rsid w:val="00200EEA"/>
    <w:rsid w:val="00200EFC"/>
    <w:rsid w:val="00201AE8"/>
    <w:rsid w:val="00201D1C"/>
    <w:rsid w:val="002028AD"/>
    <w:rsid w:val="002028D6"/>
    <w:rsid w:val="00203267"/>
    <w:rsid w:val="00203B87"/>
    <w:rsid w:val="00204CE5"/>
    <w:rsid w:val="00205191"/>
    <w:rsid w:val="002056C6"/>
    <w:rsid w:val="00205980"/>
    <w:rsid w:val="00205D2B"/>
    <w:rsid w:val="00206D40"/>
    <w:rsid w:val="0020777A"/>
    <w:rsid w:val="00207A7C"/>
    <w:rsid w:val="00207B39"/>
    <w:rsid w:val="002107CF"/>
    <w:rsid w:val="00211B56"/>
    <w:rsid w:val="002125A6"/>
    <w:rsid w:val="00212A53"/>
    <w:rsid w:val="00212FCB"/>
    <w:rsid w:val="002134C0"/>
    <w:rsid w:val="00213857"/>
    <w:rsid w:val="00213DFD"/>
    <w:rsid w:val="002142FF"/>
    <w:rsid w:val="0021491D"/>
    <w:rsid w:val="002153F4"/>
    <w:rsid w:val="00215425"/>
    <w:rsid w:val="00215D56"/>
    <w:rsid w:val="00216324"/>
    <w:rsid w:val="00216528"/>
    <w:rsid w:val="002167F2"/>
    <w:rsid w:val="002175CA"/>
    <w:rsid w:val="002203DE"/>
    <w:rsid w:val="002204C1"/>
    <w:rsid w:val="0022053D"/>
    <w:rsid w:val="00221020"/>
    <w:rsid w:val="002213F0"/>
    <w:rsid w:val="00221991"/>
    <w:rsid w:val="00221E84"/>
    <w:rsid w:val="002224CF"/>
    <w:rsid w:val="002230B7"/>
    <w:rsid w:val="0022343F"/>
    <w:rsid w:val="00223489"/>
    <w:rsid w:val="0022356C"/>
    <w:rsid w:val="0022372B"/>
    <w:rsid w:val="0022379A"/>
    <w:rsid w:val="00223C3E"/>
    <w:rsid w:val="002243C4"/>
    <w:rsid w:val="00224A67"/>
    <w:rsid w:val="00224BAC"/>
    <w:rsid w:val="00224C8A"/>
    <w:rsid w:val="00224E6C"/>
    <w:rsid w:val="002250F5"/>
    <w:rsid w:val="00225563"/>
    <w:rsid w:val="00225E7B"/>
    <w:rsid w:val="00226162"/>
    <w:rsid w:val="00226CDC"/>
    <w:rsid w:val="00226D16"/>
    <w:rsid w:val="00227980"/>
    <w:rsid w:val="00227D32"/>
    <w:rsid w:val="00230D8B"/>
    <w:rsid w:val="00230E29"/>
    <w:rsid w:val="00231540"/>
    <w:rsid w:val="002315BF"/>
    <w:rsid w:val="002328E7"/>
    <w:rsid w:val="002329E0"/>
    <w:rsid w:val="00232A61"/>
    <w:rsid w:val="00232BCD"/>
    <w:rsid w:val="0023313F"/>
    <w:rsid w:val="00233173"/>
    <w:rsid w:val="00233259"/>
    <w:rsid w:val="00233409"/>
    <w:rsid w:val="0023349A"/>
    <w:rsid w:val="0023371D"/>
    <w:rsid w:val="00233A9F"/>
    <w:rsid w:val="002344E5"/>
    <w:rsid w:val="00234B08"/>
    <w:rsid w:val="00234C75"/>
    <w:rsid w:val="002353FB"/>
    <w:rsid w:val="002358BE"/>
    <w:rsid w:val="00237134"/>
    <w:rsid w:val="00237161"/>
    <w:rsid w:val="0023724F"/>
    <w:rsid w:val="0023747F"/>
    <w:rsid w:val="00240052"/>
    <w:rsid w:val="00240219"/>
    <w:rsid w:val="00240E12"/>
    <w:rsid w:val="002410EC"/>
    <w:rsid w:val="00241FAE"/>
    <w:rsid w:val="0024218E"/>
    <w:rsid w:val="00242CFE"/>
    <w:rsid w:val="00243AB9"/>
    <w:rsid w:val="0024472F"/>
    <w:rsid w:val="00244CBB"/>
    <w:rsid w:val="0024587A"/>
    <w:rsid w:val="0024614F"/>
    <w:rsid w:val="00246361"/>
    <w:rsid w:val="00246682"/>
    <w:rsid w:val="00246CFE"/>
    <w:rsid w:val="00246E35"/>
    <w:rsid w:val="002476CD"/>
    <w:rsid w:val="00247809"/>
    <w:rsid w:val="00250E87"/>
    <w:rsid w:val="00251683"/>
    <w:rsid w:val="002520CE"/>
    <w:rsid w:val="0025239A"/>
    <w:rsid w:val="00252B7A"/>
    <w:rsid w:val="00252FF6"/>
    <w:rsid w:val="002537F4"/>
    <w:rsid w:val="00253DC9"/>
    <w:rsid w:val="00254766"/>
    <w:rsid w:val="002547BA"/>
    <w:rsid w:val="002554DC"/>
    <w:rsid w:val="00256EF8"/>
    <w:rsid w:val="00260986"/>
    <w:rsid w:val="00260A59"/>
    <w:rsid w:val="00260D27"/>
    <w:rsid w:val="00260EAC"/>
    <w:rsid w:val="002610FC"/>
    <w:rsid w:val="0026179F"/>
    <w:rsid w:val="002617A9"/>
    <w:rsid w:val="00261A62"/>
    <w:rsid w:val="002625CC"/>
    <w:rsid w:val="00263CE0"/>
    <w:rsid w:val="00264309"/>
    <w:rsid w:val="00264B17"/>
    <w:rsid w:val="00264CE6"/>
    <w:rsid w:val="00265005"/>
    <w:rsid w:val="0026548D"/>
    <w:rsid w:val="002655A7"/>
    <w:rsid w:val="002659E4"/>
    <w:rsid w:val="00265AFA"/>
    <w:rsid w:val="00266606"/>
    <w:rsid w:val="00267506"/>
    <w:rsid w:val="0026757F"/>
    <w:rsid w:val="002675B9"/>
    <w:rsid w:val="00267651"/>
    <w:rsid w:val="00270D56"/>
    <w:rsid w:val="002711FF"/>
    <w:rsid w:val="0027163C"/>
    <w:rsid w:val="00272C74"/>
    <w:rsid w:val="00274747"/>
    <w:rsid w:val="00274C99"/>
    <w:rsid w:val="00275D03"/>
    <w:rsid w:val="002765C9"/>
    <w:rsid w:val="00276B97"/>
    <w:rsid w:val="002771C3"/>
    <w:rsid w:val="00277ABE"/>
    <w:rsid w:val="002803FD"/>
    <w:rsid w:val="0028059D"/>
    <w:rsid w:val="00280BB0"/>
    <w:rsid w:val="002814C1"/>
    <w:rsid w:val="0028154D"/>
    <w:rsid w:val="002819D5"/>
    <w:rsid w:val="00281B97"/>
    <w:rsid w:val="0028219A"/>
    <w:rsid w:val="002822CC"/>
    <w:rsid w:val="002827DF"/>
    <w:rsid w:val="00282E73"/>
    <w:rsid w:val="0028341F"/>
    <w:rsid w:val="002836DD"/>
    <w:rsid w:val="002839D3"/>
    <w:rsid w:val="00283B6F"/>
    <w:rsid w:val="00283D5B"/>
    <w:rsid w:val="00283DBB"/>
    <w:rsid w:val="00283F74"/>
    <w:rsid w:val="002840F6"/>
    <w:rsid w:val="0028501B"/>
    <w:rsid w:val="0028507E"/>
    <w:rsid w:val="00285312"/>
    <w:rsid w:val="00285326"/>
    <w:rsid w:val="002853B6"/>
    <w:rsid w:val="0028591C"/>
    <w:rsid w:val="00286F47"/>
    <w:rsid w:val="00287864"/>
    <w:rsid w:val="00287B6D"/>
    <w:rsid w:val="00290F48"/>
    <w:rsid w:val="00291128"/>
    <w:rsid w:val="002915A1"/>
    <w:rsid w:val="00291B5C"/>
    <w:rsid w:val="00292645"/>
    <w:rsid w:val="00292ABB"/>
    <w:rsid w:val="002934AF"/>
    <w:rsid w:val="002936E1"/>
    <w:rsid w:val="002951EA"/>
    <w:rsid w:val="0029543A"/>
    <w:rsid w:val="002954CD"/>
    <w:rsid w:val="0029559F"/>
    <w:rsid w:val="002960DD"/>
    <w:rsid w:val="002968BC"/>
    <w:rsid w:val="00296EDC"/>
    <w:rsid w:val="00297A24"/>
    <w:rsid w:val="002A000D"/>
    <w:rsid w:val="002A00EA"/>
    <w:rsid w:val="002A01E8"/>
    <w:rsid w:val="002A0277"/>
    <w:rsid w:val="002A08DF"/>
    <w:rsid w:val="002A0E08"/>
    <w:rsid w:val="002A17B3"/>
    <w:rsid w:val="002A2E20"/>
    <w:rsid w:val="002A4738"/>
    <w:rsid w:val="002A4A6A"/>
    <w:rsid w:val="002A4A6E"/>
    <w:rsid w:val="002A5030"/>
    <w:rsid w:val="002A5B89"/>
    <w:rsid w:val="002A6023"/>
    <w:rsid w:val="002A6E77"/>
    <w:rsid w:val="002A704C"/>
    <w:rsid w:val="002B047D"/>
    <w:rsid w:val="002B0575"/>
    <w:rsid w:val="002B0E01"/>
    <w:rsid w:val="002B0E6D"/>
    <w:rsid w:val="002B107A"/>
    <w:rsid w:val="002B114A"/>
    <w:rsid w:val="002B12FA"/>
    <w:rsid w:val="002B2532"/>
    <w:rsid w:val="002B32D8"/>
    <w:rsid w:val="002B33B8"/>
    <w:rsid w:val="002B366B"/>
    <w:rsid w:val="002B3B48"/>
    <w:rsid w:val="002B40E1"/>
    <w:rsid w:val="002B410F"/>
    <w:rsid w:val="002B4170"/>
    <w:rsid w:val="002B426F"/>
    <w:rsid w:val="002B4AD0"/>
    <w:rsid w:val="002B51DE"/>
    <w:rsid w:val="002B554A"/>
    <w:rsid w:val="002B68EA"/>
    <w:rsid w:val="002B696C"/>
    <w:rsid w:val="002B6C5B"/>
    <w:rsid w:val="002B7339"/>
    <w:rsid w:val="002B7873"/>
    <w:rsid w:val="002B7CC7"/>
    <w:rsid w:val="002B7DBF"/>
    <w:rsid w:val="002C0CA6"/>
    <w:rsid w:val="002C10FF"/>
    <w:rsid w:val="002C1123"/>
    <w:rsid w:val="002C3038"/>
    <w:rsid w:val="002C334A"/>
    <w:rsid w:val="002C3715"/>
    <w:rsid w:val="002C3EC8"/>
    <w:rsid w:val="002C4661"/>
    <w:rsid w:val="002C4875"/>
    <w:rsid w:val="002C4D53"/>
    <w:rsid w:val="002C5B36"/>
    <w:rsid w:val="002C5C01"/>
    <w:rsid w:val="002C6267"/>
    <w:rsid w:val="002C70E9"/>
    <w:rsid w:val="002C7DF4"/>
    <w:rsid w:val="002D0174"/>
    <w:rsid w:val="002D07B2"/>
    <w:rsid w:val="002D08A7"/>
    <w:rsid w:val="002D0FD2"/>
    <w:rsid w:val="002D1508"/>
    <w:rsid w:val="002D1627"/>
    <w:rsid w:val="002D1FC5"/>
    <w:rsid w:val="002D27C2"/>
    <w:rsid w:val="002D2AE8"/>
    <w:rsid w:val="002D2BA6"/>
    <w:rsid w:val="002D48C0"/>
    <w:rsid w:val="002D4C7B"/>
    <w:rsid w:val="002D5263"/>
    <w:rsid w:val="002D535A"/>
    <w:rsid w:val="002D5917"/>
    <w:rsid w:val="002D5CCA"/>
    <w:rsid w:val="002D5DFB"/>
    <w:rsid w:val="002D6100"/>
    <w:rsid w:val="002D68E7"/>
    <w:rsid w:val="002D69FD"/>
    <w:rsid w:val="002D6C0F"/>
    <w:rsid w:val="002D7798"/>
    <w:rsid w:val="002D7D77"/>
    <w:rsid w:val="002E0AF7"/>
    <w:rsid w:val="002E1CAD"/>
    <w:rsid w:val="002E2772"/>
    <w:rsid w:val="002E367C"/>
    <w:rsid w:val="002E37D5"/>
    <w:rsid w:val="002E4011"/>
    <w:rsid w:val="002E5542"/>
    <w:rsid w:val="002E5C6E"/>
    <w:rsid w:val="002E5C77"/>
    <w:rsid w:val="002E602F"/>
    <w:rsid w:val="002E67E2"/>
    <w:rsid w:val="002E7C62"/>
    <w:rsid w:val="002F02AC"/>
    <w:rsid w:val="002F0A0D"/>
    <w:rsid w:val="002F13B8"/>
    <w:rsid w:val="002F1657"/>
    <w:rsid w:val="002F2293"/>
    <w:rsid w:val="002F27E6"/>
    <w:rsid w:val="002F2824"/>
    <w:rsid w:val="002F2FDE"/>
    <w:rsid w:val="002F3643"/>
    <w:rsid w:val="002F3AE3"/>
    <w:rsid w:val="002F486D"/>
    <w:rsid w:val="002F4883"/>
    <w:rsid w:val="002F4AE7"/>
    <w:rsid w:val="002F527E"/>
    <w:rsid w:val="002F5B16"/>
    <w:rsid w:val="002F6701"/>
    <w:rsid w:val="002F690A"/>
    <w:rsid w:val="002F7457"/>
    <w:rsid w:val="002F763A"/>
    <w:rsid w:val="002F7A8D"/>
    <w:rsid w:val="003003AC"/>
    <w:rsid w:val="0030072B"/>
    <w:rsid w:val="00301C2C"/>
    <w:rsid w:val="00302204"/>
    <w:rsid w:val="00302726"/>
    <w:rsid w:val="0030295B"/>
    <w:rsid w:val="00305458"/>
    <w:rsid w:val="00305D4B"/>
    <w:rsid w:val="00306BA9"/>
    <w:rsid w:val="0030706E"/>
    <w:rsid w:val="003070F4"/>
    <w:rsid w:val="00307368"/>
    <w:rsid w:val="0030786C"/>
    <w:rsid w:val="00307D60"/>
    <w:rsid w:val="00307F40"/>
    <w:rsid w:val="00310350"/>
    <w:rsid w:val="0031114F"/>
    <w:rsid w:val="003118ED"/>
    <w:rsid w:val="00311A6C"/>
    <w:rsid w:val="003121FC"/>
    <w:rsid w:val="00312FA9"/>
    <w:rsid w:val="00312FEB"/>
    <w:rsid w:val="00313145"/>
    <w:rsid w:val="003133C5"/>
    <w:rsid w:val="0031399A"/>
    <w:rsid w:val="00313FB5"/>
    <w:rsid w:val="003140BD"/>
    <w:rsid w:val="00314FD5"/>
    <w:rsid w:val="00315AB8"/>
    <w:rsid w:val="00315DA6"/>
    <w:rsid w:val="0031652F"/>
    <w:rsid w:val="003167C5"/>
    <w:rsid w:val="003167F4"/>
    <w:rsid w:val="00316D65"/>
    <w:rsid w:val="003174D1"/>
    <w:rsid w:val="0031771D"/>
    <w:rsid w:val="00317A15"/>
    <w:rsid w:val="003208AF"/>
    <w:rsid w:val="003209E8"/>
    <w:rsid w:val="00321491"/>
    <w:rsid w:val="0032175D"/>
    <w:rsid w:val="003217C3"/>
    <w:rsid w:val="00321C67"/>
    <w:rsid w:val="00321F2E"/>
    <w:rsid w:val="003220C5"/>
    <w:rsid w:val="00322E71"/>
    <w:rsid w:val="00322F2C"/>
    <w:rsid w:val="003231CA"/>
    <w:rsid w:val="00323231"/>
    <w:rsid w:val="00323AFB"/>
    <w:rsid w:val="00323BEF"/>
    <w:rsid w:val="00324474"/>
    <w:rsid w:val="0032484A"/>
    <w:rsid w:val="00326C27"/>
    <w:rsid w:val="0032718C"/>
    <w:rsid w:val="00327630"/>
    <w:rsid w:val="003303F3"/>
    <w:rsid w:val="00330C84"/>
    <w:rsid w:val="00330F9D"/>
    <w:rsid w:val="00331C57"/>
    <w:rsid w:val="003325CB"/>
    <w:rsid w:val="0033286E"/>
    <w:rsid w:val="00332AAD"/>
    <w:rsid w:val="003332BA"/>
    <w:rsid w:val="00333BAD"/>
    <w:rsid w:val="00334F33"/>
    <w:rsid w:val="00336265"/>
    <w:rsid w:val="003376AE"/>
    <w:rsid w:val="003379FD"/>
    <w:rsid w:val="00337FC0"/>
    <w:rsid w:val="00340477"/>
    <w:rsid w:val="00340897"/>
    <w:rsid w:val="00341A17"/>
    <w:rsid w:val="00341B0B"/>
    <w:rsid w:val="00342017"/>
    <w:rsid w:val="00342187"/>
    <w:rsid w:val="003442A4"/>
    <w:rsid w:val="00344776"/>
    <w:rsid w:val="003448EA"/>
    <w:rsid w:val="00344C0F"/>
    <w:rsid w:val="0034557F"/>
    <w:rsid w:val="0034598F"/>
    <w:rsid w:val="00346E4A"/>
    <w:rsid w:val="00347647"/>
    <w:rsid w:val="00347811"/>
    <w:rsid w:val="00347C5F"/>
    <w:rsid w:val="00347E8B"/>
    <w:rsid w:val="003501FB"/>
    <w:rsid w:val="0035063E"/>
    <w:rsid w:val="00350839"/>
    <w:rsid w:val="003508D2"/>
    <w:rsid w:val="00351E69"/>
    <w:rsid w:val="00351EC6"/>
    <w:rsid w:val="0035235F"/>
    <w:rsid w:val="003526A9"/>
    <w:rsid w:val="00352BD1"/>
    <w:rsid w:val="00352F1F"/>
    <w:rsid w:val="00353071"/>
    <w:rsid w:val="00354570"/>
    <w:rsid w:val="003545FB"/>
    <w:rsid w:val="00354657"/>
    <w:rsid w:val="003547DA"/>
    <w:rsid w:val="0035505E"/>
    <w:rsid w:val="003554D9"/>
    <w:rsid w:val="0035570D"/>
    <w:rsid w:val="003559B6"/>
    <w:rsid w:val="00355A09"/>
    <w:rsid w:val="00355ACF"/>
    <w:rsid w:val="00355B8A"/>
    <w:rsid w:val="00356855"/>
    <w:rsid w:val="00356A4E"/>
    <w:rsid w:val="00356FEE"/>
    <w:rsid w:val="00357538"/>
    <w:rsid w:val="0035777C"/>
    <w:rsid w:val="00357CE9"/>
    <w:rsid w:val="00360361"/>
    <w:rsid w:val="00360BB1"/>
    <w:rsid w:val="003611EE"/>
    <w:rsid w:val="00361C08"/>
    <w:rsid w:val="0036204F"/>
    <w:rsid w:val="0036215D"/>
    <w:rsid w:val="00362230"/>
    <w:rsid w:val="003625F8"/>
    <w:rsid w:val="00362938"/>
    <w:rsid w:val="0036296A"/>
    <w:rsid w:val="00362ACB"/>
    <w:rsid w:val="00362FC2"/>
    <w:rsid w:val="0036327B"/>
    <w:rsid w:val="00363737"/>
    <w:rsid w:val="003639E1"/>
    <w:rsid w:val="00363C66"/>
    <w:rsid w:val="0036412A"/>
    <w:rsid w:val="003641FE"/>
    <w:rsid w:val="00364B9C"/>
    <w:rsid w:val="00366714"/>
    <w:rsid w:val="00366BC3"/>
    <w:rsid w:val="003671D4"/>
    <w:rsid w:val="00367E6C"/>
    <w:rsid w:val="00367F9E"/>
    <w:rsid w:val="0037011B"/>
    <w:rsid w:val="00370183"/>
    <w:rsid w:val="00370D32"/>
    <w:rsid w:val="00370FF8"/>
    <w:rsid w:val="00371188"/>
    <w:rsid w:val="0037133E"/>
    <w:rsid w:val="0037160C"/>
    <w:rsid w:val="003716DD"/>
    <w:rsid w:val="00371A6E"/>
    <w:rsid w:val="003720EB"/>
    <w:rsid w:val="0037228F"/>
    <w:rsid w:val="00372517"/>
    <w:rsid w:val="00372D0C"/>
    <w:rsid w:val="003730A2"/>
    <w:rsid w:val="003734B2"/>
    <w:rsid w:val="00373B51"/>
    <w:rsid w:val="0037484C"/>
    <w:rsid w:val="00375405"/>
    <w:rsid w:val="00375807"/>
    <w:rsid w:val="0037589A"/>
    <w:rsid w:val="003764EC"/>
    <w:rsid w:val="00376E43"/>
    <w:rsid w:val="00376F3A"/>
    <w:rsid w:val="00377D68"/>
    <w:rsid w:val="00377DFB"/>
    <w:rsid w:val="00380FF8"/>
    <w:rsid w:val="003810F4"/>
    <w:rsid w:val="00381395"/>
    <w:rsid w:val="00382D91"/>
    <w:rsid w:val="003836DE"/>
    <w:rsid w:val="0038388C"/>
    <w:rsid w:val="003845E4"/>
    <w:rsid w:val="003846DF"/>
    <w:rsid w:val="003849F7"/>
    <w:rsid w:val="00384AB6"/>
    <w:rsid w:val="00385C87"/>
    <w:rsid w:val="00385D18"/>
    <w:rsid w:val="00386679"/>
    <w:rsid w:val="00386EEF"/>
    <w:rsid w:val="00387241"/>
    <w:rsid w:val="003878B5"/>
    <w:rsid w:val="00390282"/>
    <w:rsid w:val="00390D15"/>
    <w:rsid w:val="00390EFA"/>
    <w:rsid w:val="00392245"/>
    <w:rsid w:val="00393696"/>
    <w:rsid w:val="003943C5"/>
    <w:rsid w:val="00394DB7"/>
    <w:rsid w:val="00394DF4"/>
    <w:rsid w:val="00394EF5"/>
    <w:rsid w:val="00395086"/>
    <w:rsid w:val="00395651"/>
    <w:rsid w:val="00396568"/>
    <w:rsid w:val="003967B5"/>
    <w:rsid w:val="00396C3E"/>
    <w:rsid w:val="003A0280"/>
    <w:rsid w:val="003A0417"/>
    <w:rsid w:val="003A10C5"/>
    <w:rsid w:val="003A15E1"/>
    <w:rsid w:val="003A1658"/>
    <w:rsid w:val="003A1B81"/>
    <w:rsid w:val="003A20C4"/>
    <w:rsid w:val="003A2505"/>
    <w:rsid w:val="003A2A6D"/>
    <w:rsid w:val="003A2DF7"/>
    <w:rsid w:val="003A2F5B"/>
    <w:rsid w:val="003A33E8"/>
    <w:rsid w:val="003A35E2"/>
    <w:rsid w:val="003A3B5B"/>
    <w:rsid w:val="003A3EDD"/>
    <w:rsid w:val="003A4095"/>
    <w:rsid w:val="003A4160"/>
    <w:rsid w:val="003A4C25"/>
    <w:rsid w:val="003A4C2C"/>
    <w:rsid w:val="003A535E"/>
    <w:rsid w:val="003A549A"/>
    <w:rsid w:val="003A5B51"/>
    <w:rsid w:val="003A5E23"/>
    <w:rsid w:val="003A6BDF"/>
    <w:rsid w:val="003A6ED9"/>
    <w:rsid w:val="003A7C92"/>
    <w:rsid w:val="003B025E"/>
    <w:rsid w:val="003B07F2"/>
    <w:rsid w:val="003B0D60"/>
    <w:rsid w:val="003B0EF1"/>
    <w:rsid w:val="003B1437"/>
    <w:rsid w:val="003B1FC0"/>
    <w:rsid w:val="003B2085"/>
    <w:rsid w:val="003B20EA"/>
    <w:rsid w:val="003B2202"/>
    <w:rsid w:val="003B220E"/>
    <w:rsid w:val="003B223C"/>
    <w:rsid w:val="003B240A"/>
    <w:rsid w:val="003B25F6"/>
    <w:rsid w:val="003B2BB0"/>
    <w:rsid w:val="003B2D88"/>
    <w:rsid w:val="003B329A"/>
    <w:rsid w:val="003B52EF"/>
    <w:rsid w:val="003B5422"/>
    <w:rsid w:val="003B5629"/>
    <w:rsid w:val="003B5866"/>
    <w:rsid w:val="003B631C"/>
    <w:rsid w:val="003B63B8"/>
    <w:rsid w:val="003B6805"/>
    <w:rsid w:val="003B6B43"/>
    <w:rsid w:val="003B7590"/>
    <w:rsid w:val="003B7D8D"/>
    <w:rsid w:val="003C0133"/>
    <w:rsid w:val="003C06B6"/>
    <w:rsid w:val="003C097C"/>
    <w:rsid w:val="003C0DBA"/>
    <w:rsid w:val="003C0EC2"/>
    <w:rsid w:val="003C0F04"/>
    <w:rsid w:val="003C13D7"/>
    <w:rsid w:val="003C19A2"/>
    <w:rsid w:val="003C1C53"/>
    <w:rsid w:val="003C285F"/>
    <w:rsid w:val="003C297F"/>
    <w:rsid w:val="003C2D18"/>
    <w:rsid w:val="003C3B3E"/>
    <w:rsid w:val="003C3C0E"/>
    <w:rsid w:val="003C450D"/>
    <w:rsid w:val="003C4906"/>
    <w:rsid w:val="003C4915"/>
    <w:rsid w:val="003C4D8D"/>
    <w:rsid w:val="003C50E5"/>
    <w:rsid w:val="003C6614"/>
    <w:rsid w:val="003C66A1"/>
    <w:rsid w:val="003C67C8"/>
    <w:rsid w:val="003C695C"/>
    <w:rsid w:val="003C69DE"/>
    <w:rsid w:val="003C7588"/>
    <w:rsid w:val="003C7640"/>
    <w:rsid w:val="003C7C31"/>
    <w:rsid w:val="003D031D"/>
    <w:rsid w:val="003D14C8"/>
    <w:rsid w:val="003D17F9"/>
    <w:rsid w:val="003D1E6A"/>
    <w:rsid w:val="003D22BC"/>
    <w:rsid w:val="003D3735"/>
    <w:rsid w:val="003D437C"/>
    <w:rsid w:val="003D446D"/>
    <w:rsid w:val="003D4A8E"/>
    <w:rsid w:val="003D4FED"/>
    <w:rsid w:val="003D6223"/>
    <w:rsid w:val="003D6419"/>
    <w:rsid w:val="003D680D"/>
    <w:rsid w:val="003D6A86"/>
    <w:rsid w:val="003D7A77"/>
    <w:rsid w:val="003D7C49"/>
    <w:rsid w:val="003D7D63"/>
    <w:rsid w:val="003D7E2E"/>
    <w:rsid w:val="003E10C7"/>
    <w:rsid w:val="003E11B2"/>
    <w:rsid w:val="003E24BB"/>
    <w:rsid w:val="003E2B4A"/>
    <w:rsid w:val="003E3E88"/>
    <w:rsid w:val="003E40C7"/>
    <w:rsid w:val="003E4442"/>
    <w:rsid w:val="003E4CD9"/>
    <w:rsid w:val="003E50B5"/>
    <w:rsid w:val="003E519F"/>
    <w:rsid w:val="003E6038"/>
    <w:rsid w:val="003E608D"/>
    <w:rsid w:val="003E6494"/>
    <w:rsid w:val="003E6B4C"/>
    <w:rsid w:val="003E7C63"/>
    <w:rsid w:val="003F0709"/>
    <w:rsid w:val="003F0767"/>
    <w:rsid w:val="003F1360"/>
    <w:rsid w:val="003F177A"/>
    <w:rsid w:val="003F1A4D"/>
    <w:rsid w:val="003F1C20"/>
    <w:rsid w:val="003F1F87"/>
    <w:rsid w:val="003F3314"/>
    <w:rsid w:val="003F37F3"/>
    <w:rsid w:val="003F4456"/>
    <w:rsid w:val="003F4EEC"/>
    <w:rsid w:val="003F55E6"/>
    <w:rsid w:val="003F5B67"/>
    <w:rsid w:val="003F60BF"/>
    <w:rsid w:val="003F77EA"/>
    <w:rsid w:val="004006A3"/>
    <w:rsid w:val="004017D5"/>
    <w:rsid w:val="00401C37"/>
    <w:rsid w:val="004028AD"/>
    <w:rsid w:val="004031E9"/>
    <w:rsid w:val="0040324A"/>
    <w:rsid w:val="0040340B"/>
    <w:rsid w:val="00404317"/>
    <w:rsid w:val="004044B4"/>
    <w:rsid w:val="004058EA"/>
    <w:rsid w:val="00405F47"/>
    <w:rsid w:val="00405F65"/>
    <w:rsid w:val="00406223"/>
    <w:rsid w:val="0040690E"/>
    <w:rsid w:val="00406C56"/>
    <w:rsid w:val="00406D7D"/>
    <w:rsid w:val="004074AD"/>
    <w:rsid w:val="0040792A"/>
    <w:rsid w:val="00407FDA"/>
    <w:rsid w:val="00410ACB"/>
    <w:rsid w:val="0041158C"/>
    <w:rsid w:val="00411BC0"/>
    <w:rsid w:val="0041212A"/>
    <w:rsid w:val="004133C9"/>
    <w:rsid w:val="00413AF9"/>
    <w:rsid w:val="00413C86"/>
    <w:rsid w:val="00413DD0"/>
    <w:rsid w:val="004140E8"/>
    <w:rsid w:val="004143B4"/>
    <w:rsid w:val="004146DB"/>
    <w:rsid w:val="00414E15"/>
    <w:rsid w:val="004152EE"/>
    <w:rsid w:val="00416993"/>
    <w:rsid w:val="004171EB"/>
    <w:rsid w:val="0042003E"/>
    <w:rsid w:val="004209D6"/>
    <w:rsid w:val="00420B7C"/>
    <w:rsid w:val="00421422"/>
    <w:rsid w:val="00421FFB"/>
    <w:rsid w:val="00423A80"/>
    <w:rsid w:val="00424794"/>
    <w:rsid w:val="00424B46"/>
    <w:rsid w:val="00424E2F"/>
    <w:rsid w:val="00425299"/>
    <w:rsid w:val="004255F2"/>
    <w:rsid w:val="00425632"/>
    <w:rsid w:val="004256FA"/>
    <w:rsid w:val="0042687D"/>
    <w:rsid w:val="004270E6"/>
    <w:rsid w:val="004271A8"/>
    <w:rsid w:val="00427246"/>
    <w:rsid w:val="0042727D"/>
    <w:rsid w:val="0042735E"/>
    <w:rsid w:val="00427F87"/>
    <w:rsid w:val="00427FA9"/>
    <w:rsid w:val="00427FD6"/>
    <w:rsid w:val="004305A9"/>
    <w:rsid w:val="00430628"/>
    <w:rsid w:val="00430A31"/>
    <w:rsid w:val="00430EE5"/>
    <w:rsid w:val="00431AFC"/>
    <w:rsid w:val="00432937"/>
    <w:rsid w:val="004346CB"/>
    <w:rsid w:val="00435C3E"/>
    <w:rsid w:val="00436172"/>
    <w:rsid w:val="00437AD8"/>
    <w:rsid w:val="00437BF0"/>
    <w:rsid w:val="00437D54"/>
    <w:rsid w:val="0044067C"/>
    <w:rsid w:val="0044077E"/>
    <w:rsid w:val="00442147"/>
    <w:rsid w:val="00442192"/>
    <w:rsid w:val="0044223D"/>
    <w:rsid w:val="00442538"/>
    <w:rsid w:val="00442609"/>
    <w:rsid w:val="00442785"/>
    <w:rsid w:val="00442C5B"/>
    <w:rsid w:val="00443547"/>
    <w:rsid w:val="00443636"/>
    <w:rsid w:val="004443FA"/>
    <w:rsid w:val="00444432"/>
    <w:rsid w:val="0044482C"/>
    <w:rsid w:val="0044542A"/>
    <w:rsid w:val="0044565C"/>
    <w:rsid w:val="00446C47"/>
    <w:rsid w:val="00447169"/>
    <w:rsid w:val="00450040"/>
    <w:rsid w:val="0045004C"/>
    <w:rsid w:val="0045035F"/>
    <w:rsid w:val="00450D3A"/>
    <w:rsid w:val="00450E2A"/>
    <w:rsid w:val="00451D5C"/>
    <w:rsid w:val="00451FC9"/>
    <w:rsid w:val="00452433"/>
    <w:rsid w:val="004524FA"/>
    <w:rsid w:val="004527ED"/>
    <w:rsid w:val="004540C9"/>
    <w:rsid w:val="004540CF"/>
    <w:rsid w:val="00454519"/>
    <w:rsid w:val="00454616"/>
    <w:rsid w:val="00455271"/>
    <w:rsid w:val="00455A8C"/>
    <w:rsid w:val="00456149"/>
    <w:rsid w:val="0045666A"/>
    <w:rsid w:val="00456BC3"/>
    <w:rsid w:val="0045703F"/>
    <w:rsid w:val="0045722E"/>
    <w:rsid w:val="004572D0"/>
    <w:rsid w:val="004574AE"/>
    <w:rsid w:val="004576F7"/>
    <w:rsid w:val="00457792"/>
    <w:rsid w:val="00457BBA"/>
    <w:rsid w:val="00457D08"/>
    <w:rsid w:val="0046033F"/>
    <w:rsid w:val="00460ACB"/>
    <w:rsid w:val="00460C86"/>
    <w:rsid w:val="00462069"/>
    <w:rsid w:val="00462432"/>
    <w:rsid w:val="004634B4"/>
    <w:rsid w:val="00463F5E"/>
    <w:rsid w:val="0046438C"/>
    <w:rsid w:val="004647B6"/>
    <w:rsid w:val="00464DFB"/>
    <w:rsid w:val="00465674"/>
    <w:rsid w:val="00465CFD"/>
    <w:rsid w:val="0046609E"/>
    <w:rsid w:val="0046621E"/>
    <w:rsid w:val="0046661A"/>
    <w:rsid w:val="00466645"/>
    <w:rsid w:val="00466B0E"/>
    <w:rsid w:val="00466CAC"/>
    <w:rsid w:val="0046716C"/>
    <w:rsid w:val="004671BB"/>
    <w:rsid w:val="004675F1"/>
    <w:rsid w:val="00467623"/>
    <w:rsid w:val="0046769A"/>
    <w:rsid w:val="004703E7"/>
    <w:rsid w:val="00470880"/>
    <w:rsid w:val="004719F7"/>
    <w:rsid w:val="00471D29"/>
    <w:rsid w:val="00472BBC"/>
    <w:rsid w:val="00472E30"/>
    <w:rsid w:val="0047319F"/>
    <w:rsid w:val="00474835"/>
    <w:rsid w:val="00474DCC"/>
    <w:rsid w:val="00475AB0"/>
    <w:rsid w:val="00476714"/>
    <w:rsid w:val="00476B2F"/>
    <w:rsid w:val="00477150"/>
    <w:rsid w:val="00481723"/>
    <w:rsid w:val="00481A15"/>
    <w:rsid w:val="00481B8B"/>
    <w:rsid w:val="00481EF0"/>
    <w:rsid w:val="00482BFA"/>
    <w:rsid w:val="004832DA"/>
    <w:rsid w:val="00483832"/>
    <w:rsid w:val="00483DBE"/>
    <w:rsid w:val="00483E0D"/>
    <w:rsid w:val="00484A4E"/>
    <w:rsid w:val="0048533B"/>
    <w:rsid w:val="00485462"/>
    <w:rsid w:val="004863C4"/>
    <w:rsid w:val="004867E2"/>
    <w:rsid w:val="00486968"/>
    <w:rsid w:val="00486AA8"/>
    <w:rsid w:val="004872B4"/>
    <w:rsid w:val="00487CB7"/>
    <w:rsid w:val="00487CE7"/>
    <w:rsid w:val="00487FCC"/>
    <w:rsid w:val="0049003D"/>
    <w:rsid w:val="004919B5"/>
    <w:rsid w:val="00491A9B"/>
    <w:rsid w:val="00491AB2"/>
    <w:rsid w:val="00492A21"/>
    <w:rsid w:val="00492BB5"/>
    <w:rsid w:val="00492DD6"/>
    <w:rsid w:val="00493974"/>
    <w:rsid w:val="00493AE8"/>
    <w:rsid w:val="00493B1D"/>
    <w:rsid w:val="00493DA0"/>
    <w:rsid w:val="004941A0"/>
    <w:rsid w:val="00494555"/>
    <w:rsid w:val="00494900"/>
    <w:rsid w:val="004951B4"/>
    <w:rsid w:val="00495B5D"/>
    <w:rsid w:val="00495E99"/>
    <w:rsid w:val="00496B93"/>
    <w:rsid w:val="00496CA5"/>
    <w:rsid w:val="004972F4"/>
    <w:rsid w:val="00497425"/>
    <w:rsid w:val="0049747E"/>
    <w:rsid w:val="00497A1D"/>
    <w:rsid w:val="00497B37"/>
    <w:rsid w:val="00497ECD"/>
    <w:rsid w:val="004A0010"/>
    <w:rsid w:val="004A0554"/>
    <w:rsid w:val="004A0776"/>
    <w:rsid w:val="004A086F"/>
    <w:rsid w:val="004A0D46"/>
    <w:rsid w:val="004A0E81"/>
    <w:rsid w:val="004A1B66"/>
    <w:rsid w:val="004A1EA2"/>
    <w:rsid w:val="004A1F4C"/>
    <w:rsid w:val="004A2340"/>
    <w:rsid w:val="004A26A0"/>
    <w:rsid w:val="004A2F51"/>
    <w:rsid w:val="004A4018"/>
    <w:rsid w:val="004A4CA7"/>
    <w:rsid w:val="004A513E"/>
    <w:rsid w:val="004A57D7"/>
    <w:rsid w:val="004A6B76"/>
    <w:rsid w:val="004B0694"/>
    <w:rsid w:val="004B17C4"/>
    <w:rsid w:val="004B21DA"/>
    <w:rsid w:val="004B271C"/>
    <w:rsid w:val="004B3F45"/>
    <w:rsid w:val="004B4737"/>
    <w:rsid w:val="004B47DD"/>
    <w:rsid w:val="004B5032"/>
    <w:rsid w:val="004B6E52"/>
    <w:rsid w:val="004B7352"/>
    <w:rsid w:val="004C00F8"/>
    <w:rsid w:val="004C018C"/>
    <w:rsid w:val="004C11C1"/>
    <w:rsid w:val="004C1FCD"/>
    <w:rsid w:val="004C2446"/>
    <w:rsid w:val="004C2DB7"/>
    <w:rsid w:val="004C30B8"/>
    <w:rsid w:val="004C3BCC"/>
    <w:rsid w:val="004C3F59"/>
    <w:rsid w:val="004C407E"/>
    <w:rsid w:val="004C43F9"/>
    <w:rsid w:val="004C57CB"/>
    <w:rsid w:val="004C60FE"/>
    <w:rsid w:val="004C6A90"/>
    <w:rsid w:val="004C721A"/>
    <w:rsid w:val="004C725F"/>
    <w:rsid w:val="004C7EBB"/>
    <w:rsid w:val="004D0058"/>
    <w:rsid w:val="004D0780"/>
    <w:rsid w:val="004D0D79"/>
    <w:rsid w:val="004D11A8"/>
    <w:rsid w:val="004D169B"/>
    <w:rsid w:val="004D1969"/>
    <w:rsid w:val="004D1FDE"/>
    <w:rsid w:val="004D23B2"/>
    <w:rsid w:val="004D2A0C"/>
    <w:rsid w:val="004D2A73"/>
    <w:rsid w:val="004D2D2F"/>
    <w:rsid w:val="004D2F97"/>
    <w:rsid w:val="004D3102"/>
    <w:rsid w:val="004D3698"/>
    <w:rsid w:val="004D3C46"/>
    <w:rsid w:val="004D43EC"/>
    <w:rsid w:val="004D4B2A"/>
    <w:rsid w:val="004D4BF6"/>
    <w:rsid w:val="004D4C63"/>
    <w:rsid w:val="004D4C9A"/>
    <w:rsid w:val="004D4C9E"/>
    <w:rsid w:val="004D5104"/>
    <w:rsid w:val="004D5401"/>
    <w:rsid w:val="004D589B"/>
    <w:rsid w:val="004D5B3A"/>
    <w:rsid w:val="004D5EC4"/>
    <w:rsid w:val="004D6246"/>
    <w:rsid w:val="004D641E"/>
    <w:rsid w:val="004D6BB8"/>
    <w:rsid w:val="004D72B4"/>
    <w:rsid w:val="004D788F"/>
    <w:rsid w:val="004D7C7D"/>
    <w:rsid w:val="004E0193"/>
    <w:rsid w:val="004E0809"/>
    <w:rsid w:val="004E0E44"/>
    <w:rsid w:val="004E12A9"/>
    <w:rsid w:val="004E144A"/>
    <w:rsid w:val="004E1533"/>
    <w:rsid w:val="004E1772"/>
    <w:rsid w:val="004E237C"/>
    <w:rsid w:val="004E2A19"/>
    <w:rsid w:val="004E2D76"/>
    <w:rsid w:val="004E43AD"/>
    <w:rsid w:val="004E4491"/>
    <w:rsid w:val="004E47F4"/>
    <w:rsid w:val="004E51BE"/>
    <w:rsid w:val="004E55AA"/>
    <w:rsid w:val="004E6396"/>
    <w:rsid w:val="004E75D2"/>
    <w:rsid w:val="004F0214"/>
    <w:rsid w:val="004F0E21"/>
    <w:rsid w:val="004F1DF3"/>
    <w:rsid w:val="004F1EC7"/>
    <w:rsid w:val="004F2381"/>
    <w:rsid w:val="004F3721"/>
    <w:rsid w:val="004F3E9F"/>
    <w:rsid w:val="004F5132"/>
    <w:rsid w:val="004F5383"/>
    <w:rsid w:val="004F5556"/>
    <w:rsid w:val="004F55F8"/>
    <w:rsid w:val="004F6955"/>
    <w:rsid w:val="004F7396"/>
    <w:rsid w:val="004F7544"/>
    <w:rsid w:val="00500868"/>
    <w:rsid w:val="00501A4E"/>
    <w:rsid w:val="00501C54"/>
    <w:rsid w:val="005022A0"/>
    <w:rsid w:val="0050245A"/>
    <w:rsid w:val="00502651"/>
    <w:rsid w:val="00503C03"/>
    <w:rsid w:val="00503CCF"/>
    <w:rsid w:val="00503FA1"/>
    <w:rsid w:val="0050487A"/>
    <w:rsid w:val="005049B5"/>
    <w:rsid w:val="00505479"/>
    <w:rsid w:val="00505894"/>
    <w:rsid w:val="00505CE7"/>
    <w:rsid w:val="00506509"/>
    <w:rsid w:val="005065FB"/>
    <w:rsid w:val="005071DD"/>
    <w:rsid w:val="005105A3"/>
    <w:rsid w:val="0051089E"/>
    <w:rsid w:val="00512CA8"/>
    <w:rsid w:val="0051329D"/>
    <w:rsid w:val="005147A4"/>
    <w:rsid w:val="00514887"/>
    <w:rsid w:val="00515FFF"/>
    <w:rsid w:val="00516F0E"/>
    <w:rsid w:val="00517BF8"/>
    <w:rsid w:val="00517CAE"/>
    <w:rsid w:val="00517E33"/>
    <w:rsid w:val="005205B8"/>
    <w:rsid w:val="0052153D"/>
    <w:rsid w:val="00521B59"/>
    <w:rsid w:val="00521F0F"/>
    <w:rsid w:val="00522247"/>
    <w:rsid w:val="00522608"/>
    <w:rsid w:val="00522DB0"/>
    <w:rsid w:val="00522FFF"/>
    <w:rsid w:val="00523748"/>
    <w:rsid w:val="00523D4A"/>
    <w:rsid w:val="005241B9"/>
    <w:rsid w:val="00524620"/>
    <w:rsid w:val="005248D7"/>
    <w:rsid w:val="00525047"/>
    <w:rsid w:val="005252C1"/>
    <w:rsid w:val="00525D2D"/>
    <w:rsid w:val="005260B0"/>
    <w:rsid w:val="00526BF8"/>
    <w:rsid w:val="00526ED1"/>
    <w:rsid w:val="00527291"/>
    <w:rsid w:val="005276DF"/>
    <w:rsid w:val="0052789A"/>
    <w:rsid w:val="005300B3"/>
    <w:rsid w:val="005303D6"/>
    <w:rsid w:val="005304DD"/>
    <w:rsid w:val="005309B2"/>
    <w:rsid w:val="00531334"/>
    <w:rsid w:val="0053194D"/>
    <w:rsid w:val="0053203A"/>
    <w:rsid w:val="00533376"/>
    <w:rsid w:val="00534E29"/>
    <w:rsid w:val="00535C81"/>
    <w:rsid w:val="00535EA4"/>
    <w:rsid w:val="00536954"/>
    <w:rsid w:val="00536C12"/>
    <w:rsid w:val="00537AE6"/>
    <w:rsid w:val="005400CE"/>
    <w:rsid w:val="005403D8"/>
    <w:rsid w:val="005404A6"/>
    <w:rsid w:val="005406D8"/>
    <w:rsid w:val="005409D3"/>
    <w:rsid w:val="00540C17"/>
    <w:rsid w:val="00540CAD"/>
    <w:rsid w:val="00540F6B"/>
    <w:rsid w:val="00540F7B"/>
    <w:rsid w:val="00542414"/>
    <w:rsid w:val="00543C47"/>
    <w:rsid w:val="00543E25"/>
    <w:rsid w:val="00544215"/>
    <w:rsid w:val="00544836"/>
    <w:rsid w:val="00544FD8"/>
    <w:rsid w:val="00545D30"/>
    <w:rsid w:val="005473FE"/>
    <w:rsid w:val="0055033B"/>
    <w:rsid w:val="005506A7"/>
    <w:rsid w:val="00551316"/>
    <w:rsid w:val="0055151E"/>
    <w:rsid w:val="00552ACD"/>
    <w:rsid w:val="00552C06"/>
    <w:rsid w:val="00552E54"/>
    <w:rsid w:val="00552F2C"/>
    <w:rsid w:val="00553268"/>
    <w:rsid w:val="00553972"/>
    <w:rsid w:val="00553C60"/>
    <w:rsid w:val="00554025"/>
    <w:rsid w:val="005549C6"/>
    <w:rsid w:val="00554CE5"/>
    <w:rsid w:val="00555836"/>
    <w:rsid w:val="00555F74"/>
    <w:rsid w:val="0055669C"/>
    <w:rsid w:val="00557332"/>
    <w:rsid w:val="0055764C"/>
    <w:rsid w:val="005578A7"/>
    <w:rsid w:val="00561149"/>
    <w:rsid w:val="00561F4E"/>
    <w:rsid w:val="00561FDF"/>
    <w:rsid w:val="005622FC"/>
    <w:rsid w:val="00562389"/>
    <w:rsid w:val="0056288B"/>
    <w:rsid w:val="00563867"/>
    <w:rsid w:val="005648BE"/>
    <w:rsid w:val="00565326"/>
    <w:rsid w:val="005657EE"/>
    <w:rsid w:val="00565B2C"/>
    <w:rsid w:val="005661A1"/>
    <w:rsid w:val="0056629A"/>
    <w:rsid w:val="0056650D"/>
    <w:rsid w:val="00566819"/>
    <w:rsid w:val="005673F8"/>
    <w:rsid w:val="0056799A"/>
    <w:rsid w:val="00570690"/>
    <w:rsid w:val="00570A1F"/>
    <w:rsid w:val="00570D89"/>
    <w:rsid w:val="0057168B"/>
    <w:rsid w:val="005718FF"/>
    <w:rsid w:val="00571BEF"/>
    <w:rsid w:val="00572B6E"/>
    <w:rsid w:val="00573D31"/>
    <w:rsid w:val="00573F55"/>
    <w:rsid w:val="00574279"/>
    <w:rsid w:val="00575F8D"/>
    <w:rsid w:val="005766AB"/>
    <w:rsid w:val="0057685D"/>
    <w:rsid w:val="005771D7"/>
    <w:rsid w:val="0057734C"/>
    <w:rsid w:val="005773C3"/>
    <w:rsid w:val="00577AF6"/>
    <w:rsid w:val="00577DBA"/>
    <w:rsid w:val="005806BD"/>
    <w:rsid w:val="005806D1"/>
    <w:rsid w:val="005809E5"/>
    <w:rsid w:val="00580CBC"/>
    <w:rsid w:val="00580D80"/>
    <w:rsid w:val="0058236C"/>
    <w:rsid w:val="005824AD"/>
    <w:rsid w:val="0058275F"/>
    <w:rsid w:val="00582A17"/>
    <w:rsid w:val="00582F3C"/>
    <w:rsid w:val="0058343D"/>
    <w:rsid w:val="00583957"/>
    <w:rsid w:val="005839A8"/>
    <w:rsid w:val="005842BA"/>
    <w:rsid w:val="0058485D"/>
    <w:rsid w:val="00584BC9"/>
    <w:rsid w:val="00584D15"/>
    <w:rsid w:val="005851C2"/>
    <w:rsid w:val="005854BC"/>
    <w:rsid w:val="00585C08"/>
    <w:rsid w:val="005862BB"/>
    <w:rsid w:val="00586710"/>
    <w:rsid w:val="00586B91"/>
    <w:rsid w:val="00586DEA"/>
    <w:rsid w:val="005876B7"/>
    <w:rsid w:val="00587D23"/>
    <w:rsid w:val="00590078"/>
    <w:rsid w:val="00591332"/>
    <w:rsid w:val="00591A60"/>
    <w:rsid w:val="00591B11"/>
    <w:rsid w:val="00591BA5"/>
    <w:rsid w:val="00591EA1"/>
    <w:rsid w:val="00591F07"/>
    <w:rsid w:val="00592177"/>
    <w:rsid w:val="00592BE5"/>
    <w:rsid w:val="00592D76"/>
    <w:rsid w:val="00593660"/>
    <w:rsid w:val="00593D6F"/>
    <w:rsid w:val="00594894"/>
    <w:rsid w:val="00594E0A"/>
    <w:rsid w:val="005951B0"/>
    <w:rsid w:val="00595570"/>
    <w:rsid w:val="005957FE"/>
    <w:rsid w:val="00595BDF"/>
    <w:rsid w:val="00595BE3"/>
    <w:rsid w:val="00595CA5"/>
    <w:rsid w:val="00595F06"/>
    <w:rsid w:val="00596413"/>
    <w:rsid w:val="00596FD7"/>
    <w:rsid w:val="005979EF"/>
    <w:rsid w:val="005A0A54"/>
    <w:rsid w:val="005A1037"/>
    <w:rsid w:val="005A1618"/>
    <w:rsid w:val="005A1B5E"/>
    <w:rsid w:val="005A1CB7"/>
    <w:rsid w:val="005A1D69"/>
    <w:rsid w:val="005A2AC5"/>
    <w:rsid w:val="005A3CB5"/>
    <w:rsid w:val="005A445A"/>
    <w:rsid w:val="005A4CA6"/>
    <w:rsid w:val="005A4E6C"/>
    <w:rsid w:val="005A55F7"/>
    <w:rsid w:val="005A565F"/>
    <w:rsid w:val="005A5767"/>
    <w:rsid w:val="005A6084"/>
    <w:rsid w:val="005A6AE1"/>
    <w:rsid w:val="005A6B02"/>
    <w:rsid w:val="005A7C16"/>
    <w:rsid w:val="005A7F25"/>
    <w:rsid w:val="005B00C1"/>
    <w:rsid w:val="005B03B2"/>
    <w:rsid w:val="005B06B9"/>
    <w:rsid w:val="005B0FEC"/>
    <w:rsid w:val="005B12C9"/>
    <w:rsid w:val="005B1511"/>
    <w:rsid w:val="005B18B7"/>
    <w:rsid w:val="005B19E4"/>
    <w:rsid w:val="005B1EDB"/>
    <w:rsid w:val="005B2FA2"/>
    <w:rsid w:val="005B3746"/>
    <w:rsid w:val="005B41F1"/>
    <w:rsid w:val="005B464E"/>
    <w:rsid w:val="005B4C7E"/>
    <w:rsid w:val="005B4CBA"/>
    <w:rsid w:val="005B4FAD"/>
    <w:rsid w:val="005B5493"/>
    <w:rsid w:val="005B56C3"/>
    <w:rsid w:val="005B5ADD"/>
    <w:rsid w:val="005B62E4"/>
    <w:rsid w:val="005B6AB7"/>
    <w:rsid w:val="005B6E6E"/>
    <w:rsid w:val="005B7ACE"/>
    <w:rsid w:val="005B7CFC"/>
    <w:rsid w:val="005B7FCB"/>
    <w:rsid w:val="005C0707"/>
    <w:rsid w:val="005C0CC0"/>
    <w:rsid w:val="005C1120"/>
    <w:rsid w:val="005C294B"/>
    <w:rsid w:val="005C3090"/>
    <w:rsid w:val="005C32DA"/>
    <w:rsid w:val="005C3345"/>
    <w:rsid w:val="005C35FF"/>
    <w:rsid w:val="005C3F38"/>
    <w:rsid w:val="005C413A"/>
    <w:rsid w:val="005C48BE"/>
    <w:rsid w:val="005C4C6A"/>
    <w:rsid w:val="005C5434"/>
    <w:rsid w:val="005C565E"/>
    <w:rsid w:val="005C5843"/>
    <w:rsid w:val="005C58A5"/>
    <w:rsid w:val="005C5A02"/>
    <w:rsid w:val="005C5C34"/>
    <w:rsid w:val="005C5D60"/>
    <w:rsid w:val="005C7314"/>
    <w:rsid w:val="005C7B64"/>
    <w:rsid w:val="005D001F"/>
    <w:rsid w:val="005D088C"/>
    <w:rsid w:val="005D0DEF"/>
    <w:rsid w:val="005D165C"/>
    <w:rsid w:val="005D1989"/>
    <w:rsid w:val="005D216B"/>
    <w:rsid w:val="005D2323"/>
    <w:rsid w:val="005D24AA"/>
    <w:rsid w:val="005D2B3D"/>
    <w:rsid w:val="005D34A9"/>
    <w:rsid w:val="005D38B0"/>
    <w:rsid w:val="005D38C8"/>
    <w:rsid w:val="005D3945"/>
    <w:rsid w:val="005D3A4B"/>
    <w:rsid w:val="005D3BB4"/>
    <w:rsid w:val="005D3C8D"/>
    <w:rsid w:val="005D3ED6"/>
    <w:rsid w:val="005D41D7"/>
    <w:rsid w:val="005D4BD5"/>
    <w:rsid w:val="005D4C1A"/>
    <w:rsid w:val="005D5211"/>
    <w:rsid w:val="005D571E"/>
    <w:rsid w:val="005D5997"/>
    <w:rsid w:val="005D5CD9"/>
    <w:rsid w:val="005D6523"/>
    <w:rsid w:val="005D71A0"/>
    <w:rsid w:val="005D7660"/>
    <w:rsid w:val="005D7749"/>
    <w:rsid w:val="005E00FE"/>
    <w:rsid w:val="005E01A4"/>
    <w:rsid w:val="005E06FD"/>
    <w:rsid w:val="005E1049"/>
    <w:rsid w:val="005E160E"/>
    <w:rsid w:val="005E2A38"/>
    <w:rsid w:val="005E2A7E"/>
    <w:rsid w:val="005E3182"/>
    <w:rsid w:val="005E34B0"/>
    <w:rsid w:val="005E4288"/>
    <w:rsid w:val="005E5BCB"/>
    <w:rsid w:val="005E5E0F"/>
    <w:rsid w:val="005E5FE8"/>
    <w:rsid w:val="005E64F7"/>
    <w:rsid w:val="005E6A2E"/>
    <w:rsid w:val="005E6FF3"/>
    <w:rsid w:val="005E703C"/>
    <w:rsid w:val="005E714B"/>
    <w:rsid w:val="005E71CE"/>
    <w:rsid w:val="005E7313"/>
    <w:rsid w:val="005F00A1"/>
    <w:rsid w:val="005F068A"/>
    <w:rsid w:val="005F094D"/>
    <w:rsid w:val="005F105C"/>
    <w:rsid w:val="005F13E7"/>
    <w:rsid w:val="005F3083"/>
    <w:rsid w:val="005F43C2"/>
    <w:rsid w:val="005F5FAD"/>
    <w:rsid w:val="005F60C6"/>
    <w:rsid w:val="005F6317"/>
    <w:rsid w:val="005F6336"/>
    <w:rsid w:val="005F7084"/>
    <w:rsid w:val="005F73BB"/>
    <w:rsid w:val="005F7806"/>
    <w:rsid w:val="005F7D92"/>
    <w:rsid w:val="00600136"/>
    <w:rsid w:val="00600169"/>
    <w:rsid w:val="00600743"/>
    <w:rsid w:val="00600FE7"/>
    <w:rsid w:val="00601004"/>
    <w:rsid w:val="006018EC"/>
    <w:rsid w:val="006021B5"/>
    <w:rsid w:val="006021C2"/>
    <w:rsid w:val="00602F64"/>
    <w:rsid w:val="006032DC"/>
    <w:rsid w:val="00603F87"/>
    <w:rsid w:val="00604335"/>
    <w:rsid w:val="00604838"/>
    <w:rsid w:val="00604B66"/>
    <w:rsid w:val="00604D3D"/>
    <w:rsid w:val="00605806"/>
    <w:rsid w:val="006058CD"/>
    <w:rsid w:val="00605DEB"/>
    <w:rsid w:val="006064A7"/>
    <w:rsid w:val="00606957"/>
    <w:rsid w:val="00607490"/>
    <w:rsid w:val="00607644"/>
    <w:rsid w:val="00607B95"/>
    <w:rsid w:val="00610350"/>
    <w:rsid w:val="00610366"/>
    <w:rsid w:val="00610638"/>
    <w:rsid w:val="006107EA"/>
    <w:rsid w:val="00611447"/>
    <w:rsid w:val="00611519"/>
    <w:rsid w:val="006124BE"/>
    <w:rsid w:val="0061296F"/>
    <w:rsid w:val="00612A27"/>
    <w:rsid w:val="00612AA0"/>
    <w:rsid w:val="00613418"/>
    <w:rsid w:val="0061373C"/>
    <w:rsid w:val="00613A79"/>
    <w:rsid w:val="006148B7"/>
    <w:rsid w:val="006150A9"/>
    <w:rsid w:val="00616EA3"/>
    <w:rsid w:val="00617173"/>
    <w:rsid w:val="006176B5"/>
    <w:rsid w:val="0062017D"/>
    <w:rsid w:val="00620A1E"/>
    <w:rsid w:val="00621011"/>
    <w:rsid w:val="0062141D"/>
    <w:rsid w:val="0062167E"/>
    <w:rsid w:val="006218FE"/>
    <w:rsid w:val="00622D99"/>
    <w:rsid w:val="00622DE5"/>
    <w:rsid w:val="00622E99"/>
    <w:rsid w:val="00623DD5"/>
    <w:rsid w:val="00625086"/>
    <w:rsid w:val="00625472"/>
    <w:rsid w:val="0062584A"/>
    <w:rsid w:val="006263DF"/>
    <w:rsid w:val="006265DA"/>
    <w:rsid w:val="006267B3"/>
    <w:rsid w:val="00626BC7"/>
    <w:rsid w:val="00626DB9"/>
    <w:rsid w:val="00627744"/>
    <w:rsid w:val="0062786A"/>
    <w:rsid w:val="00627C49"/>
    <w:rsid w:val="00627E9B"/>
    <w:rsid w:val="0063024C"/>
    <w:rsid w:val="006305DD"/>
    <w:rsid w:val="006307C3"/>
    <w:rsid w:val="00630C8B"/>
    <w:rsid w:val="00630F1A"/>
    <w:rsid w:val="00631ECF"/>
    <w:rsid w:val="0063230F"/>
    <w:rsid w:val="00632A91"/>
    <w:rsid w:val="00632E02"/>
    <w:rsid w:val="00633029"/>
    <w:rsid w:val="0063307F"/>
    <w:rsid w:val="00633434"/>
    <w:rsid w:val="0063352B"/>
    <w:rsid w:val="006337A5"/>
    <w:rsid w:val="006338CC"/>
    <w:rsid w:val="006339FE"/>
    <w:rsid w:val="00635185"/>
    <w:rsid w:val="006353C3"/>
    <w:rsid w:val="0063565A"/>
    <w:rsid w:val="00636269"/>
    <w:rsid w:val="00636A80"/>
    <w:rsid w:val="0063764C"/>
    <w:rsid w:val="00637959"/>
    <w:rsid w:val="00637FE6"/>
    <w:rsid w:val="0064077C"/>
    <w:rsid w:val="00640C5A"/>
    <w:rsid w:val="00641182"/>
    <w:rsid w:val="00641531"/>
    <w:rsid w:val="00641881"/>
    <w:rsid w:val="00641DDE"/>
    <w:rsid w:val="00642206"/>
    <w:rsid w:val="006427F5"/>
    <w:rsid w:val="00642880"/>
    <w:rsid w:val="0064298A"/>
    <w:rsid w:val="00642E32"/>
    <w:rsid w:val="00643C46"/>
    <w:rsid w:val="0064490E"/>
    <w:rsid w:val="00644B87"/>
    <w:rsid w:val="0064564A"/>
    <w:rsid w:val="006457B1"/>
    <w:rsid w:val="00645953"/>
    <w:rsid w:val="00645BC1"/>
    <w:rsid w:val="0064639E"/>
    <w:rsid w:val="006463B8"/>
    <w:rsid w:val="0064641D"/>
    <w:rsid w:val="00646909"/>
    <w:rsid w:val="0064699E"/>
    <w:rsid w:val="00646B40"/>
    <w:rsid w:val="006473FA"/>
    <w:rsid w:val="00647595"/>
    <w:rsid w:val="00650572"/>
    <w:rsid w:val="00650952"/>
    <w:rsid w:val="006509E6"/>
    <w:rsid w:val="00650E95"/>
    <w:rsid w:val="00651234"/>
    <w:rsid w:val="00651292"/>
    <w:rsid w:val="00651CE7"/>
    <w:rsid w:val="00652001"/>
    <w:rsid w:val="00652135"/>
    <w:rsid w:val="00653130"/>
    <w:rsid w:val="006539BA"/>
    <w:rsid w:val="006548BB"/>
    <w:rsid w:val="00654A03"/>
    <w:rsid w:val="00654DF3"/>
    <w:rsid w:val="00655135"/>
    <w:rsid w:val="00655B4F"/>
    <w:rsid w:val="0065640B"/>
    <w:rsid w:val="006564CC"/>
    <w:rsid w:val="0065678B"/>
    <w:rsid w:val="00656C61"/>
    <w:rsid w:val="00657425"/>
    <w:rsid w:val="0065755F"/>
    <w:rsid w:val="00657B60"/>
    <w:rsid w:val="00657FC4"/>
    <w:rsid w:val="00660068"/>
    <w:rsid w:val="00660850"/>
    <w:rsid w:val="00660EA5"/>
    <w:rsid w:val="00660F4C"/>
    <w:rsid w:val="00660F6A"/>
    <w:rsid w:val="00660FDD"/>
    <w:rsid w:val="006610E2"/>
    <w:rsid w:val="006612DE"/>
    <w:rsid w:val="006612F3"/>
    <w:rsid w:val="00662BD4"/>
    <w:rsid w:val="0066354F"/>
    <w:rsid w:val="006639CD"/>
    <w:rsid w:val="0066420B"/>
    <w:rsid w:val="0066454A"/>
    <w:rsid w:val="0066580C"/>
    <w:rsid w:val="00665D8A"/>
    <w:rsid w:val="00667639"/>
    <w:rsid w:val="00667768"/>
    <w:rsid w:val="00667CE8"/>
    <w:rsid w:val="00667E1B"/>
    <w:rsid w:val="0067015D"/>
    <w:rsid w:val="006702F1"/>
    <w:rsid w:val="006709A3"/>
    <w:rsid w:val="006709FB"/>
    <w:rsid w:val="006714CD"/>
    <w:rsid w:val="00671A3D"/>
    <w:rsid w:val="00671A63"/>
    <w:rsid w:val="00671D58"/>
    <w:rsid w:val="006725AF"/>
    <w:rsid w:val="00672E73"/>
    <w:rsid w:val="00673C87"/>
    <w:rsid w:val="00673CD9"/>
    <w:rsid w:val="00675388"/>
    <w:rsid w:val="00676945"/>
    <w:rsid w:val="00677B1E"/>
    <w:rsid w:val="00680188"/>
    <w:rsid w:val="00680C9E"/>
    <w:rsid w:val="00681C1A"/>
    <w:rsid w:val="00681CC5"/>
    <w:rsid w:val="0068271C"/>
    <w:rsid w:val="00682C00"/>
    <w:rsid w:val="00683268"/>
    <w:rsid w:val="00683816"/>
    <w:rsid w:val="006844DD"/>
    <w:rsid w:val="006850F8"/>
    <w:rsid w:val="00685A63"/>
    <w:rsid w:val="00685BEC"/>
    <w:rsid w:val="00686BD3"/>
    <w:rsid w:val="00687636"/>
    <w:rsid w:val="00687968"/>
    <w:rsid w:val="00690C81"/>
    <w:rsid w:val="00691623"/>
    <w:rsid w:val="00692637"/>
    <w:rsid w:val="0069266B"/>
    <w:rsid w:val="0069285D"/>
    <w:rsid w:val="006928B4"/>
    <w:rsid w:val="006928FB"/>
    <w:rsid w:val="00692DED"/>
    <w:rsid w:val="006932E8"/>
    <w:rsid w:val="00693726"/>
    <w:rsid w:val="006950AD"/>
    <w:rsid w:val="006958D1"/>
    <w:rsid w:val="006966F3"/>
    <w:rsid w:val="00696C51"/>
    <w:rsid w:val="006A00EB"/>
    <w:rsid w:val="006A0CDE"/>
    <w:rsid w:val="006A102E"/>
    <w:rsid w:val="006A1762"/>
    <w:rsid w:val="006A360B"/>
    <w:rsid w:val="006A3AF6"/>
    <w:rsid w:val="006A463D"/>
    <w:rsid w:val="006A5201"/>
    <w:rsid w:val="006A5652"/>
    <w:rsid w:val="006A5CE1"/>
    <w:rsid w:val="006A67F5"/>
    <w:rsid w:val="006A729E"/>
    <w:rsid w:val="006A74BE"/>
    <w:rsid w:val="006A7822"/>
    <w:rsid w:val="006A78F6"/>
    <w:rsid w:val="006A7995"/>
    <w:rsid w:val="006B0586"/>
    <w:rsid w:val="006B0771"/>
    <w:rsid w:val="006B28E2"/>
    <w:rsid w:val="006B2C54"/>
    <w:rsid w:val="006B3132"/>
    <w:rsid w:val="006B42CD"/>
    <w:rsid w:val="006B46D3"/>
    <w:rsid w:val="006B4EF8"/>
    <w:rsid w:val="006B4F4A"/>
    <w:rsid w:val="006B50F5"/>
    <w:rsid w:val="006B580A"/>
    <w:rsid w:val="006B5D60"/>
    <w:rsid w:val="006B60DB"/>
    <w:rsid w:val="006B6E3E"/>
    <w:rsid w:val="006B7C33"/>
    <w:rsid w:val="006C03CD"/>
    <w:rsid w:val="006C0577"/>
    <w:rsid w:val="006C0B6D"/>
    <w:rsid w:val="006C0D86"/>
    <w:rsid w:val="006C1C03"/>
    <w:rsid w:val="006C1F64"/>
    <w:rsid w:val="006C33B7"/>
    <w:rsid w:val="006C4366"/>
    <w:rsid w:val="006C4542"/>
    <w:rsid w:val="006C4DD8"/>
    <w:rsid w:val="006C5427"/>
    <w:rsid w:val="006C5BF2"/>
    <w:rsid w:val="006C6319"/>
    <w:rsid w:val="006C6C07"/>
    <w:rsid w:val="006C6E3D"/>
    <w:rsid w:val="006C730A"/>
    <w:rsid w:val="006C7446"/>
    <w:rsid w:val="006C7762"/>
    <w:rsid w:val="006C784C"/>
    <w:rsid w:val="006C79C1"/>
    <w:rsid w:val="006D0AC4"/>
    <w:rsid w:val="006D15A0"/>
    <w:rsid w:val="006D257D"/>
    <w:rsid w:val="006D2700"/>
    <w:rsid w:val="006D2799"/>
    <w:rsid w:val="006D2953"/>
    <w:rsid w:val="006D298C"/>
    <w:rsid w:val="006D398F"/>
    <w:rsid w:val="006D3B60"/>
    <w:rsid w:val="006D474B"/>
    <w:rsid w:val="006D4A47"/>
    <w:rsid w:val="006D4A98"/>
    <w:rsid w:val="006D4B51"/>
    <w:rsid w:val="006D5192"/>
    <w:rsid w:val="006D5E37"/>
    <w:rsid w:val="006D6013"/>
    <w:rsid w:val="006D6187"/>
    <w:rsid w:val="006D767B"/>
    <w:rsid w:val="006E00A8"/>
    <w:rsid w:val="006E0288"/>
    <w:rsid w:val="006E0C43"/>
    <w:rsid w:val="006E0EBD"/>
    <w:rsid w:val="006E1458"/>
    <w:rsid w:val="006E1B35"/>
    <w:rsid w:val="006E1E84"/>
    <w:rsid w:val="006E1FA0"/>
    <w:rsid w:val="006E21DC"/>
    <w:rsid w:val="006E2575"/>
    <w:rsid w:val="006E3357"/>
    <w:rsid w:val="006E3C65"/>
    <w:rsid w:val="006E3F60"/>
    <w:rsid w:val="006E465B"/>
    <w:rsid w:val="006E4EDC"/>
    <w:rsid w:val="006E6AE1"/>
    <w:rsid w:val="006F0589"/>
    <w:rsid w:val="006F229E"/>
    <w:rsid w:val="006F426B"/>
    <w:rsid w:val="006F454A"/>
    <w:rsid w:val="006F46FB"/>
    <w:rsid w:val="006F487E"/>
    <w:rsid w:val="006F4C75"/>
    <w:rsid w:val="006F4D71"/>
    <w:rsid w:val="006F544F"/>
    <w:rsid w:val="006F5A38"/>
    <w:rsid w:val="006F75C9"/>
    <w:rsid w:val="006F7C80"/>
    <w:rsid w:val="00701571"/>
    <w:rsid w:val="00701ADD"/>
    <w:rsid w:val="00701FDE"/>
    <w:rsid w:val="00702FED"/>
    <w:rsid w:val="00703E55"/>
    <w:rsid w:val="007043E3"/>
    <w:rsid w:val="00704695"/>
    <w:rsid w:val="00704E09"/>
    <w:rsid w:val="00705255"/>
    <w:rsid w:val="00705A2E"/>
    <w:rsid w:val="00705AFB"/>
    <w:rsid w:val="00705E07"/>
    <w:rsid w:val="00705EA1"/>
    <w:rsid w:val="00705EF8"/>
    <w:rsid w:val="00706DE0"/>
    <w:rsid w:val="007075E6"/>
    <w:rsid w:val="0070788C"/>
    <w:rsid w:val="00707916"/>
    <w:rsid w:val="00711B3F"/>
    <w:rsid w:val="00711C7D"/>
    <w:rsid w:val="00711F1F"/>
    <w:rsid w:val="00712352"/>
    <w:rsid w:val="0071310D"/>
    <w:rsid w:val="007134BA"/>
    <w:rsid w:val="007135D2"/>
    <w:rsid w:val="00713623"/>
    <w:rsid w:val="00713A04"/>
    <w:rsid w:val="00713E5D"/>
    <w:rsid w:val="00714409"/>
    <w:rsid w:val="0071465B"/>
    <w:rsid w:val="00714F45"/>
    <w:rsid w:val="00715F1E"/>
    <w:rsid w:val="007163A4"/>
    <w:rsid w:val="00716651"/>
    <w:rsid w:val="007172DA"/>
    <w:rsid w:val="00720543"/>
    <w:rsid w:val="00720E4D"/>
    <w:rsid w:val="007226BD"/>
    <w:rsid w:val="007231E5"/>
    <w:rsid w:val="007232C5"/>
    <w:rsid w:val="0072331C"/>
    <w:rsid w:val="0072391B"/>
    <w:rsid w:val="00723E13"/>
    <w:rsid w:val="00725FC2"/>
    <w:rsid w:val="00726739"/>
    <w:rsid w:val="00730C4A"/>
    <w:rsid w:val="00731DE1"/>
    <w:rsid w:val="0073290E"/>
    <w:rsid w:val="00733484"/>
    <w:rsid w:val="0073464A"/>
    <w:rsid w:val="00734C21"/>
    <w:rsid w:val="00735253"/>
    <w:rsid w:val="007363D9"/>
    <w:rsid w:val="00737904"/>
    <w:rsid w:val="007379A3"/>
    <w:rsid w:val="00740C85"/>
    <w:rsid w:val="00741833"/>
    <w:rsid w:val="00741AD4"/>
    <w:rsid w:val="00741C65"/>
    <w:rsid w:val="00741F24"/>
    <w:rsid w:val="00742CBC"/>
    <w:rsid w:val="00743E28"/>
    <w:rsid w:val="007443DC"/>
    <w:rsid w:val="007452DD"/>
    <w:rsid w:val="0074607E"/>
    <w:rsid w:val="007467CE"/>
    <w:rsid w:val="00750305"/>
    <w:rsid w:val="0075090C"/>
    <w:rsid w:val="00750DB2"/>
    <w:rsid w:val="00751342"/>
    <w:rsid w:val="0075154B"/>
    <w:rsid w:val="00753C80"/>
    <w:rsid w:val="00753DBB"/>
    <w:rsid w:val="00754646"/>
    <w:rsid w:val="00754E60"/>
    <w:rsid w:val="007553CE"/>
    <w:rsid w:val="0075541C"/>
    <w:rsid w:val="00755670"/>
    <w:rsid w:val="007563B9"/>
    <w:rsid w:val="00756DC7"/>
    <w:rsid w:val="0075770A"/>
    <w:rsid w:val="00760908"/>
    <w:rsid w:val="00760BB8"/>
    <w:rsid w:val="00760BBE"/>
    <w:rsid w:val="00760F70"/>
    <w:rsid w:val="007613A6"/>
    <w:rsid w:val="007613B6"/>
    <w:rsid w:val="007616CD"/>
    <w:rsid w:val="00761DFA"/>
    <w:rsid w:val="00763361"/>
    <w:rsid w:val="00763DE2"/>
    <w:rsid w:val="00763FC0"/>
    <w:rsid w:val="00766B89"/>
    <w:rsid w:val="007675BE"/>
    <w:rsid w:val="00767A38"/>
    <w:rsid w:val="0077002F"/>
    <w:rsid w:val="007700D8"/>
    <w:rsid w:val="007703D5"/>
    <w:rsid w:val="007703F4"/>
    <w:rsid w:val="007709CF"/>
    <w:rsid w:val="00770ECE"/>
    <w:rsid w:val="0077126E"/>
    <w:rsid w:val="00771400"/>
    <w:rsid w:val="0077329F"/>
    <w:rsid w:val="007732B7"/>
    <w:rsid w:val="00773F38"/>
    <w:rsid w:val="00773F5C"/>
    <w:rsid w:val="00773FA8"/>
    <w:rsid w:val="00774C5F"/>
    <w:rsid w:val="00774D05"/>
    <w:rsid w:val="00775128"/>
    <w:rsid w:val="0077559E"/>
    <w:rsid w:val="00775B0D"/>
    <w:rsid w:val="007766C7"/>
    <w:rsid w:val="007768A5"/>
    <w:rsid w:val="00776DDA"/>
    <w:rsid w:val="0077708B"/>
    <w:rsid w:val="00777157"/>
    <w:rsid w:val="00777DBA"/>
    <w:rsid w:val="007802FC"/>
    <w:rsid w:val="00780678"/>
    <w:rsid w:val="00780D5A"/>
    <w:rsid w:val="0078100F"/>
    <w:rsid w:val="007813EA"/>
    <w:rsid w:val="007814DA"/>
    <w:rsid w:val="0078334C"/>
    <w:rsid w:val="00783710"/>
    <w:rsid w:val="00783975"/>
    <w:rsid w:val="007839C9"/>
    <w:rsid w:val="00783B9A"/>
    <w:rsid w:val="0078430E"/>
    <w:rsid w:val="007844C3"/>
    <w:rsid w:val="007859F9"/>
    <w:rsid w:val="007866E3"/>
    <w:rsid w:val="00786FA9"/>
    <w:rsid w:val="0078737B"/>
    <w:rsid w:val="00787740"/>
    <w:rsid w:val="00787FA4"/>
    <w:rsid w:val="00787FBA"/>
    <w:rsid w:val="007902D4"/>
    <w:rsid w:val="00790EDE"/>
    <w:rsid w:val="00791117"/>
    <w:rsid w:val="00791CFB"/>
    <w:rsid w:val="00791D83"/>
    <w:rsid w:val="00792557"/>
    <w:rsid w:val="0079279B"/>
    <w:rsid w:val="0079284D"/>
    <w:rsid w:val="007935DB"/>
    <w:rsid w:val="007938EB"/>
    <w:rsid w:val="00794860"/>
    <w:rsid w:val="00794C5A"/>
    <w:rsid w:val="00795275"/>
    <w:rsid w:val="00796869"/>
    <w:rsid w:val="0079688D"/>
    <w:rsid w:val="007969B4"/>
    <w:rsid w:val="00796FD5"/>
    <w:rsid w:val="0079706D"/>
    <w:rsid w:val="007A017C"/>
    <w:rsid w:val="007A0306"/>
    <w:rsid w:val="007A0C18"/>
    <w:rsid w:val="007A141C"/>
    <w:rsid w:val="007A14C2"/>
    <w:rsid w:val="007A23BB"/>
    <w:rsid w:val="007A27C9"/>
    <w:rsid w:val="007A285C"/>
    <w:rsid w:val="007A295F"/>
    <w:rsid w:val="007A31EE"/>
    <w:rsid w:val="007A32B3"/>
    <w:rsid w:val="007A3A2C"/>
    <w:rsid w:val="007A3BA8"/>
    <w:rsid w:val="007A400D"/>
    <w:rsid w:val="007A434B"/>
    <w:rsid w:val="007A442A"/>
    <w:rsid w:val="007A4F5F"/>
    <w:rsid w:val="007A5125"/>
    <w:rsid w:val="007A57B5"/>
    <w:rsid w:val="007A5C5F"/>
    <w:rsid w:val="007A698C"/>
    <w:rsid w:val="007A6C35"/>
    <w:rsid w:val="007B0FA9"/>
    <w:rsid w:val="007B1F99"/>
    <w:rsid w:val="007B23C2"/>
    <w:rsid w:val="007B276F"/>
    <w:rsid w:val="007B29BF"/>
    <w:rsid w:val="007B350A"/>
    <w:rsid w:val="007B3540"/>
    <w:rsid w:val="007B3C6C"/>
    <w:rsid w:val="007B4A48"/>
    <w:rsid w:val="007B5331"/>
    <w:rsid w:val="007B5617"/>
    <w:rsid w:val="007B56BD"/>
    <w:rsid w:val="007B5C11"/>
    <w:rsid w:val="007B5CF2"/>
    <w:rsid w:val="007B5D64"/>
    <w:rsid w:val="007B5E64"/>
    <w:rsid w:val="007B6005"/>
    <w:rsid w:val="007B62B4"/>
    <w:rsid w:val="007B68D3"/>
    <w:rsid w:val="007B70B9"/>
    <w:rsid w:val="007B732E"/>
    <w:rsid w:val="007B789B"/>
    <w:rsid w:val="007B7906"/>
    <w:rsid w:val="007C003A"/>
    <w:rsid w:val="007C0795"/>
    <w:rsid w:val="007C0AF7"/>
    <w:rsid w:val="007C0F97"/>
    <w:rsid w:val="007C163E"/>
    <w:rsid w:val="007C16D6"/>
    <w:rsid w:val="007C1C1D"/>
    <w:rsid w:val="007C1DA0"/>
    <w:rsid w:val="007C2294"/>
    <w:rsid w:val="007C2346"/>
    <w:rsid w:val="007C541B"/>
    <w:rsid w:val="007C595C"/>
    <w:rsid w:val="007C5C5B"/>
    <w:rsid w:val="007C6083"/>
    <w:rsid w:val="007C6163"/>
    <w:rsid w:val="007C6233"/>
    <w:rsid w:val="007C6989"/>
    <w:rsid w:val="007C72E3"/>
    <w:rsid w:val="007C773B"/>
    <w:rsid w:val="007C784D"/>
    <w:rsid w:val="007C7A2E"/>
    <w:rsid w:val="007C7EBF"/>
    <w:rsid w:val="007D07B3"/>
    <w:rsid w:val="007D10C0"/>
    <w:rsid w:val="007D141F"/>
    <w:rsid w:val="007D1488"/>
    <w:rsid w:val="007D1857"/>
    <w:rsid w:val="007D242E"/>
    <w:rsid w:val="007D2F17"/>
    <w:rsid w:val="007D32B3"/>
    <w:rsid w:val="007D3939"/>
    <w:rsid w:val="007D3D57"/>
    <w:rsid w:val="007D401C"/>
    <w:rsid w:val="007D49C6"/>
    <w:rsid w:val="007D4A14"/>
    <w:rsid w:val="007D4E5F"/>
    <w:rsid w:val="007D548D"/>
    <w:rsid w:val="007D5CA9"/>
    <w:rsid w:val="007D5FEA"/>
    <w:rsid w:val="007D651A"/>
    <w:rsid w:val="007D65CC"/>
    <w:rsid w:val="007D69FF"/>
    <w:rsid w:val="007D6CC9"/>
    <w:rsid w:val="007D6F57"/>
    <w:rsid w:val="007D75C0"/>
    <w:rsid w:val="007D7850"/>
    <w:rsid w:val="007D7D76"/>
    <w:rsid w:val="007E0356"/>
    <w:rsid w:val="007E1994"/>
    <w:rsid w:val="007E1F47"/>
    <w:rsid w:val="007E2E07"/>
    <w:rsid w:val="007E3368"/>
    <w:rsid w:val="007E4B5E"/>
    <w:rsid w:val="007E4DC2"/>
    <w:rsid w:val="007E5E7B"/>
    <w:rsid w:val="007E65A9"/>
    <w:rsid w:val="007E6D23"/>
    <w:rsid w:val="007E70BF"/>
    <w:rsid w:val="007F0EEB"/>
    <w:rsid w:val="007F1D60"/>
    <w:rsid w:val="007F1E96"/>
    <w:rsid w:val="007F1F87"/>
    <w:rsid w:val="007F2C93"/>
    <w:rsid w:val="007F2F3E"/>
    <w:rsid w:val="007F346C"/>
    <w:rsid w:val="007F3756"/>
    <w:rsid w:val="007F37DD"/>
    <w:rsid w:val="007F3AC9"/>
    <w:rsid w:val="007F3D61"/>
    <w:rsid w:val="007F3D7F"/>
    <w:rsid w:val="007F466D"/>
    <w:rsid w:val="007F4E9C"/>
    <w:rsid w:val="007F50DE"/>
    <w:rsid w:val="007F5906"/>
    <w:rsid w:val="007F6157"/>
    <w:rsid w:val="007F69B0"/>
    <w:rsid w:val="007F7264"/>
    <w:rsid w:val="007F7B28"/>
    <w:rsid w:val="007F7E49"/>
    <w:rsid w:val="00800526"/>
    <w:rsid w:val="00800798"/>
    <w:rsid w:val="00800C1B"/>
    <w:rsid w:val="00800EE4"/>
    <w:rsid w:val="00801A2D"/>
    <w:rsid w:val="00801D4E"/>
    <w:rsid w:val="00801F69"/>
    <w:rsid w:val="00801FA8"/>
    <w:rsid w:val="00802705"/>
    <w:rsid w:val="00802B34"/>
    <w:rsid w:val="00802E78"/>
    <w:rsid w:val="00803177"/>
    <w:rsid w:val="00804039"/>
    <w:rsid w:val="008059A5"/>
    <w:rsid w:val="00805C1E"/>
    <w:rsid w:val="00806AF7"/>
    <w:rsid w:val="00806EA1"/>
    <w:rsid w:val="008072CE"/>
    <w:rsid w:val="00807979"/>
    <w:rsid w:val="008079F7"/>
    <w:rsid w:val="00807EF0"/>
    <w:rsid w:val="00811713"/>
    <w:rsid w:val="0081189A"/>
    <w:rsid w:val="008118E6"/>
    <w:rsid w:val="008119CC"/>
    <w:rsid w:val="008119FD"/>
    <w:rsid w:val="0081236D"/>
    <w:rsid w:val="008125C1"/>
    <w:rsid w:val="00813067"/>
    <w:rsid w:val="0081306B"/>
    <w:rsid w:val="0081325A"/>
    <w:rsid w:val="008133D3"/>
    <w:rsid w:val="0081341B"/>
    <w:rsid w:val="008138E6"/>
    <w:rsid w:val="00813AE2"/>
    <w:rsid w:val="00813BAC"/>
    <w:rsid w:val="00813EB9"/>
    <w:rsid w:val="00814DE5"/>
    <w:rsid w:val="00815432"/>
    <w:rsid w:val="00815BC2"/>
    <w:rsid w:val="00816C45"/>
    <w:rsid w:val="008171AA"/>
    <w:rsid w:val="00817520"/>
    <w:rsid w:val="008176B3"/>
    <w:rsid w:val="0081778A"/>
    <w:rsid w:val="008202AE"/>
    <w:rsid w:val="008204C7"/>
    <w:rsid w:val="008207CF"/>
    <w:rsid w:val="00821567"/>
    <w:rsid w:val="0082185D"/>
    <w:rsid w:val="008218C9"/>
    <w:rsid w:val="00821D70"/>
    <w:rsid w:val="008221C0"/>
    <w:rsid w:val="00822273"/>
    <w:rsid w:val="008227BF"/>
    <w:rsid w:val="00822EA1"/>
    <w:rsid w:val="00823B75"/>
    <w:rsid w:val="00823D43"/>
    <w:rsid w:val="00824809"/>
    <w:rsid w:val="00825D72"/>
    <w:rsid w:val="008264EB"/>
    <w:rsid w:val="0083016F"/>
    <w:rsid w:val="008302BA"/>
    <w:rsid w:val="00830605"/>
    <w:rsid w:val="0083306C"/>
    <w:rsid w:val="00833721"/>
    <w:rsid w:val="00834149"/>
    <w:rsid w:val="0083432C"/>
    <w:rsid w:val="008344A6"/>
    <w:rsid w:val="00834B82"/>
    <w:rsid w:val="00835633"/>
    <w:rsid w:val="00835709"/>
    <w:rsid w:val="008359AA"/>
    <w:rsid w:val="008369E4"/>
    <w:rsid w:val="00837607"/>
    <w:rsid w:val="008376D8"/>
    <w:rsid w:val="00837F6A"/>
    <w:rsid w:val="0084027A"/>
    <w:rsid w:val="008404B8"/>
    <w:rsid w:val="0084194B"/>
    <w:rsid w:val="00842137"/>
    <w:rsid w:val="008424D0"/>
    <w:rsid w:val="00842A6E"/>
    <w:rsid w:val="00843476"/>
    <w:rsid w:val="0084366F"/>
    <w:rsid w:val="008437D9"/>
    <w:rsid w:val="0084392E"/>
    <w:rsid w:val="008442E1"/>
    <w:rsid w:val="00844745"/>
    <w:rsid w:val="00844E38"/>
    <w:rsid w:val="0084502E"/>
    <w:rsid w:val="008456D1"/>
    <w:rsid w:val="0084661E"/>
    <w:rsid w:val="00847357"/>
    <w:rsid w:val="008477D3"/>
    <w:rsid w:val="008507CE"/>
    <w:rsid w:val="008508CE"/>
    <w:rsid w:val="00850D57"/>
    <w:rsid w:val="00851478"/>
    <w:rsid w:val="0085181F"/>
    <w:rsid w:val="00851BD7"/>
    <w:rsid w:val="00852314"/>
    <w:rsid w:val="008530E8"/>
    <w:rsid w:val="00853994"/>
    <w:rsid w:val="00853C58"/>
    <w:rsid w:val="00854069"/>
    <w:rsid w:val="00854257"/>
    <w:rsid w:val="0085485A"/>
    <w:rsid w:val="00854E06"/>
    <w:rsid w:val="008554FF"/>
    <w:rsid w:val="00855B5C"/>
    <w:rsid w:val="00855EF2"/>
    <w:rsid w:val="00855F73"/>
    <w:rsid w:val="0085640F"/>
    <w:rsid w:val="00857172"/>
    <w:rsid w:val="008601DF"/>
    <w:rsid w:val="008601F1"/>
    <w:rsid w:val="008603A4"/>
    <w:rsid w:val="00860B11"/>
    <w:rsid w:val="00861182"/>
    <w:rsid w:val="00861D08"/>
    <w:rsid w:val="0086230C"/>
    <w:rsid w:val="008624A8"/>
    <w:rsid w:val="008625CA"/>
    <w:rsid w:val="00862B8F"/>
    <w:rsid w:val="00863498"/>
    <w:rsid w:val="008636C4"/>
    <w:rsid w:val="00865A95"/>
    <w:rsid w:val="00865C55"/>
    <w:rsid w:val="00865EC3"/>
    <w:rsid w:val="008674B2"/>
    <w:rsid w:val="00867CD1"/>
    <w:rsid w:val="0087035B"/>
    <w:rsid w:val="0087081B"/>
    <w:rsid w:val="00870F93"/>
    <w:rsid w:val="00871F52"/>
    <w:rsid w:val="008721A3"/>
    <w:rsid w:val="0087255D"/>
    <w:rsid w:val="008737F6"/>
    <w:rsid w:val="00873C5C"/>
    <w:rsid w:val="00873EF8"/>
    <w:rsid w:val="008741A3"/>
    <w:rsid w:val="00874358"/>
    <w:rsid w:val="008747CA"/>
    <w:rsid w:val="00875BC9"/>
    <w:rsid w:val="00877373"/>
    <w:rsid w:val="0088037E"/>
    <w:rsid w:val="008809D8"/>
    <w:rsid w:val="00880DDF"/>
    <w:rsid w:val="0088143A"/>
    <w:rsid w:val="008819AE"/>
    <w:rsid w:val="00881F7D"/>
    <w:rsid w:val="00882241"/>
    <w:rsid w:val="008826F3"/>
    <w:rsid w:val="00882941"/>
    <w:rsid w:val="0088315F"/>
    <w:rsid w:val="00883256"/>
    <w:rsid w:val="0088339F"/>
    <w:rsid w:val="00884941"/>
    <w:rsid w:val="00884997"/>
    <w:rsid w:val="008849A4"/>
    <w:rsid w:val="00884E80"/>
    <w:rsid w:val="008851AA"/>
    <w:rsid w:val="00885745"/>
    <w:rsid w:val="00885A47"/>
    <w:rsid w:val="008864D1"/>
    <w:rsid w:val="00886556"/>
    <w:rsid w:val="00886F64"/>
    <w:rsid w:val="00887983"/>
    <w:rsid w:val="008905A4"/>
    <w:rsid w:val="0089099E"/>
    <w:rsid w:val="00890B99"/>
    <w:rsid w:val="00890F34"/>
    <w:rsid w:val="008915BF"/>
    <w:rsid w:val="00892573"/>
    <w:rsid w:val="00893043"/>
    <w:rsid w:val="00893EB9"/>
    <w:rsid w:val="00895067"/>
    <w:rsid w:val="0089574F"/>
    <w:rsid w:val="008957DD"/>
    <w:rsid w:val="00897969"/>
    <w:rsid w:val="00897EB0"/>
    <w:rsid w:val="008A0275"/>
    <w:rsid w:val="008A06A2"/>
    <w:rsid w:val="008A0829"/>
    <w:rsid w:val="008A0840"/>
    <w:rsid w:val="008A0953"/>
    <w:rsid w:val="008A108E"/>
    <w:rsid w:val="008A15BC"/>
    <w:rsid w:val="008A1A8D"/>
    <w:rsid w:val="008A2002"/>
    <w:rsid w:val="008A26DE"/>
    <w:rsid w:val="008A2CC7"/>
    <w:rsid w:val="008A2EDA"/>
    <w:rsid w:val="008A2F66"/>
    <w:rsid w:val="008A3D13"/>
    <w:rsid w:val="008A4F4B"/>
    <w:rsid w:val="008A57E7"/>
    <w:rsid w:val="008A6425"/>
    <w:rsid w:val="008A657C"/>
    <w:rsid w:val="008A6671"/>
    <w:rsid w:val="008A6983"/>
    <w:rsid w:val="008A6D2D"/>
    <w:rsid w:val="008A6E7A"/>
    <w:rsid w:val="008A79EF"/>
    <w:rsid w:val="008A7B82"/>
    <w:rsid w:val="008B03A4"/>
    <w:rsid w:val="008B0AAA"/>
    <w:rsid w:val="008B0B90"/>
    <w:rsid w:val="008B0E80"/>
    <w:rsid w:val="008B1EFC"/>
    <w:rsid w:val="008B2236"/>
    <w:rsid w:val="008B2964"/>
    <w:rsid w:val="008B411F"/>
    <w:rsid w:val="008B4371"/>
    <w:rsid w:val="008B507E"/>
    <w:rsid w:val="008B5141"/>
    <w:rsid w:val="008B543B"/>
    <w:rsid w:val="008B58A6"/>
    <w:rsid w:val="008B5E21"/>
    <w:rsid w:val="008B63AD"/>
    <w:rsid w:val="008B63CF"/>
    <w:rsid w:val="008B64A5"/>
    <w:rsid w:val="008B6A3B"/>
    <w:rsid w:val="008B6ABD"/>
    <w:rsid w:val="008B7040"/>
    <w:rsid w:val="008B7EDB"/>
    <w:rsid w:val="008C0143"/>
    <w:rsid w:val="008C098A"/>
    <w:rsid w:val="008C0CD9"/>
    <w:rsid w:val="008C0E08"/>
    <w:rsid w:val="008C10D2"/>
    <w:rsid w:val="008C10D8"/>
    <w:rsid w:val="008C1180"/>
    <w:rsid w:val="008C1DBC"/>
    <w:rsid w:val="008C28BF"/>
    <w:rsid w:val="008C4241"/>
    <w:rsid w:val="008C43E0"/>
    <w:rsid w:val="008C4864"/>
    <w:rsid w:val="008C4CDA"/>
    <w:rsid w:val="008C4F5E"/>
    <w:rsid w:val="008C5326"/>
    <w:rsid w:val="008C66D4"/>
    <w:rsid w:val="008C69D0"/>
    <w:rsid w:val="008C6C32"/>
    <w:rsid w:val="008C7982"/>
    <w:rsid w:val="008D034F"/>
    <w:rsid w:val="008D0C52"/>
    <w:rsid w:val="008D17F1"/>
    <w:rsid w:val="008D18F1"/>
    <w:rsid w:val="008D261B"/>
    <w:rsid w:val="008D2C7D"/>
    <w:rsid w:val="008D3025"/>
    <w:rsid w:val="008D426E"/>
    <w:rsid w:val="008D4555"/>
    <w:rsid w:val="008D4F23"/>
    <w:rsid w:val="008D51E3"/>
    <w:rsid w:val="008D5601"/>
    <w:rsid w:val="008D5C82"/>
    <w:rsid w:val="008D645F"/>
    <w:rsid w:val="008D6C52"/>
    <w:rsid w:val="008D6D78"/>
    <w:rsid w:val="008D7021"/>
    <w:rsid w:val="008D7861"/>
    <w:rsid w:val="008E049E"/>
    <w:rsid w:val="008E1554"/>
    <w:rsid w:val="008E1569"/>
    <w:rsid w:val="008E1D23"/>
    <w:rsid w:val="008E25B8"/>
    <w:rsid w:val="008E52B3"/>
    <w:rsid w:val="008E5CD6"/>
    <w:rsid w:val="008E5D2E"/>
    <w:rsid w:val="008E6FE4"/>
    <w:rsid w:val="008E74A5"/>
    <w:rsid w:val="008E75D0"/>
    <w:rsid w:val="008E7EFA"/>
    <w:rsid w:val="008F0B20"/>
    <w:rsid w:val="008F110F"/>
    <w:rsid w:val="008F12F3"/>
    <w:rsid w:val="008F167B"/>
    <w:rsid w:val="008F2665"/>
    <w:rsid w:val="008F273A"/>
    <w:rsid w:val="008F2FBD"/>
    <w:rsid w:val="008F32CB"/>
    <w:rsid w:val="008F3CE5"/>
    <w:rsid w:val="008F49A4"/>
    <w:rsid w:val="008F5801"/>
    <w:rsid w:val="008F5C71"/>
    <w:rsid w:val="008F68B1"/>
    <w:rsid w:val="008F6C8F"/>
    <w:rsid w:val="008F7214"/>
    <w:rsid w:val="008F77F3"/>
    <w:rsid w:val="008F7846"/>
    <w:rsid w:val="008F7992"/>
    <w:rsid w:val="009003B0"/>
    <w:rsid w:val="00900691"/>
    <w:rsid w:val="0090090E"/>
    <w:rsid w:val="00900AF0"/>
    <w:rsid w:val="009014DD"/>
    <w:rsid w:val="00901BEF"/>
    <w:rsid w:val="00902B33"/>
    <w:rsid w:val="009031B9"/>
    <w:rsid w:val="009032A8"/>
    <w:rsid w:val="009038CB"/>
    <w:rsid w:val="00903F81"/>
    <w:rsid w:val="0090449C"/>
    <w:rsid w:val="009049BF"/>
    <w:rsid w:val="00904B26"/>
    <w:rsid w:val="00905343"/>
    <w:rsid w:val="009054E3"/>
    <w:rsid w:val="009062D3"/>
    <w:rsid w:val="009066E5"/>
    <w:rsid w:val="009075DE"/>
    <w:rsid w:val="00910110"/>
    <w:rsid w:val="009105C9"/>
    <w:rsid w:val="0091069B"/>
    <w:rsid w:val="00910B29"/>
    <w:rsid w:val="00910F0B"/>
    <w:rsid w:val="009116DD"/>
    <w:rsid w:val="009119C0"/>
    <w:rsid w:val="009119E2"/>
    <w:rsid w:val="00913B1E"/>
    <w:rsid w:val="00914603"/>
    <w:rsid w:val="00914984"/>
    <w:rsid w:val="009151BA"/>
    <w:rsid w:val="00915362"/>
    <w:rsid w:val="009157C6"/>
    <w:rsid w:val="0091697B"/>
    <w:rsid w:val="00916B29"/>
    <w:rsid w:val="00916F3A"/>
    <w:rsid w:val="00916F56"/>
    <w:rsid w:val="0091754B"/>
    <w:rsid w:val="00920EE3"/>
    <w:rsid w:val="00921D98"/>
    <w:rsid w:val="009220E1"/>
    <w:rsid w:val="009224F4"/>
    <w:rsid w:val="0092399A"/>
    <w:rsid w:val="00924377"/>
    <w:rsid w:val="00925A00"/>
    <w:rsid w:val="00926610"/>
    <w:rsid w:val="009267C4"/>
    <w:rsid w:val="00926BB3"/>
    <w:rsid w:val="00926DAC"/>
    <w:rsid w:val="00927310"/>
    <w:rsid w:val="009277BC"/>
    <w:rsid w:val="00927938"/>
    <w:rsid w:val="00927986"/>
    <w:rsid w:val="00927B85"/>
    <w:rsid w:val="00927D7A"/>
    <w:rsid w:val="00927FC3"/>
    <w:rsid w:val="0093002C"/>
    <w:rsid w:val="00930361"/>
    <w:rsid w:val="00930BC4"/>
    <w:rsid w:val="0093134C"/>
    <w:rsid w:val="009322AE"/>
    <w:rsid w:val="0093254F"/>
    <w:rsid w:val="00932D76"/>
    <w:rsid w:val="00932DE2"/>
    <w:rsid w:val="00934281"/>
    <w:rsid w:val="0093442B"/>
    <w:rsid w:val="00934464"/>
    <w:rsid w:val="009353ED"/>
    <w:rsid w:val="00935635"/>
    <w:rsid w:val="009356EC"/>
    <w:rsid w:val="009359F9"/>
    <w:rsid w:val="00935F8F"/>
    <w:rsid w:val="0093681C"/>
    <w:rsid w:val="00937084"/>
    <w:rsid w:val="00937267"/>
    <w:rsid w:val="00937EF3"/>
    <w:rsid w:val="00940782"/>
    <w:rsid w:val="00940992"/>
    <w:rsid w:val="00940A4F"/>
    <w:rsid w:val="00941A35"/>
    <w:rsid w:val="0094330E"/>
    <w:rsid w:val="00943499"/>
    <w:rsid w:val="00943A85"/>
    <w:rsid w:val="00943E73"/>
    <w:rsid w:val="00943FBC"/>
    <w:rsid w:val="00944473"/>
    <w:rsid w:val="009450C7"/>
    <w:rsid w:val="009459B0"/>
    <w:rsid w:val="00945A09"/>
    <w:rsid w:val="0094653E"/>
    <w:rsid w:val="00946DB0"/>
    <w:rsid w:val="0094737C"/>
    <w:rsid w:val="009479C4"/>
    <w:rsid w:val="009502C4"/>
    <w:rsid w:val="009504A8"/>
    <w:rsid w:val="00950863"/>
    <w:rsid w:val="00950987"/>
    <w:rsid w:val="009509A0"/>
    <w:rsid w:val="00950D9D"/>
    <w:rsid w:val="00951246"/>
    <w:rsid w:val="009516CA"/>
    <w:rsid w:val="00951CE3"/>
    <w:rsid w:val="00951D43"/>
    <w:rsid w:val="00952268"/>
    <w:rsid w:val="009524D7"/>
    <w:rsid w:val="009525A9"/>
    <w:rsid w:val="00952A05"/>
    <w:rsid w:val="009532F2"/>
    <w:rsid w:val="00954053"/>
    <w:rsid w:val="00955700"/>
    <w:rsid w:val="00955712"/>
    <w:rsid w:val="00955F5B"/>
    <w:rsid w:val="00956F88"/>
    <w:rsid w:val="009571C7"/>
    <w:rsid w:val="00957BB4"/>
    <w:rsid w:val="00960629"/>
    <w:rsid w:val="0096091E"/>
    <w:rsid w:val="00960CBF"/>
    <w:rsid w:val="00961209"/>
    <w:rsid w:val="009613A9"/>
    <w:rsid w:val="00961909"/>
    <w:rsid w:val="00961A52"/>
    <w:rsid w:val="00962414"/>
    <w:rsid w:val="009624D9"/>
    <w:rsid w:val="009626D7"/>
    <w:rsid w:val="00962701"/>
    <w:rsid w:val="009636A9"/>
    <w:rsid w:val="009636AF"/>
    <w:rsid w:val="009641ED"/>
    <w:rsid w:val="009645B2"/>
    <w:rsid w:val="00964D18"/>
    <w:rsid w:val="00965253"/>
    <w:rsid w:val="009653C9"/>
    <w:rsid w:val="00965A78"/>
    <w:rsid w:val="00967A39"/>
    <w:rsid w:val="00967BCC"/>
    <w:rsid w:val="00967FBA"/>
    <w:rsid w:val="00970439"/>
    <w:rsid w:val="0097099B"/>
    <w:rsid w:val="00972C24"/>
    <w:rsid w:val="00973310"/>
    <w:rsid w:val="009745C5"/>
    <w:rsid w:val="00974738"/>
    <w:rsid w:val="00974AAB"/>
    <w:rsid w:val="00975083"/>
    <w:rsid w:val="00975CBE"/>
    <w:rsid w:val="00975FAC"/>
    <w:rsid w:val="00976836"/>
    <w:rsid w:val="00976CFB"/>
    <w:rsid w:val="00976ED5"/>
    <w:rsid w:val="00977B3D"/>
    <w:rsid w:val="00980CAE"/>
    <w:rsid w:val="009815AD"/>
    <w:rsid w:val="009823A8"/>
    <w:rsid w:val="00982F48"/>
    <w:rsid w:val="009832F3"/>
    <w:rsid w:val="009835AD"/>
    <w:rsid w:val="00983DFF"/>
    <w:rsid w:val="009845F2"/>
    <w:rsid w:val="009848E0"/>
    <w:rsid w:val="00985155"/>
    <w:rsid w:val="00985E08"/>
    <w:rsid w:val="00985FBC"/>
    <w:rsid w:val="0098659B"/>
    <w:rsid w:val="009871F2"/>
    <w:rsid w:val="0098767C"/>
    <w:rsid w:val="009877EA"/>
    <w:rsid w:val="00990489"/>
    <w:rsid w:val="00990630"/>
    <w:rsid w:val="0099066F"/>
    <w:rsid w:val="009914C6"/>
    <w:rsid w:val="0099291F"/>
    <w:rsid w:val="00992CA7"/>
    <w:rsid w:val="0099363F"/>
    <w:rsid w:val="00993814"/>
    <w:rsid w:val="00993CED"/>
    <w:rsid w:val="009949ED"/>
    <w:rsid w:val="00995670"/>
    <w:rsid w:val="00996399"/>
    <w:rsid w:val="00997731"/>
    <w:rsid w:val="00997E07"/>
    <w:rsid w:val="009A0014"/>
    <w:rsid w:val="009A0432"/>
    <w:rsid w:val="009A0473"/>
    <w:rsid w:val="009A054B"/>
    <w:rsid w:val="009A0B02"/>
    <w:rsid w:val="009A1172"/>
    <w:rsid w:val="009A11F3"/>
    <w:rsid w:val="009A1A50"/>
    <w:rsid w:val="009A1C8D"/>
    <w:rsid w:val="009A1CE4"/>
    <w:rsid w:val="009A2221"/>
    <w:rsid w:val="009A251C"/>
    <w:rsid w:val="009A277A"/>
    <w:rsid w:val="009A302E"/>
    <w:rsid w:val="009A3694"/>
    <w:rsid w:val="009A3894"/>
    <w:rsid w:val="009A4136"/>
    <w:rsid w:val="009A48C4"/>
    <w:rsid w:val="009A5397"/>
    <w:rsid w:val="009A563E"/>
    <w:rsid w:val="009A56C6"/>
    <w:rsid w:val="009A5789"/>
    <w:rsid w:val="009A62DD"/>
    <w:rsid w:val="009A6482"/>
    <w:rsid w:val="009A6792"/>
    <w:rsid w:val="009A6C3A"/>
    <w:rsid w:val="009B1B47"/>
    <w:rsid w:val="009B1C1A"/>
    <w:rsid w:val="009B2111"/>
    <w:rsid w:val="009B28B9"/>
    <w:rsid w:val="009B30D7"/>
    <w:rsid w:val="009B3259"/>
    <w:rsid w:val="009B3F7A"/>
    <w:rsid w:val="009B46AF"/>
    <w:rsid w:val="009B51C2"/>
    <w:rsid w:val="009B5FFC"/>
    <w:rsid w:val="009B62B1"/>
    <w:rsid w:val="009B63CD"/>
    <w:rsid w:val="009B667B"/>
    <w:rsid w:val="009B74D5"/>
    <w:rsid w:val="009C0693"/>
    <w:rsid w:val="009C0C47"/>
    <w:rsid w:val="009C0FC9"/>
    <w:rsid w:val="009C1A67"/>
    <w:rsid w:val="009C208F"/>
    <w:rsid w:val="009C22C5"/>
    <w:rsid w:val="009C282A"/>
    <w:rsid w:val="009C2872"/>
    <w:rsid w:val="009C2DBD"/>
    <w:rsid w:val="009C2F1D"/>
    <w:rsid w:val="009C41CB"/>
    <w:rsid w:val="009C507B"/>
    <w:rsid w:val="009C55D9"/>
    <w:rsid w:val="009C5601"/>
    <w:rsid w:val="009C5BDA"/>
    <w:rsid w:val="009C5C4A"/>
    <w:rsid w:val="009C6182"/>
    <w:rsid w:val="009C6E4D"/>
    <w:rsid w:val="009C7062"/>
    <w:rsid w:val="009C73A9"/>
    <w:rsid w:val="009C78F3"/>
    <w:rsid w:val="009D1738"/>
    <w:rsid w:val="009D1982"/>
    <w:rsid w:val="009D1BD3"/>
    <w:rsid w:val="009D1CC0"/>
    <w:rsid w:val="009D2925"/>
    <w:rsid w:val="009D35F9"/>
    <w:rsid w:val="009D56B6"/>
    <w:rsid w:val="009D5C3D"/>
    <w:rsid w:val="009D5E16"/>
    <w:rsid w:val="009D6535"/>
    <w:rsid w:val="009D72A7"/>
    <w:rsid w:val="009D7C2C"/>
    <w:rsid w:val="009E098A"/>
    <w:rsid w:val="009E1A23"/>
    <w:rsid w:val="009E1B5F"/>
    <w:rsid w:val="009E1F3F"/>
    <w:rsid w:val="009E223E"/>
    <w:rsid w:val="009E23E6"/>
    <w:rsid w:val="009E3642"/>
    <w:rsid w:val="009E46C1"/>
    <w:rsid w:val="009E5EA1"/>
    <w:rsid w:val="009E6069"/>
    <w:rsid w:val="009E6650"/>
    <w:rsid w:val="009E6802"/>
    <w:rsid w:val="009E6816"/>
    <w:rsid w:val="009E7080"/>
    <w:rsid w:val="009E74E3"/>
    <w:rsid w:val="009F0158"/>
    <w:rsid w:val="009F0957"/>
    <w:rsid w:val="009F0C88"/>
    <w:rsid w:val="009F12BE"/>
    <w:rsid w:val="009F1500"/>
    <w:rsid w:val="009F1A97"/>
    <w:rsid w:val="009F222F"/>
    <w:rsid w:val="009F2AF1"/>
    <w:rsid w:val="009F5193"/>
    <w:rsid w:val="009F5210"/>
    <w:rsid w:val="009F581F"/>
    <w:rsid w:val="009F6C24"/>
    <w:rsid w:val="009F749E"/>
    <w:rsid w:val="009F7F54"/>
    <w:rsid w:val="00A00439"/>
    <w:rsid w:val="00A00685"/>
    <w:rsid w:val="00A00BBE"/>
    <w:rsid w:val="00A00C62"/>
    <w:rsid w:val="00A00E46"/>
    <w:rsid w:val="00A01024"/>
    <w:rsid w:val="00A012F9"/>
    <w:rsid w:val="00A0154C"/>
    <w:rsid w:val="00A0206A"/>
    <w:rsid w:val="00A02F46"/>
    <w:rsid w:val="00A030A4"/>
    <w:rsid w:val="00A034AF"/>
    <w:rsid w:val="00A03970"/>
    <w:rsid w:val="00A04245"/>
    <w:rsid w:val="00A05678"/>
    <w:rsid w:val="00A056C5"/>
    <w:rsid w:val="00A05DC2"/>
    <w:rsid w:val="00A060A6"/>
    <w:rsid w:val="00A0668D"/>
    <w:rsid w:val="00A06C69"/>
    <w:rsid w:val="00A0713B"/>
    <w:rsid w:val="00A0728B"/>
    <w:rsid w:val="00A077F2"/>
    <w:rsid w:val="00A11CFE"/>
    <w:rsid w:val="00A11F1A"/>
    <w:rsid w:val="00A123D0"/>
    <w:rsid w:val="00A12504"/>
    <w:rsid w:val="00A12B5B"/>
    <w:rsid w:val="00A12EF1"/>
    <w:rsid w:val="00A12F55"/>
    <w:rsid w:val="00A1305C"/>
    <w:rsid w:val="00A130C8"/>
    <w:rsid w:val="00A133F3"/>
    <w:rsid w:val="00A13B0A"/>
    <w:rsid w:val="00A13DD9"/>
    <w:rsid w:val="00A13E2C"/>
    <w:rsid w:val="00A14376"/>
    <w:rsid w:val="00A14CD3"/>
    <w:rsid w:val="00A14CE3"/>
    <w:rsid w:val="00A15877"/>
    <w:rsid w:val="00A15E3E"/>
    <w:rsid w:val="00A15FE7"/>
    <w:rsid w:val="00A1680E"/>
    <w:rsid w:val="00A16ABB"/>
    <w:rsid w:val="00A16B38"/>
    <w:rsid w:val="00A209F4"/>
    <w:rsid w:val="00A20D82"/>
    <w:rsid w:val="00A2111D"/>
    <w:rsid w:val="00A211BA"/>
    <w:rsid w:val="00A213FC"/>
    <w:rsid w:val="00A216BB"/>
    <w:rsid w:val="00A2183C"/>
    <w:rsid w:val="00A21F16"/>
    <w:rsid w:val="00A223FB"/>
    <w:rsid w:val="00A225BC"/>
    <w:rsid w:val="00A232B9"/>
    <w:rsid w:val="00A240C6"/>
    <w:rsid w:val="00A243FD"/>
    <w:rsid w:val="00A26167"/>
    <w:rsid w:val="00A26F7E"/>
    <w:rsid w:val="00A26FBD"/>
    <w:rsid w:val="00A2791D"/>
    <w:rsid w:val="00A27B3C"/>
    <w:rsid w:val="00A303F3"/>
    <w:rsid w:val="00A3088B"/>
    <w:rsid w:val="00A310D9"/>
    <w:rsid w:val="00A31307"/>
    <w:rsid w:val="00A31545"/>
    <w:rsid w:val="00A319F1"/>
    <w:rsid w:val="00A31AF9"/>
    <w:rsid w:val="00A31C32"/>
    <w:rsid w:val="00A31D68"/>
    <w:rsid w:val="00A348B2"/>
    <w:rsid w:val="00A34C49"/>
    <w:rsid w:val="00A352A4"/>
    <w:rsid w:val="00A35EBC"/>
    <w:rsid w:val="00A36049"/>
    <w:rsid w:val="00A362A2"/>
    <w:rsid w:val="00A3651D"/>
    <w:rsid w:val="00A366E9"/>
    <w:rsid w:val="00A36E85"/>
    <w:rsid w:val="00A37B80"/>
    <w:rsid w:val="00A37C7C"/>
    <w:rsid w:val="00A403D4"/>
    <w:rsid w:val="00A40500"/>
    <w:rsid w:val="00A409FF"/>
    <w:rsid w:val="00A40DF5"/>
    <w:rsid w:val="00A410E7"/>
    <w:rsid w:val="00A411C7"/>
    <w:rsid w:val="00A41B24"/>
    <w:rsid w:val="00A41BDD"/>
    <w:rsid w:val="00A422E1"/>
    <w:rsid w:val="00A42310"/>
    <w:rsid w:val="00A424CF"/>
    <w:rsid w:val="00A429CF"/>
    <w:rsid w:val="00A42CB9"/>
    <w:rsid w:val="00A43209"/>
    <w:rsid w:val="00A43821"/>
    <w:rsid w:val="00A439A8"/>
    <w:rsid w:val="00A440BC"/>
    <w:rsid w:val="00A442E5"/>
    <w:rsid w:val="00A44F7A"/>
    <w:rsid w:val="00A4512D"/>
    <w:rsid w:val="00A456BE"/>
    <w:rsid w:val="00A458CA"/>
    <w:rsid w:val="00A45C47"/>
    <w:rsid w:val="00A45CA3"/>
    <w:rsid w:val="00A4614D"/>
    <w:rsid w:val="00A46617"/>
    <w:rsid w:val="00A46E13"/>
    <w:rsid w:val="00A47696"/>
    <w:rsid w:val="00A47711"/>
    <w:rsid w:val="00A5040B"/>
    <w:rsid w:val="00A508B8"/>
    <w:rsid w:val="00A5139F"/>
    <w:rsid w:val="00A51811"/>
    <w:rsid w:val="00A51BB7"/>
    <w:rsid w:val="00A51C0E"/>
    <w:rsid w:val="00A53609"/>
    <w:rsid w:val="00A53CFF"/>
    <w:rsid w:val="00A54087"/>
    <w:rsid w:val="00A54231"/>
    <w:rsid w:val="00A55068"/>
    <w:rsid w:val="00A5545B"/>
    <w:rsid w:val="00A5553C"/>
    <w:rsid w:val="00A55E07"/>
    <w:rsid w:val="00A56290"/>
    <w:rsid w:val="00A56847"/>
    <w:rsid w:val="00A56A1E"/>
    <w:rsid w:val="00A5794F"/>
    <w:rsid w:val="00A6000F"/>
    <w:rsid w:val="00A604FF"/>
    <w:rsid w:val="00A605F4"/>
    <w:rsid w:val="00A6174B"/>
    <w:rsid w:val="00A6217D"/>
    <w:rsid w:val="00A62248"/>
    <w:rsid w:val="00A62254"/>
    <w:rsid w:val="00A6241F"/>
    <w:rsid w:val="00A6253B"/>
    <w:rsid w:val="00A63B48"/>
    <w:rsid w:val="00A64898"/>
    <w:rsid w:val="00A65750"/>
    <w:rsid w:val="00A66CFA"/>
    <w:rsid w:val="00A66F64"/>
    <w:rsid w:val="00A67177"/>
    <w:rsid w:val="00A6787C"/>
    <w:rsid w:val="00A70021"/>
    <w:rsid w:val="00A705AF"/>
    <w:rsid w:val="00A70C34"/>
    <w:rsid w:val="00A710FC"/>
    <w:rsid w:val="00A73117"/>
    <w:rsid w:val="00A737CB"/>
    <w:rsid w:val="00A737D3"/>
    <w:rsid w:val="00A73B0A"/>
    <w:rsid w:val="00A73F19"/>
    <w:rsid w:val="00A748C8"/>
    <w:rsid w:val="00A74D88"/>
    <w:rsid w:val="00A75699"/>
    <w:rsid w:val="00A75B46"/>
    <w:rsid w:val="00A75D76"/>
    <w:rsid w:val="00A76AFE"/>
    <w:rsid w:val="00A76BFF"/>
    <w:rsid w:val="00A774E7"/>
    <w:rsid w:val="00A77975"/>
    <w:rsid w:val="00A77DC8"/>
    <w:rsid w:val="00A8032F"/>
    <w:rsid w:val="00A80BFD"/>
    <w:rsid w:val="00A81AC4"/>
    <w:rsid w:val="00A82291"/>
    <w:rsid w:val="00A82DAE"/>
    <w:rsid w:val="00A82DBC"/>
    <w:rsid w:val="00A834D0"/>
    <w:rsid w:val="00A856D2"/>
    <w:rsid w:val="00A858E5"/>
    <w:rsid w:val="00A85A6E"/>
    <w:rsid w:val="00A85AE6"/>
    <w:rsid w:val="00A86106"/>
    <w:rsid w:val="00A87561"/>
    <w:rsid w:val="00A87CAC"/>
    <w:rsid w:val="00A87D57"/>
    <w:rsid w:val="00A87DB8"/>
    <w:rsid w:val="00A9088C"/>
    <w:rsid w:val="00A908B7"/>
    <w:rsid w:val="00A911C3"/>
    <w:rsid w:val="00A912DB"/>
    <w:rsid w:val="00A916B0"/>
    <w:rsid w:val="00A91DA2"/>
    <w:rsid w:val="00A91DB8"/>
    <w:rsid w:val="00A92B22"/>
    <w:rsid w:val="00A93A8F"/>
    <w:rsid w:val="00A94182"/>
    <w:rsid w:val="00A942F6"/>
    <w:rsid w:val="00A94D6D"/>
    <w:rsid w:val="00A953C9"/>
    <w:rsid w:val="00A958DE"/>
    <w:rsid w:val="00A9792D"/>
    <w:rsid w:val="00AA0ADC"/>
    <w:rsid w:val="00AA0B6B"/>
    <w:rsid w:val="00AA0E46"/>
    <w:rsid w:val="00AA13CE"/>
    <w:rsid w:val="00AA2501"/>
    <w:rsid w:val="00AA2FE3"/>
    <w:rsid w:val="00AA30F2"/>
    <w:rsid w:val="00AA30F9"/>
    <w:rsid w:val="00AA3638"/>
    <w:rsid w:val="00AA3723"/>
    <w:rsid w:val="00AA4735"/>
    <w:rsid w:val="00AA499E"/>
    <w:rsid w:val="00AA4BB1"/>
    <w:rsid w:val="00AA4D9E"/>
    <w:rsid w:val="00AA558D"/>
    <w:rsid w:val="00AA58C3"/>
    <w:rsid w:val="00AA5CEB"/>
    <w:rsid w:val="00AA5EDA"/>
    <w:rsid w:val="00AA6856"/>
    <w:rsid w:val="00AA6CBA"/>
    <w:rsid w:val="00AA70ED"/>
    <w:rsid w:val="00AA7CD8"/>
    <w:rsid w:val="00AA7D88"/>
    <w:rsid w:val="00AB00D3"/>
    <w:rsid w:val="00AB066B"/>
    <w:rsid w:val="00AB0EBD"/>
    <w:rsid w:val="00AB2123"/>
    <w:rsid w:val="00AB2630"/>
    <w:rsid w:val="00AB2698"/>
    <w:rsid w:val="00AB3B6F"/>
    <w:rsid w:val="00AB47B2"/>
    <w:rsid w:val="00AB4E52"/>
    <w:rsid w:val="00AB5565"/>
    <w:rsid w:val="00AB5E67"/>
    <w:rsid w:val="00AB6625"/>
    <w:rsid w:val="00AB665B"/>
    <w:rsid w:val="00AB6BEC"/>
    <w:rsid w:val="00AB71FB"/>
    <w:rsid w:val="00AB7D39"/>
    <w:rsid w:val="00AC0E0C"/>
    <w:rsid w:val="00AC1548"/>
    <w:rsid w:val="00AC1A2F"/>
    <w:rsid w:val="00AC1B25"/>
    <w:rsid w:val="00AC3E77"/>
    <w:rsid w:val="00AC42A4"/>
    <w:rsid w:val="00AC4ED9"/>
    <w:rsid w:val="00AC5AE3"/>
    <w:rsid w:val="00AC60A3"/>
    <w:rsid w:val="00AC6353"/>
    <w:rsid w:val="00AC6521"/>
    <w:rsid w:val="00AC674F"/>
    <w:rsid w:val="00AC6845"/>
    <w:rsid w:val="00AC6B72"/>
    <w:rsid w:val="00AD0178"/>
    <w:rsid w:val="00AD09D0"/>
    <w:rsid w:val="00AD11D1"/>
    <w:rsid w:val="00AD15B4"/>
    <w:rsid w:val="00AD1AD1"/>
    <w:rsid w:val="00AD1FE3"/>
    <w:rsid w:val="00AD2AC5"/>
    <w:rsid w:val="00AD2EBD"/>
    <w:rsid w:val="00AD2F77"/>
    <w:rsid w:val="00AD327A"/>
    <w:rsid w:val="00AD35C7"/>
    <w:rsid w:val="00AD3A2E"/>
    <w:rsid w:val="00AD3BF4"/>
    <w:rsid w:val="00AD46B1"/>
    <w:rsid w:val="00AD4721"/>
    <w:rsid w:val="00AD49C8"/>
    <w:rsid w:val="00AD4BF4"/>
    <w:rsid w:val="00AD4C6B"/>
    <w:rsid w:val="00AD4C7B"/>
    <w:rsid w:val="00AD507F"/>
    <w:rsid w:val="00AD5885"/>
    <w:rsid w:val="00AD5A26"/>
    <w:rsid w:val="00AD5C27"/>
    <w:rsid w:val="00AD6057"/>
    <w:rsid w:val="00AD62BA"/>
    <w:rsid w:val="00AD6567"/>
    <w:rsid w:val="00AD6862"/>
    <w:rsid w:val="00AD7C7E"/>
    <w:rsid w:val="00AE0588"/>
    <w:rsid w:val="00AE0EAE"/>
    <w:rsid w:val="00AE1650"/>
    <w:rsid w:val="00AE1906"/>
    <w:rsid w:val="00AE2282"/>
    <w:rsid w:val="00AE29C6"/>
    <w:rsid w:val="00AE316E"/>
    <w:rsid w:val="00AE3916"/>
    <w:rsid w:val="00AE3DA7"/>
    <w:rsid w:val="00AE4DF5"/>
    <w:rsid w:val="00AE4FFE"/>
    <w:rsid w:val="00AE587E"/>
    <w:rsid w:val="00AE5983"/>
    <w:rsid w:val="00AE6003"/>
    <w:rsid w:val="00AE637E"/>
    <w:rsid w:val="00AE69AC"/>
    <w:rsid w:val="00AE7603"/>
    <w:rsid w:val="00AE7B48"/>
    <w:rsid w:val="00AF01B3"/>
    <w:rsid w:val="00AF05E0"/>
    <w:rsid w:val="00AF07D8"/>
    <w:rsid w:val="00AF0B59"/>
    <w:rsid w:val="00AF0C53"/>
    <w:rsid w:val="00AF0F13"/>
    <w:rsid w:val="00AF10BA"/>
    <w:rsid w:val="00AF132D"/>
    <w:rsid w:val="00AF13FF"/>
    <w:rsid w:val="00AF1B2F"/>
    <w:rsid w:val="00AF2677"/>
    <w:rsid w:val="00AF2D4A"/>
    <w:rsid w:val="00AF3318"/>
    <w:rsid w:val="00AF4476"/>
    <w:rsid w:val="00AF5655"/>
    <w:rsid w:val="00AF67DB"/>
    <w:rsid w:val="00AF7E96"/>
    <w:rsid w:val="00B0002F"/>
    <w:rsid w:val="00B00149"/>
    <w:rsid w:val="00B008F5"/>
    <w:rsid w:val="00B0116C"/>
    <w:rsid w:val="00B01374"/>
    <w:rsid w:val="00B02391"/>
    <w:rsid w:val="00B028B5"/>
    <w:rsid w:val="00B02C8E"/>
    <w:rsid w:val="00B033B8"/>
    <w:rsid w:val="00B03968"/>
    <w:rsid w:val="00B03AD9"/>
    <w:rsid w:val="00B03E5F"/>
    <w:rsid w:val="00B03F78"/>
    <w:rsid w:val="00B040CC"/>
    <w:rsid w:val="00B0477F"/>
    <w:rsid w:val="00B04785"/>
    <w:rsid w:val="00B04D28"/>
    <w:rsid w:val="00B06389"/>
    <w:rsid w:val="00B0787F"/>
    <w:rsid w:val="00B078F0"/>
    <w:rsid w:val="00B07D84"/>
    <w:rsid w:val="00B07EEB"/>
    <w:rsid w:val="00B11029"/>
    <w:rsid w:val="00B111F9"/>
    <w:rsid w:val="00B11533"/>
    <w:rsid w:val="00B118CF"/>
    <w:rsid w:val="00B11A78"/>
    <w:rsid w:val="00B12817"/>
    <w:rsid w:val="00B131F1"/>
    <w:rsid w:val="00B13465"/>
    <w:rsid w:val="00B13D0D"/>
    <w:rsid w:val="00B13E80"/>
    <w:rsid w:val="00B14437"/>
    <w:rsid w:val="00B14E5E"/>
    <w:rsid w:val="00B1593D"/>
    <w:rsid w:val="00B15CF5"/>
    <w:rsid w:val="00B15F1F"/>
    <w:rsid w:val="00B1614B"/>
    <w:rsid w:val="00B16609"/>
    <w:rsid w:val="00B16849"/>
    <w:rsid w:val="00B16C14"/>
    <w:rsid w:val="00B174E6"/>
    <w:rsid w:val="00B17569"/>
    <w:rsid w:val="00B17C5A"/>
    <w:rsid w:val="00B2150A"/>
    <w:rsid w:val="00B2166D"/>
    <w:rsid w:val="00B21820"/>
    <w:rsid w:val="00B22AE3"/>
    <w:rsid w:val="00B230F8"/>
    <w:rsid w:val="00B23F1E"/>
    <w:rsid w:val="00B240B3"/>
    <w:rsid w:val="00B2430C"/>
    <w:rsid w:val="00B24327"/>
    <w:rsid w:val="00B246C0"/>
    <w:rsid w:val="00B24ADC"/>
    <w:rsid w:val="00B25599"/>
    <w:rsid w:val="00B2584D"/>
    <w:rsid w:val="00B25D18"/>
    <w:rsid w:val="00B25D4C"/>
    <w:rsid w:val="00B25DCB"/>
    <w:rsid w:val="00B25ECE"/>
    <w:rsid w:val="00B2714D"/>
    <w:rsid w:val="00B2735D"/>
    <w:rsid w:val="00B27889"/>
    <w:rsid w:val="00B27DC1"/>
    <w:rsid w:val="00B30539"/>
    <w:rsid w:val="00B307A3"/>
    <w:rsid w:val="00B30B6E"/>
    <w:rsid w:val="00B30CC3"/>
    <w:rsid w:val="00B30FA6"/>
    <w:rsid w:val="00B3109A"/>
    <w:rsid w:val="00B314B2"/>
    <w:rsid w:val="00B31E85"/>
    <w:rsid w:val="00B31ECE"/>
    <w:rsid w:val="00B32214"/>
    <w:rsid w:val="00B32322"/>
    <w:rsid w:val="00B32F5C"/>
    <w:rsid w:val="00B330C4"/>
    <w:rsid w:val="00B33695"/>
    <w:rsid w:val="00B34DB1"/>
    <w:rsid w:val="00B34E6D"/>
    <w:rsid w:val="00B35104"/>
    <w:rsid w:val="00B35558"/>
    <w:rsid w:val="00B35D66"/>
    <w:rsid w:val="00B3623C"/>
    <w:rsid w:val="00B368A6"/>
    <w:rsid w:val="00B36B9B"/>
    <w:rsid w:val="00B372F5"/>
    <w:rsid w:val="00B37BB2"/>
    <w:rsid w:val="00B406E8"/>
    <w:rsid w:val="00B40D94"/>
    <w:rsid w:val="00B41622"/>
    <w:rsid w:val="00B4198E"/>
    <w:rsid w:val="00B41F9B"/>
    <w:rsid w:val="00B4201D"/>
    <w:rsid w:val="00B42851"/>
    <w:rsid w:val="00B43A26"/>
    <w:rsid w:val="00B4469C"/>
    <w:rsid w:val="00B44A3C"/>
    <w:rsid w:val="00B44FCF"/>
    <w:rsid w:val="00B453FF"/>
    <w:rsid w:val="00B45658"/>
    <w:rsid w:val="00B45CA1"/>
    <w:rsid w:val="00B46750"/>
    <w:rsid w:val="00B4702A"/>
    <w:rsid w:val="00B50828"/>
    <w:rsid w:val="00B5127A"/>
    <w:rsid w:val="00B52787"/>
    <w:rsid w:val="00B52893"/>
    <w:rsid w:val="00B52C34"/>
    <w:rsid w:val="00B53111"/>
    <w:rsid w:val="00B54496"/>
    <w:rsid w:val="00B54505"/>
    <w:rsid w:val="00B54676"/>
    <w:rsid w:val="00B550D4"/>
    <w:rsid w:val="00B55250"/>
    <w:rsid w:val="00B55CCB"/>
    <w:rsid w:val="00B56173"/>
    <w:rsid w:val="00B56CD3"/>
    <w:rsid w:val="00B57081"/>
    <w:rsid w:val="00B60B5D"/>
    <w:rsid w:val="00B612A5"/>
    <w:rsid w:val="00B612E7"/>
    <w:rsid w:val="00B613E7"/>
    <w:rsid w:val="00B6173B"/>
    <w:rsid w:val="00B61CCF"/>
    <w:rsid w:val="00B62721"/>
    <w:rsid w:val="00B627B8"/>
    <w:rsid w:val="00B629F5"/>
    <w:rsid w:val="00B630A8"/>
    <w:rsid w:val="00B63CE1"/>
    <w:rsid w:val="00B64335"/>
    <w:rsid w:val="00B64E09"/>
    <w:rsid w:val="00B65914"/>
    <w:rsid w:val="00B66AFE"/>
    <w:rsid w:val="00B66AFF"/>
    <w:rsid w:val="00B66F78"/>
    <w:rsid w:val="00B67C01"/>
    <w:rsid w:val="00B67EBE"/>
    <w:rsid w:val="00B70322"/>
    <w:rsid w:val="00B71355"/>
    <w:rsid w:val="00B720E5"/>
    <w:rsid w:val="00B72770"/>
    <w:rsid w:val="00B72BA3"/>
    <w:rsid w:val="00B73032"/>
    <w:rsid w:val="00B730F8"/>
    <w:rsid w:val="00B731F0"/>
    <w:rsid w:val="00B7349F"/>
    <w:rsid w:val="00B74355"/>
    <w:rsid w:val="00B74854"/>
    <w:rsid w:val="00B74E58"/>
    <w:rsid w:val="00B757C6"/>
    <w:rsid w:val="00B75832"/>
    <w:rsid w:val="00B7586D"/>
    <w:rsid w:val="00B766FC"/>
    <w:rsid w:val="00B77703"/>
    <w:rsid w:val="00B777C6"/>
    <w:rsid w:val="00B77B16"/>
    <w:rsid w:val="00B807FB"/>
    <w:rsid w:val="00B80E97"/>
    <w:rsid w:val="00B8153C"/>
    <w:rsid w:val="00B81980"/>
    <w:rsid w:val="00B82F9B"/>
    <w:rsid w:val="00B83EB0"/>
    <w:rsid w:val="00B83F0E"/>
    <w:rsid w:val="00B846B9"/>
    <w:rsid w:val="00B84919"/>
    <w:rsid w:val="00B85299"/>
    <w:rsid w:val="00B85B12"/>
    <w:rsid w:val="00B85C74"/>
    <w:rsid w:val="00B86113"/>
    <w:rsid w:val="00B86785"/>
    <w:rsid w:val="00B87710"/>
    <w:rsid w:val="00B87833"/>
    <w:rsid w:val="00B87C7B"/>
    <w:rsid w:val="00B87D31"/>
    <w:rsid w:val="00B87EE6"/>
    <w:rsid w:val="00B900E6"/>
    <w:rsid w:val="00B9012E"/>
    <w:rsid w:val="00B9096F"/>
    <w:rsid w:val="00B90C4B"/>
    <w:rsid w:val="00B90CF7"/>
    <w:rsid w:val="00B91787"/>
    <w:rsid w:val="00B91D73"/>
    <w:rsid w:val="00B92291"/>
    <w:rsid w:val="00B92B2C"/>
    <w:rsid w:val="00B935F2"/>
    <w:rsid w:val="00B93725"/>
    <w:rsid w:val="00B93A99"/>
    <w:rsid w:val="00B94659"/>
    <w:rsid w:val="00B9503C"/>
    <w:rsid w:val="00B950D0"/>
    <w:rsid w:val="00B9566B"/>
    <w:rsid w:val="00B95FC3"/>
    <w:rsid w:val="00B9606C"/>
    <w:rsid w:val="00B9645C"/>
    <w:rsid w:val="00B96472"/>
    <w:rsid w:val="00BA03CF"/>
    <w:rsid w:val="00BA07AF"/>
    <w:rsid w:val="00BA08C3"/>
    <w:rsid w:val="00BA0BD2"/>
    <w:rsid w:val="00BA1621"/>
    <w:rsid w:val="00BA1717"/>
    <w:rsid w:val="00BA1D3C"/>
    <w:rsid w:val="00BA2508"/>
    <w:rsid w:val="00BA2D31"/>
    <w:rsid w:val="00BA44B8"/>
    <w:rsid w:val="00BA47EE"/>
    <w:rsid w:val="00BA4981"/>
    <w:rsid w:val="00BA5017"/>
    <w:rsid w:val="00BA523C"/>
    <w:rsid w:val="00BA59CC"/>
    <w:rsid w:val="00BA6B41"/>
    <w:rsid w:val="00BA76B2"/>
    <w:rsid w:val="00BA79BA"/>
    <w:rsid w:val="00BA7DAC"/>
    <w:rsid w:val="00BA7E52"/>
    <w:rsid w:val="00BB0EF2"/>
    <w:rsid w:val="00BB0FED"/>
    <w:rsid w:val="00BB1734"/>
    <w:rsid w:val="00BB21FC"/>
    <w:rsid w:val="00BB329E"/>
    <w:rsid w:val="00BB3CB5"/>
    <w:rsid w:val="00BB3DA9"/>
    <w:rsid w:val="00BB4979"/>
    <w:rsid w:val="00BB5D6F"/>
    <w:rsid w:val="00BB6210"/>
    <w:rsid w:val="00BB6B16"/>
    <w:rsid w:val="00BB6B88"/>
    <w:rsid w:val="00BB6DF0"/>
    <w:rsid w:val="00BB7AAB"/>
    <w:rsid w:val="00BC0FB3"/>
    <w:rsid w:val="00BC1C23"/>
    <w:rsid w:val="00BC1EA4"/>
    <w:rsid w:val="00BC21F7"/>
    <w:rsid w:val="00BC28C7"/>
    <w:rsid w:val="00BC3099"/>
    <w:rsid w:val="00BC372A"/>
    <w:rsid w:val="00BC474C"/>
    <w:rsid w:val="00BC4C57"/>
    <w:rsid w:val="00BC5101"/>
    <w:rsid w:val="00BC56A5"/>
    <w:rsid w:val="00BC57AC"/>
    <w:rsid w:val="00BC62B3"/>
    <w:rsid w:val="00BC6437"/>
    <w:rsid w:val="00BC6F0A"/>
    <w:rsid w:val="00BC6F27"/>
    <w:rsid w:val="00BC71FC"/>
    <w:rsid w:val="00BD001B"/>
    <w:rsid w:val="00BD08FB"/>
    <w:rsid w:val="00BD110A"/>
    <w:rsid w:val="00BD16D9"/>
    <w:rsid w:val="00BD19A4"/>
    <w:rsid w:val="00BD20FE"/>
    <w:rsid w:val="00BD24F7"/>
    <w:rsid w:val="00BD253D"/>
    <w:rsid w:val="00BD267F"/>
    <w:rsid w:val="00BD2BB1"/>
    <w:rsid w:val="00BD2F02"/>
    <w:rsid w:val="00BD5462"/>
    <w:rsid w:val="00BD61D8"/>
    <w:rsid w:val="00BD6E25"/>
    <w:rsid w:val="00BD7775"/>
    <w:rsid w:val="00BD7D50"/>
    <w:rsid w:val="00BD7E01"/>
    <w:rsid w:val="00BD7EAF"/>
    <w:rsid w:val="00BD7F53"/>
    <w:rsid w:val="00BE051B"/>
    <w:rsid w:val="00BE069E"/>
    <w:rsid w:val="00BE0A07"/>
    <w:rsid w:val="00BE0ACD"/>
    <w:rsid w:val="00BE0B63"/>
    <w:rsid w:val="00BE1581"/>
    <w:rsid w:val="00BE2372"/>
    <w:rsid w:val="00BE29A6"/>
    <w:rsid w:val="00BE2C1B"/>
    <w:rsid w:val="00BE3779"/>
    <w:rsid w:val="00BE387E"/>
    <w:rsid w:val="00BE3F7D"/>
    <w:rsid w:val="00BE41E8"/>
    <w:rsid w:val="00BE558D"/>
    <w:rsid w:val="00BE5628"/>
    <w:rsid w:val="00BE5B85"/>
    <w:rsid w:val="00BE64D4"/>
    <w:rsid w:val="00BE7362"/>
    <w:rsid w:val="00BE7488"/>
    <w:rsid w:val="00BE7BBE"/>
    <w:rsid w:val="00BE7D09"/>
    <w:rsid w:val="00BE7F64"/>
    <w:rsid w:val="00BE7F76"/>
    <w:rsid w:val="00BF0132"/>
    <w:rsid w:val="00BF0285"/>
    <w:rsid w:val="00BF04BA"/>
    <w:rsid w:val="00BF0CC2"/>
    <w:rsid w:val="00BF18FD"/>
    <w:rsid w:val="00BF1A50"/>
    <w:rsid w:val="00BF2831"/>
    <w:rsid w:val="00BF29AC"/>
    <w:rsid w:val="00BF2A5E"/>
    <w:rsid w:val="00BF34C7"/>
    <w:rsid w:val="00BF363A"/>
    <w:rsid w:val="00BF36CC"/>
    <w:rsid w:val="00BF3DCF"/>
    <w:rsid w:val="00BF3E11"/>
    <w:rsid w:val="00BF3FE4"/>
    <w:rsid w:val="00BF494A"/>
    <w:rsid w:val="00BF4C73"/>
    <w:rsid w:val="00BF4DC8"/>
    <w:rsid w:val="00BF5644"/>
    <w:rsid w:val="00BF6718"/>
    <w:rsid w:val="00BF6C9E"/>
    <w:rsid w:val="00BF71C6"/>
    <w:rsid w:val="00BF76DF"/>
    <w:rsid w:val="00BF79D6"/>
    <w:rsid w:val="00C0013A"/>
    <w:rsid w:val="00C007DB"/>
    <w:rsid w:val="00C00D78"/>
    <w:rsid w:val="00C012DB"/>
    <w:rsid w:val="00C02396"/>
    <w:rsid w:val="00C02C5F"/>
    <w:rsid w:val="00C02D18"/>
    <w:rsid w:val="00C03D6B"/>
    <w:rsid w:val="00C0474F"/>
    <w:rsid w:val="00C04753"/>
    <w:rsid w:val="00C04A3E"/>
    <w:rsid w:val="00C04E91"/>
    <w:rsid w:val="00C04FE3"/>
    <w:rsid w:val="00C05A25"/>
    <w:rsid w:val="00C05D78"/>
    <w:rsid w:val="00C06137"/>
    <w:rsid w:val="00C0649D"/>
    <w:rsid w:val="00C0651C"/>
    <w:rsid w:val="00C06D06"/>
    <w:rsid w:val="00C10276"/>
    <w:rsid w:val="00C1034E"/>
    <w:rsid w:val="00C10A97"/>
    <w:rsid w:val="00C10C9E"/>
    <w:rsid w:val="00C1158E"/>
    <w:rsid w:val="00C120EA"/>
    <w:rsid w:val="00C133A7"/>
    <w:rsid w:val="00C13AD0"/>
    <w:rsid w:val="00C14D03"/>
    <w:rsid w:val="00C153D0"/>
    <w:rsid w:val="00C15469"/>
    <w:rsid w:val="00C156C7"/>
    <w:rsid w:val="00C158CD"/>
    <w:rsid w:val="00C15B40"/>
    <w:rsid w:val="00C16475"/>
    <w:rsid w:val="00C16591"/>
    <w:rsid w:val="00C16C44"/>
    <w:rsid w:val="00C1737F"/>
    <w:rsid w:val="00C175F2"/>
    <w:rsid w:val="00C17896"/>
    <w:rsid w:val="00C1797A"/>
    <w:rsid w:val="00C17A5E"/>
    <w:rsid w:val="00C20146"/>
    <w:rsid w:val="00C2094C"/>
    <w:rsid w:val="00C21ADF"/>
    <w:rsid w:val="00C21B3A"/>
    <w:rsid w:val="00C21DF7"/>
    <w:rsid w:val="00C222A4"/>
    <w:rsid w:val="00C2288C"/>
    <w:rsid w:val="00C23935"/>
    <w:rsid w:val="00C23D94"/>
    <w:rsid w:val="00C23E4A"/>
    <w:rsid w:val="00C2405F"/>
    <w:rsid w:val="00C247EA"/>
    <w:rsid w:val="00C25C05"/>
    <w:rsid w:val="00C27545"/>
    <w:rsid w:val="00C275EB"/>
    <w:rsid w:val="00C3020A"/>
    <w:rsid w:val="00C304FD"/>
    <w:rsid w:val="00C3063F"/>
    <w:rsid w:val="00C30660"/>
    <w:rsid w:val="00C306BF"/>
    <w:rsid w:val="00C30C92"/>
    <w:rsid w:val="00C30EC7"/>
    <w:rsid w:val="00C30FC3"/>
    <w:rsid w:val="00C3137F"/>
    <w:rsid w:val="00C31AD5"/>
    <w:rsid w:val="00C31EED"/>
    <w:rsid w:val="00C32100"/>
    <w:rsid w:val="00C33628"/>
    <w:rsid w:val="00C340D6"/>
    <w:rsid w:val="00C343F4"/>
    <w:rsid w:val="00C34983"/>
    <w:rsid w:val="00C34E48"/>
    <w:rsid w:val="00C35160"/>
    <w:rsid w:val="00C352EB"/>
    <w:rsid w:val="00C35601"/>
    <w:rsid w:val="00C359D5"/>
    <w:rsid w:val="00C36A5C"/>
    <w:rsid w:val="00C36AB8"/>
    <w:rsid w:val="00C3720D"/>
    <w:rsid w:val="00C40BEB"/>
    <w:rsid w:val="00C40DD9"/>
    <w:rsid w:val="00C4155F"/>
    <w:rsid w:val="00C4173B"/>
    <w:rsid w:val="00C41A99"/>
    <w:rsid w:val="00C41D1B"/>
    <w:rsid w:val="00C42470"/>
    <w:rsid w:val="00C426A1"/>
    <w:rsid w:val="00C42AB7"/>
    <w:rsid w:val="00C431E2"/>
    <w:rsid w:val="00C438D4"/>
    <w:rsid w:val="00C441EF"/>
    <w:rsid w:val="00C444A7"/>
    <w:rsid w:val="00C4492C"/>
    <w:rsid w:val="00C44978"/>
    <w:rsid w:val="00C44D56"/>
    <w:rsid w:val="00C44D8C"/>
    <w:rsid w:val="00C44F80"/>
    <w:rsid w:val="00C450F4"/>
    <w:rsid w:val="00C4585F"/>
    <w:rsid w:val="00C45F3B"/>
    <w:rsid w:val="00C4681B"/>
    <w:rsid w:val="00C469E2"/>
    <w:rsid w:val="00C46EB3"/>
    <w:rsid w:val="00C473C5"/>
    <w:rsid w:val="00C501C8"/>
    <w:rsid w:val="00C50F2D"/>
    <w:rsid w:val="00C51271"/>
    <w:rsid w:val="00C51454"/>
    <w:rsid w:val="00C52566"/>
    <w:rsid w:val="00C530D1"/>
    <w:rsid w:val="00C54561"/>
    <w:rsid w:val="00C549F9"/>
    <w:rsid w:val="00C54D30"/>
    <w:rsid w:val="00C54DC0"/>
    <w:rsid w:val="00C55434"/>
    <w:rsid w:val="00C55627"/>
    <w:rsid w:val="00C55A11"/>
    <w:rsid w:val="00C56479"/>
    <w:rsid w:val="00C566DB"/>
    <w:rsid w:val="00C5736D"/>
    <w:rsid w:val="00C57ACC"/>
    <w:rsid w:val="00C57C40"/>
    <w:rsid w:val="00C6091A"/>
    <w:rsid w:val="00C612D4"/>
    <w:rsid w:val="00C615BF"/>
    <w:rsid w:val="00C62C96"/>
    <w:rsid w:val="00C62E5E"/>
    <w:rsid w:val="00C62FD4"/>
    <w:rsid w:val="00C636A2"/>
    <w:rsid w:val="00C6408D"/>
    <w:rsid w:val="00C644A3"/>
    <w:rsid w:val="00C64779"/>
    <w:rsid w:val="00C649D0"/>
    <w:rsid w:val="00C65337"/>
    <w:rsid w:val="00C65420"/>
    <w:rsid w:val="00C6574B"/>
    <w:rsid w:val="00C65E5D"/>
    <w:rsid w:val="00C66709"/>
    <w:rsid w:val="00C667B3"/>
    <w:rsid w:val="00C6772B"/>
    <w:rsid w:val="00C7015E"/>
    <w:rsid w:val="00C70242"/>
    <w:rsid w:val="00C7092D"/>
    <w:rsid w:val="00C710D2"/>
    <w:rsid w:val="00C71683"/>
    <w:rsid w:val="00C71906"/>
    <w:rsid w:val="00C7234E"/>
    <w:rsid w:val="00C72F12"/>
    <w:rsid w:val="00C72FA7"/>
    <w:rsid w:val="00C73021"/>
    <w:rsid w:val="00C73615"/>
    <w:rsid w:val="00C7392E"/>
    <w:rsid w:val="00C744CC"/>
    <w:rsid w:val="00C75418"/>
    <w:rsid w:val="00C75E8A"/>
    <w:rsid w:val="00C75FFB"/>
    <w:rsid w:val="00C76938"/>
    <w:rsid w:val="00C76E1C"/>
    <w:rsid w:val="00C7748A"/>
    <w:rsid w:val="00C80DAE"/>
    <w:rsid w:val="00C81527"/>
    <w:rsid w:val="00C81D03"/>
    <w:rsid w:val="00C82EA7"/>
    <w:rsid w:val="00C82F9A"/>
    <w:rsid w:val="00C8328A"/>
    <w:rsid w:val="00C83C3D"/>
    <w:rsid w:val="00C845C8"/>
    <w:rsid w:val="00C861B4"/>
    <w:rsid w:val="00C86402"/>
    <w:rsid w:val="00C866B8"/>
    <w:rsid w:val="00C86DE8"/>
    <w:rsid w:val="00C86EE2"/>
    <w:rsid w:val="00C87062"/>
    <w:rsid w:val="00C8730F"/>
    <w:rsid w:val="00C87B36"/>
    <w:rsid w:val="00C87DA4"/>
    <w:rsid w:val="00C87E38"/>
    <w:rsid w:val="00C9014F"/>
    <w:rsid w:val="00C902EB"/>
    <w:rsid w:val="00C91F63"/>
    <w:rsid w:val="00C9220C"/>
    <w:rsid w:val="00C92255"/>
    <w:rsid w:val="00C9278A"/>
    <w:rsid w:val="00C92861"/>
    <w:rsid w:val="00C93BAC"/>
    <w:rsid w:val="00C93BC4"/>
    <w:rsid w:val="00C93EFB"/>
    <w:rsid w:val="00C940E2"/>
    <w:rsid w:val="00C957AE"/>
    <w:rsid w:val="00C958DF"/>
    <w:rsid w:val="00C95E23"/>
    <w:rsid w:val="00C97223"/>
    <w:rsid w:val="00CA10D3"/>
    <w:rsid w:val="00CA1217"/>
    <w:rsid w:val="00CA127B"/>
    <w:rsid w:val="00CA2056"/>
    <w:rsid w:val="00CA258C"/>
    <w:rsid w:val="00CA2FB6"/>
    <w:rsid w:val="00CA3223"/>
    <w:rsid w:val="00CA454E"/>
    <w:rsid w:val="00CA4DA9"/>
    <w:rsid w:val="00CA53AB"/>
    <w:rsid w:val="00CA5828"/>
    <w:rsid w:val="00CA5930"/>
    <w:rsid w:val="00CA6149"/>
    <w:rsid w:val="00CA769D"/>
    <w:rsid w:val="00CA7E18"/>
    <w:rsid w:val="00CB00B8"/>
    <w:rsid w:val="00CB0243"/>
    <w:rsid w:val="00CB0645"/>
    <w:rsid w:val="00CB0A48"/>
    <w:rsid w:val="00CB1993"/>
    <w:rsid w:val="00CB1B93"/>
    <w:rsid w:val="00CB1C2D"/>
    <w:rsid w:val="00CB22A4"/>
    <w:rsid w:val="00CB2F28"/>
    <w:rsid w:val="00CB3117"/>
    <w:rsid w:val="00CB3F26"/>
    <w:rsid w:val="00CB4036"/>
    <w:rsid w:val="00CB41B6"/>
    <w:rsid w:val="00CB55A8"/>
    <w:rsid w:val="00CB5A4D"/>
    <w:rsid w:val="00CB5B1A"/>
    <w:rsid w:val="00CB664A"/>
    <w:rsid w:val="00CB6E05"/>
    <w:rsid w:val="00CB79F4"/>
    <w:rsid w:val="00CB7BFD"/>
    <w:rsid w:val="00CC0213"/>
    <w:rsid w:val="00CC07E8"/>
    <w:rsid w:val="00CC087D"/>
    <w:rsid w:val="00CC09FF"/>
    <w:rsid w:val="00CC0D1E"/>
    <w:rsid w:val="00CC0E53"/>
    <w:rsid w:val="00CC1947"/>
    <w:rsid w:val="00CC1A0A"/>
    <w:rsid w:val="00CC295C"/>
    <w:rsid w:val="00CC3078"/>
    <w:rsid w:val="00CC3A0D"/>
    <w:rsid w:val="00CC3A2D"/>
    <w:rsid w:val="00CC482A"/>
    <w:rsid w:val="00CC5AA5"/>
    <w:rsid w:val="00CC5BB5"/>
    <w:rsid w:val="00CC5C49"/>
    <w:rsid w:val="00CC74DF"/>
    <w:rsid w:val="00CC79C8"/>
    <w:rsid w:val="00CC7D83"/>
    <w:rsid w:val="00CC7E35"/>
    <w:rsid w:val="00CD1B92"/>
    <w:rsid w:val="00CD1D65"/>
    <w:rsid w:val="00CD1FB2"/>
    <w:rsid w:val="00CD214A"/>
    <w:rsid w:val="00CD225C"/>
    <w:rsid w:val="00CD30BB"/>
    <w:rsid w:val="00CD3B36"/>
    <w:rsid w:val="00CD41BB"/>
    <w:rsid w:val="00CD50CF"/>
    <w:rsid w:val="00CD6B00"/>
    <w:rsid w:val="00CD7AC0"/>
    <w:rsid w:val="00CE0244"/>
    <w:rsid w:val="00CE05E7"/>
    <w:rsid w:val="00CE0AB2"/>
    <w:rsid w:val="00CE0D1C"/>
    <w:rsid w:val="00CE0EF9"/>
    <w:rsid w:val="00CE19BF"/>
    <w:rsid w:val="00CE1AA6"/>
    <w:rsid w:val="00CE1ADB"/>
    <w:rsid w:val="00CE1F5D"/>
    <w:rsid w:val="00CE32EC"/>
    <w:rsid w:val="00CE4DAB"/>
    <w:rsid w:val="00CE5633"/>
    <w:rsid w:val="00CE6649"/>
    <w:rsid w:val="00CE6E3E"/>
    <w:rsid w:val="00CE7553"/>
    <w:rsid w:val="00CE7774"/>
    <w:rsid w:val="00CF0A9A"/>
    <w:rsid w:val="00CF0EA4"/>
    <w:rsid w:val="00CF11FD"/>
    <w:rsid w:val="00CF1C69"/>
    <w:rsid w:val="00CF210F"/>
    <w:rsid w:val="00CF2972"/>
    <w:rsid w:val="00CF2F24"/>
    <w:rsid w:val="00CF30EF"/>
    <w:rsid w:val="00CF35F6"/>
    <w:rsid w:val="00CF371E"/>
    <w:rsid w:val="00CF3A09"/>
    <w:rsid w:val="00CF3B92"/>
    <w:rsid w:val="00CF5067"/>
    <w:rsid w:val="00CF50EF"/>
    <w:rsid w:val="00CF67D9"/>
    <w:rsid w:val="00CF751B"/>
    <w:rsid w:val="00CF7EC1"/>
    <w:rsid w:val="00CF7FC0"/>
    <w:rsid w:val="00D017B9"/>
    <w:rsid w:val="00D02548"/>
    <w:rsid w:val="00D04243"/>
    <w:rsid w:val="00D042BA"/>
    <w:rsid w:val="00D051F5"/>
    <w:rsid w:val="00D06168"/>
    <w:rsid w:val="00D06574"/>
    <w:rsid w:val="00D0691B"/>
    <w:rsid w:val="00D06AC5"/>
    <w:rsid w:val="00D06C99"/>
    <w:rsid w:val="00D076CA"/>
    <w:rsid w:val="00D07DB2"/>
    <w:rsid w:val="00D104E8"/>
    <w:rsid w:val="00D105B5"/>
    <w:rsid w:val="00D105D1"/>
    <w:rsid w:val="00D10B0F"/>
    <w:rsid w:val="00D10B85"/>
    <w:rsid w:val="00D11083"/>
    <w:rsid w:val="00D116CC"/>
    <w:rsid w:val="00D11795"/>
    <w:rsid w:val="00D11BC6"/>
    <w:rsid w:val="00D12110"/>
    <w:rsid w:val="00D122A3"/>
    <w:rsid w:val="00D13D72"/>
    <w:rsid w:val="00D13FD3"/>
    <w:rsid w:val="00D1429F"/>
    <w:rsid w:val="00D14C27"/>
    <w:rsid w:val="00D154A0"/>
    <w:rsid w:val="00D17579"/>
    <w:rsid w:val="00D1770F"/>
    <w:rsid w:val="00D20A27"/>
    <w:rsid w:val="00D211EA"/>
    <w:rsid w:val="00D21522"/>
    <w:rsid w:val="00D217B1"/>
    <w:rsid w:val="00D21C2C"/>
    <w:rsid w:val="00D224A9"/>
    <w:rsid w:val="00D23F19"/>
    <w:rsid w:val="00D24B1E"/>
    <w:rsid w:val="00D250BD"/>
    <w:rsid w:val="00D2511A"/>
    <w:rsid w:val="00D253E3"/>
    <w:rsid w:val="00D25F7E"/>
    <w:rsid w:val="00D263C3"/>
    <w:rsid w:val="00D264BD"/>
    <w:rsid w:val="00D266B5"/>
    <w:rsid w:val="00D26B8A"/>
    <w:rsid w:val="00D26B8C"/>
    <w:rsid w:val="00D314A5"/>
    <w:rsid w:val="00D3194D"/>
    <w:rsid w:val="00D31F0F"/>
    <w:rsid w:val="00D324EE"/>
    <w:rsid w:val="00D326DD"/>
    <w:rsid w:val="00D328F0"/>
    <w:rsid w:val="00D32A8D"/>
    <w:rsid w:val="00D32CE3"/>
    <w:rsid w:val="00D33B43"/>
    <w:rsid w:val="00D33C47"/>
    <w:rsid w:val="00D344F1"/>
    <w:rsid w:val="00D34822"/>
    <w:rsid w:val="00D3517B"/>
    <w:rsid w:val="00D35696"/>
    <w:rsid w:val="00D365C2"/>
    <w:rsid w:val="00D366BC"/>
    <w:rsid w:val="00D368C6"/>
    <w:rsid w:val="00D36991"/>
    <w:rsid w:val="00D369DA"/>
    <w:rsid w:val="00D3790C"/>
    <w:rsid w:val="00D37E37"/>
    <w:rsid w:val="00D40CD4"/>
    <w:rsid w:val="00D40F6A"/>
    <w:rsid w:val="00D4170F"/>
    <w:rsid w:val="00D41CEC"/>
    <w:rsid w:val="00D42267"/>
    <w:rsid w:val="00D423DF"/>
    <w:rsid w:val="00D43420"/>
    <w:rsid w:val="00D43809"/>
    <w:rsid w:val="00D443D4"/>
    <w:rsid w:val="00D44DB0"/>
    <w:rsid w:val="00D4567F"/>
    <w:rsid w:val="00D456B0"/>
    <w:rsid w:val="00D46B08"/>
    <w:rsid w:val="00D473FE"/>
    <w:rsid w:val="00D51026"/>
    <w:rsid w:val="00D5175C"/>
    <w:rsid w:val="00D51B70"/>
    <w:rsid w:val="00D51E0E"/>
    <w:rsid w:val="00D51FFC"/>
    <w:rsid w:val="00D52014"/>
    <w:rsid w:val="00D5269C"/>
    <w:rsid w:val="00D53031"/>
    <w:rsid w:val="00D54472"/>
    <w:rsid w:val="00D555B6"/>
    <w:rsid w:val="00D5567E"/>
    <w:rsid w:val="00D55A20"/>
    <w:rsid w:val="00D560DA"/>
    <w:rsid w:val="00D5650E"/>
    <w:rsid w:val="00D56847"/>
    <w:rsid w:val="00D56905"/>
    <w:rsid w:val="00D56D04"/>
    <w:rsid w:val="00D56D0A"/>
    <w:rsid w:val="00D5704E"/>
    <w:rsid w:val="00D576D2"/>
    <w:rsid w:val="00D57D9F"/>
    <w:rsid w:val="00D609F0"/>
    <w:rsid w:val="00D60DDE"/>
    <w:rsid w:val="00D60E2F"/>
    <w:rsid w:val="00D60F43"/>
    <w:rsid w:val="00D61200"/>
    <w:rsid w:val="00D612B4"/>
    <w:rsid w:val="00D61EBB"/>
    <w:rsid w:val="00D647F2"/>
    <w:rsid w:val="00D655DE"/>
    <w:rsid w:val="00D65D7E"/>
    <w:rsid w:val="00D65F0C"/>
    <w:rsid w:val="00D66419"/>
    <w:rsid w:val="00D66454"/>
    <w:rsid w:val="00D665CA"/>
    <w:rsid w:val="00D66902"/>
    <w:rsid w:val="00D66B40"/>
    <w:rsid w:val="00D67122"/>
    <w:rsid w:val="00D67D05"/>
    <w:rsid w:val="00D67DA9"/>
    <w:rsid w:val="00D7057F"/>
    <w:rsid w:val="00D71E29"/>
    <w:rsid w:val="00D71F23"/>
    <w:rsid w:val="00D73489"/>
    <w:rsid w:val="00D73A89"/>
    <w:rsid w:val="00D74862"/>
    <w:rsid w:val="00D7499B"/>
    <w:rsid w:val="00D74D9F"/>
    <w:rsid w:val="00D74E27"/>
    <w:rsid w:val="00D74F1C"/>
    <w:rsid w:val="00D750FE"/>
    <w:rsid w:val="00D7587B"/>
    <w:rsid w:val="00D76122"/>
    <w:rsid w:val="00D76664"/>
    <w:rsid w:val="00D7666F"/>
    <w:rsid w:val="00D76A2E"/>
    <w:rsid w:val="00D76DE5"/>
    <w:rsid w:val="00D7797D"/>
    <w:rsid w:val="00D77AAE"/>
    <w:rsid w:val="00D77F17"/>
    <w:rsid w:val="00D80AFD"/>
    <w:rsid w:val="00D81CE0"/>
    <w:rsid w:val="00D82260"/>
    <w:rsid w:val="00D823E2"/>
    <w:rsid w:val="00D8370E"/>
    <w:rsid w:val="00D839D5"/>
    <w:rsid w:val="00D83D45"/>
    <w:rsid w:val="00D83ED7"/>
    <w:rsid w:val="00D84624"/>
    <w:rsid w:val="00D84A6D"/>
    <w:rsid w:val="00D84CDD"/>
    <w:rsid w:val="00D85809"/>
    <w:rsid w:val="00D85B88"/>
    <w:rsid w:val="00D86143"/>
    <w:rsid w:val="00D86E97"/>
    <w:rsid w:val="00D8704A"/>
    <w:rsid w:val="00D875F6"/>
    <w:rsid w:val="00D878AD"/>
    <w:rsid w:val="00D87EBF"/>
    <w:rsid w:val="00D90239"/>
    <w:rsid w:val="00D90363"/>
    <w:rsid w:val="00D91C8F"/>
    <w:rsid w:val="00D9263B"/>
    <w:rsid w:val="00D926F5"/>
    <w:rsid w:val="00D9292A"/>
    <w:rsid w:val="00D93E2D"/>
    <w:rsid w:val="00D9434C"/>
    <w:rsid w:val="00D943B2"/>
    <w:rsid w:val="00D94DE3"/>
    <w:rsid w:val="00D952EF"/>
    <w:rsid w:val="00D953D3"/>
    <w:rsid w:val="00D95A36"/>
    <w:rsid w:val="00D967F0"/>
    <w:rsid w:val="00D96C7A"/>
    <w:rsid w:val="00D97324"/>
    <w:rsid w:val="00D973CB"/>
    <w:rsid w:val="00D9752B"/>
    <w:rsid w:val="00D97AB8"/>
    <w:rsid w:val="00D97DB6"/>
    <w:rsid w:val="00DA03FD"/>
    <w:rsid w:val="00DA10D7"/>
    <w:rsid w:val="00DA1721"/>
    <w:rsid w:val="00DA19A3"/>
    <w:rsid w:val="00DA28C1"/>
    <w:rsid w:val="00DA295B"/>
    <w:rsid w:val="00DA33BC"/>
    <w:rsid w:val="00DA35F9"/>
    <w:rsid w:val="00DA4758"/>
    <w:rsid w:val="00DA4F29"/>
    <w:rsid w:val="00DA56B4"/>
    <w:rsid w:val="00DA5897"/>
    <w:rsid w:val="00DA61F5"/>
    <w:rsid w:val="00DA67CE"/>
    <w:rsid w:val="00DA7009"/>
    <w:rsid w:val="00DA71BD"/>
    <w:rsid w:val="00DA746D"/>
    <w:rsid w:val="00DA7C3B"/>
    <w:rsid w:val="00DA7D7C"/>
    <w:rsid w:val="00DA7F17"/>
    <w:rsid w:val="00DA7FD5"/>
    <w:rsid w:val="00DB0993"/>
    <w:rsid w:val="00DB117B"/>
    <w:rsid w:val="00DB146D"/>
    <w:rsid w:val="00DB1C33"/>
    <w:rsid w:val="00DB2319"/>
    <w:rsid w:val="00DB3204"/>
    <w:rsid w:val="00DB480D"/>
    <w:rsid w:val="00DB533C"/>
    <w:rsid w:val="00DB53EC"/>
    <w:rsid w:val="00DB6C57"/>
    <w:rsid w:val="00DB6D11"/>
    <w:rsid w:val="00DB6E9F"/>
    <w:rsid w:val="00DC08D6"/>
    <w:rsid w:val="00DC09F1"/>
    <w:rsid w:val="00DC0E9D"/>
    <w:rsid w:val="00DC0FF7"/>
    <w:rsid w:val="00DC11FA"/>
    <w:rsid w:val="00DC1CD7"/>
    <w:rsid w:val="00DC1ECA"/>
    <w:rsid w:val="00DC2874"/>
    <w:rsid w:val="00DC2DE0"/>
    <w:rsid w:val="00DC345A"/>
    <w:rsid w:val="00DC41B4"/>
    <w:rsid w:val="00DC4C66"/>
    <w:rsid w:val="00DC585C"/>
    <w:rsid w:val="00DC64CF"/>
    <w:rsid w:val="00DC67AA"/>
    <w:rsid w:val="00DC7010"/>
    <w:rsid w:val="00DC761E"/>
    <w:rsid w:val="00DC762B"/>
    <w:rsid w:val="00DC7E02"/>
    <w:rsid w:val="00DD1B52"/>
    <w:rsid w:val="00DD1C74"/>
    <w:rsid w:val="00DD27C4"/>
    <w:rsid w:val="00DD28C8"/>
    <w:rsid w:val="00DD2906"/>
    <w:rsid w:val="00DD37C2"/>
    <w:rsid w:val="00DD3827"/>
    <w:rsid w:val="00DD3FD6"/>
    <w:rsid w:val="00DD46A2"/>
    <w:rsid w:val="00DD4DB5"/>
    <w:rsid w:val="00DD5432"/>
    <w:rsid w:val="00DD5921"/>
    <w:rsid w:val="00DD5B15"/>
    <w:rsid w:val="00DD70AF"/>
    <w:rsid w:val="00DD7909"/>
    <w:rsid w:val="00DD7B1A"/>
    <w:rsid w:val="00DE0259"/>
    <w:rsid w:val="00DE1393"/>
    <w:rsid w:val="00DE1404"/>
    <w:rsid w:val="00DE1927"/>
    <w:rsid w:val="00DE1AA6"/>
    <w:rsid w:val="00DE1CAA"/>
    <w:rsid w:val="00DE215A"/>
    <w:rsid w:val="00DE2593"/>
    <w:rsid w:val="00DE2B1F"/>
    <w:rsid w:val="00DE2F73"/>
    <w:rsid w:val="00DE357E"/>
    <w:rsid w:val="00DE3E2F"/>
    <w:rsid w:val="00DE4546"/>
    <w:rsid w:val="00DE454A"/>
    <w:rsid w:val="00DE59E0"/>
    <w:rsid w:val="00DE69FD"/>
    <w:rsid w:val="00DE72C4"/>
    <w:rsid w:val="00DE7488"/>
    <w:rsid w:val="00DF0108"/>
    <w:rsid w:val="00DF06C9"/>
    <w:rsid w:val="00DF0ED3"/>
    <w:rsid w:val="00DF0F9F"/>
    <w:rsid w:val="00DF1071"/>
    <w:rsid w:val="00DF157E"/>
    <w:rsid w:val="00DF2322"/>
    <w:rsid w:val="00DF2F72"/>
    <w:rsid w:val="00DF47F0"/>
    <w:rsid w:val="00DF4B3E"/>
    <w:rsid w:val="00DF7525"/>
    <w:rsid w:val="00DF7E4F"/>
    <w:rsid w:val="00E000CC"/>
    <w:rsid w:val="00E00177"/>
    <w:rsid w:val="00E001CD"/>
    <w:rsid w:val="00E003FA"/>
    <w:rsid w:val="00E008FA"/>
    <w:rsid w:val="00E0116E"/>
    <w:rsid w:val="00E015DE"/>
    <w:rsid w:val="00E01A92"/>
    <w:rsid w:val="00E01F06"/>
    <w:rsid w:val="00E0244E"/>
    <w:rsid w:val="00E03723"/>
    <w:rsid w:val="00E037E8"/>
    <w:rsid w:val="00E03950"/>
    <w:rsid w:val="00E049FF"/>
    <w:rsid w:val="00E04D54"/>
    <w:rsid w:val="00E051BF"/>
    <w:rsid w:val="00E054A5"/>
    <w:rsid w:val="00E0567F"/>
    <w:rsid w:val="00E05722"/>
    <w:rsid w:val="00E05D0D"/>
    <w:rsid w:val="00E06248"/>
    <w:rsid w:val="00E063C2"/>
    <w:rsid w:val="00E072B8"/>
    <w:rsid w:val="00E07301"/>
    <w:rsid w:val="00E0750A"/>
    <w:rsid w:val="00E1058B"/>
    <w:rsid w:val="00E105B7"/>
    <w:rsid w:val="00E10C31"/>
    <w:rsid w:val="00E11152"/>
    <w:rsid w:val="00E111D3"/>
    <w:rsid w:val="00E11297"/>
    <w:rsid w:val="00E11503"/>
    <w:rsid w:val="00E11635"/>
    <w:rsid w:val="00E11FB2"/>
    <w:rsid w:val="00E12187"/>
    <w:rsid w:val="00E133C0"/>
    <w:rsid w:val="00E13681"/>
    <w:rsid w:val="00E13918"/>
    <w:rsid w:val="00E13CEC"/>
    <w:rsid w:val="00E146F9"/>
    <w:rsid w:val="00E15654"/>
    <w:rsid w:val="00E16A95"/>
    <w:rsid w:val="00E1741B"/>
    <w:rsid w:val="00E174EE"/>
    <w:rsid w:val="00E17842"/>
    <w:rsid w:val="00E178BA"/>
    <w:rsid w:val="00E203C5"/>
    <w:rsid w:val="00E20954"/>
    <w:rsid w:val="00E20BF5"/>
    <w:rsid w:val="00E2179C"/>
    <w:rsid w:val="00E218B2"/>
    <w:rsid w:val="00E21A60"/>
    <w:rsid w:val="00E21DA8"/>
    <w:rsid w:val="00E22470"/>
    <w:rsid w:val="00E230B0"/>
    <w:rsid w:val="00E23B48"/>
    <w:rsid w:val="00E23DC4"/>
    <w:rsid w:val="00E24B2D"/>
    <w:rsid w:val="00E24E01"/>
    <w:rsid w:val="00E25266"/>
    <w:rsid w:val="00E254AE"/>
    <w:rsid w:val="00E25922"/>
    <w:rsid w:val="00E25AB2"/>
    <w:rsid w:val="00E264A0"/>
    <w:rsid w:val="00E27769"/>
    <w:rsid w:val="00E300D5"/>
    <w:rsid w:val="00E304BA"/>
    <w:rsid w:val="00E30613"/>
    <w:rsid w:val="00E311F1"/>
    <w:rsid w:val="00E313CF"/>
    <w:rsid w:val="00E31983"/>
    <w:rsid w:val="00E32DE5"/>
    <w:rsid w:val="00E32FDD"/>
    <w:rsid w:val="00E32FE4"/>
    <w:rsid w:val="00E33970"/>
    <w:rsid w:val="00E3500B"/>
    <w:rsid w:val="00E35046"/>
    <w:rsid w:val="00E35707"/>
    <w:rsid w:val="00E36B6F"/>
    <w:rsid w:val="00E3705C"/>
    <w:rsid w:val="00E3797B"/>
    <w:rsid w:val="00E37C0A"/>
    <w:rsid w:val="00E40937"/>
    <w:rsid w:val="00E40A82"/>
    <w:rsid w:val="00E40FD7"/>
    <w:rsid w:val="00E41C52"/>
    <w:rsid w:val="00E41E02"/>
    <w:rsid w:val="00E42313"/>
    <w:rsid w:val="00E42345"/>
    <w:rsid w:val="00E423D4"/>
    <w:rsid w:val="00E42836"/>
    <w:rsid w:val="00E43CFB"/>
    <w:rsid w:val="00E44215"/>
    <w:rsid w:val="00E448F0"/>
    <w:rsid w:val="00E44AD3"/>
    <w:rsid w:val="00E45445"/>
    <w:rsid w:val="00E45C12"/>
    <w:rsid w:val="00E45C9C"/>
    <w:rsid w:val="00E45DD1"/>
    <w:rsid w:val="00E46045"/>
    <w:rsid w:val="00E46467"/>
    <w:rsid w:val="00E4677B"/>
    <w:rsid w:val="00E47756"/>
    <w:rsid w:val="00E47CB2"/>
    <w:rsid w:val="00E500E2"/>
    <w:rsid w:val="00E50351"/>
    <w:rsid w:val="00E5087B"/>
    <w:rsid w:val="00E509AF"/>
    <w:rsid w:val="00E50DD6"/>
    <w:rsid w:val="00E51075"/>
    <w:rsid w:val="00E51708"/>
    <w:rsid w:val="00E51B37"/>
    <w:rsid w:val="00E51BE9"/>
    <w:rsid w:val="00E52590"/>
    <w:rsid w:val="00E53342"/>
    <w:rsid w:val="00E53366"/>
    <w:rsid w:val="00E53A4B"/>
    <w:rsid w:val="00E53EF5"/>
    <w:rsid w:val="00E543BB"/>
    <w:rsid w:val="00E5449F"/>
    <w:rsid w:val="00E55139"/>
    <w:rsid w:val="00E55466"/>
    <w:rsid w:val="00E55819"/>
    <w:rsid w:val="00E56388"/>
    <w:rsid w:val="00E569A7"/>
    <w:rsid w:val="00E57003"/>
    <w:rsid w:val="00E5778D"/>
    <w:rsid w:val="00E5791A"/>
    <w:rsid w:val="00E609F6"/>
    <w:rsid w:val="00E60CB4"/>
    <w:rsid w:val="00E6167C"/>
    <w:rsid w:val="00E616C8"/>
    <w:rsid w:val="00E61B17"/>
    <w:rsid w:val="00E61B9D"/>
    <w:rsid w:val="00E6237A"/>
    <w:rsid w:val="00E62AB8"/>
    <w:rsid w:val="00E636E3"/>
    <w:rsid w:val="00E645C9"/>
    <w:rsid w:val="00E64690"/>
    <w:rsid w:val="00E65FC0"/>
    <w:rsid w:val="00E66AF9"/>
    <w:rsid w:val="00E66BAB"/>
    <w:rsid w:val="00E66DA8"/>
    <w:rsid w:val="00E66F27"/>
    <w:rsid w:val="00E67402"/>
    <w:rsid w:val="00E67A93"/>
    <w:rsid w:val="00E67FAD"/>
    <w:rsid w:val="00E70481"/>
    <w:rsid w:val="00E70982"/>
    <w:rsid w:val="00E70A1D"/>
    <w:rsid w:val="00E7102E"/>
    <w:rsid w:val="00E72B69"/>
    <w:rsid w:val="00E72C96"/>
    <w:rsid w:val="00E72E01"/>
    <w:rsid w:val="00E73A87"/>
    <w:rsid w:val="00E73ED8"/>
    <w:rsid w:val="00E74372"/>
    <w:rsid w:val="00E745F0"/>
    <w:rsid w:val="00E74B16"/>
    <w:rsid w:val="00E7557D"/>
    <w:rsid w:val="00E76667"/>
    <w:rsid w:val="00E7749F"/>
    <w:rsid w:val="00E7764D"/>
    <w:rsid w:val="00E77C52"/>
    <w:rsid w:val="00E800C8"/>
    <w:rsid w:val="00E80B53"/>
    <w:rsid w:val="00E81242"/>
    <w:rsid w:val="00E81632"/>
    <w:rsid w:val="00E827AC"/>
    <w:rsid w:val="00E82D21"/>
    <w:rsid w:val="00E83650"/>
    <w:rsid w:val="00E84DFA"/>
    <w:rsid w:val="00E856E5"/>
    <w:rsid w:val="00E864E6"/>
    <w:rsid w:val="00E86EC5"/>
    <w:rsid w:val="00E877BA"/>
    <w:rsid w:val="00E877BB"/>
    <w:rsid w:val="00E912AB"/>
    <w:rsid w:val="00E91CAB"/>
    <w:rsid w:val="00E9234E"/>
    <w:rsid w:val="00E925DF"/>
    <w:rsid w:val="00E9284C"/>
    <w:rsid w:val="00E9288B"/>
    <w:rsid w:val="00E92E3B"/>
    <w:rsid w:val="00E93584"/>
    <w:rsid w:val="00E9398A"/>
    <w:rsid w:val="00E93A13"/>
    <w:rsid w:val="00E94CAF"/>
    <w:rsid w:val="00E95AEA"/>
    <w:rsid w:val="00E95CDF"/>
    <w:rsid w:val="00E96055"/>
    <w:rsid w:val="00E96068"/>
    <w:rsid w:val="00E96186"/>
    <w:rsid w:val="00E968FC"/>
    <w:rsid w:val="00E96B02"/>
    <w:rsid w:val="00E96D78"/>
    <w:rsid w:val="00E97070"/>
    <w:rsid w:val="00E97A42"/>
    <w:rsid w:val="00EA06F0"/>
    <w:rsid w:val="00EA18A4"/>
    <w:rsid w:val="00EA1E92"/>
    <w:rsid w:val="00EA337F"/>
    <w:rsid w:val="00EA3601"/>
    <w:rsid w:val="00EA427C"/>
    <w:rsid w:val="00EA4A4A"/>
    <w:rsid w:val="00EA5B28"/>
    <w:rsid w:val="00EA5BD0"/>
    <w:rsid w:val="00EA6B1A"/>
    <w:rsid w:val="00EA6D5C"/>
    <w:rsid w:val="00EA719F"/>
    <w:rsid w:val="00EA737C"/>
    <w:rsid w:val="00EA7566"/>
    <w:rsid w:val="00EA7980"/>
    <w:rsid w:val="00EB04F7"/>
    <w:rsid w:val="00EB0AE5"/>
    <w:rsid w:val="00EB0EAA"/>
    <w:rsid w:val="00EB12F8"/>
    <w:rsid w:val="00EB168B"/>
    <w:rsid w:val="00EB210E"/>
    <w:rsid w:val="00EB36BC"/>
    <w:rsid w:val="00EB37B5"/>
    <w:rsid w:val="00EB42D4"/>
    <w:rsid w:val="00EB4B22"/>
    <w:rsid w:val="00EB5360"/>
    <w:rsid w:val="00EB5E55"/>
    <w:rsid w:val="00EB6B87"/>
    <w:rsid w:val="00EB75A7"/>
    <w:rsid w:val="00EB7874"/>
    <w:rsid w:val="00EB7CD2"/>
    <w:rsid w:val="00EC03CF"/>
    <w:rsid w:val="00EC0513"/>
    <w:rsid w:val="00EC07A1"/>
    <w:rsid w:val="00EC0AD9"/>
    <w:rsid w:val="00EC182C"/>
    <w:rsid w:val="00EC1E08"/>
    <w:rsid w:val="00EC2051"/>
    <w:rsid w:val="00EC2F0C"/>
    <w:rsid w:val="00EC396F"/>
    <w:rsid w:val="00EC3B38"/>
    <w:rsid w:val="00EC44C1"/>
    <w:rsid w:val="00EC52A0"/>
    <w:rsid w:val="00EC5738"/>
    <w:rsid w:val="00EC5909"/>
    <w:rsid w:val="00EC5C7C"/>
    <w:rsid w:val="00EC70AA"/>
    <w:rsid w:val="00EC70D8"/>
    <w:rsid w:val="00EC719E"/>
    <w:rsid w:val="00EC7550"/>
    <w:rsid w:val="00EC77F1"/>
    <w:rsid w:val="00ED04E4"/>
    <w:rsid w:val="00ED0650"/>
    <w:rsid w:val="00ED1BE2"/>
    <w:rsid w:val="00ED21B3"/>
    <w:rsid w:val="00ED257E"/>
    <w:rsid w:val="00ED2AB7"/>
    <w:rsid w:val="00ED35C6"/>
    <w:rsid w:val="00ED39ED"/>
    <w:rsid w:val="00ED3EE9"/>
    <w:rsid w:val="00ED446B"/>
    <w:rsid w:val="00ED4B09"/>
    <w:rsid w:val="00ED5224"/>
    <w:rsid w:val="00ED59AA"/>
    <w:rsid w:val="00ED6A78"/>
    <w:rsid w:val="00ED714B"/>
    <w:rsid w:val="00ED738C"/>
    <w:rsid w:val="00ED7994"/>
    <w:rsid w:val="00ED7CDB"/>
    <w:rsid w:val="00EE1417"/>
    <w:rsid w:val="00EE1527"/>
    <w:rsid w:val="00EE253C"/>
    <w:rsid w:val="00EE26DF"/>
    <w:rsid w:val="00EE3BC1"/>
    <w:rsid w:val="00EE41B3"/>
    <w:rsid w:val="00EE461B"/>
    <w:rsid w:val="00EE4822"/>
    <w:rsid w:val="00EE5343"/>
    <w:rsid w:val="00EE5C13"/>
    <w:rsid w:val="00EE6090"/>
    <w:rsid w:val="00EE6191"/>
    <w:rsid w:val="00EE6AE3"/>
    <w:rsid w:val="00EE7364"/>
    <w:rsid w:val="00EE7480"/>
    <w:rsid w:val="00EE7D0A"/>
    <w:rsid w:val="00EF00E4"/>
    <w:rsid w:val="00EF08EF"/>
    <w:rsid w:val="00EF1538"/>
    <w:rsid w:val="00EF1FC4"/>
    <w:rsid w:val="00EF24C7"/>
    <w:rsid w:val="00EF2859"/>
    <w:rsid w:val="00EF299E"/>
    <w:rsid w:val="00EF29DA"/>
    <w:rsid w:val="00EF2A74"/>
    <w:rsid w:val="00EF2B7C"/>
    <w:rsid w:val="00EF2B97"/>
    <w:rsid w:val="00EF2BC6"/>
    <w:rsid w:val="00EF32B8"/>
    <w:rsid w:val="00EF39FA"/>
    <w:rsid w:val="00EF3A38"/>
    <w:rsid w:val="00EF3C5A"/>
    <w:rsid w:val="00EF47BF"/>
    <w:rsid w:val="00EF48D0"/>
    <w:rsid w:val="00EF5323"/>
    <w:rsid w:val="00EF65FB"/>
    <w:rsid w:val="00EF7439"/>
    <w:rsid w:val="00EF761A"/>
    <w:rsid w:val="00F00714"/>
    <w:rsid w:val="00F0085C"/>
    <w:rsid w:val="00F00DAC"/>
    <w:rsid w:val="00F00E34"/>
    <w:rsid w:val="00F0189E"/>
    <w:rsid w:val="00F01C62"/>
    <w:rsid w:val="00F01E42"/>
    <w:rsid w:val="00F024A2"/>
    <w:rsid w:val="00F02906"/>
    <w:rsid w:val="00F02FA2"/>
    <w:rsid w:val="00F03051"/>
    <w:rsid w:val="00F04208"/>
    <w:rsid w:val="00F04252"/>
    <w:rsid w:val="00F045AD"/>
    <w:rsid w:val="00F048F3"/>
    <w:rsid w:val="00F04ED2"/>
    <w:rsid w:val="00F04FED"/>
    <w:rsid w:val="00F052B7"/>
    <w:rsid w:val="00F05351"/>
    <w:rsid w:val="00F056E8"/>
    <w:rsid w:val="00F058B1"/>
    <w:rsid w:val="00F066A6"/>
    <w:rsid w:val="00F06CFF"/>
    <w:rsid w:val="00F06FE3"/>
    <w:rsid w:val="00F07D5A"/>
    <w:rsid w:val="00F1009B"/>
    <w:rsid w:val="00F10115"/>
    <w:rsid w:val="00F108F9"/>
    <w:rsid w:val="00F10A87"/>
    <w:rsid w:val="00F11B6F"/>
    <w:rsid w:val="00F11D55"/>
    <w:rsid w:val="00F11D6E"/>
    <w:rsid w:val="00F1222F"/>
    <w:rsid w:val="00F12801"/>
    <w:rsid w:val="00F12B4E"/>
    <w:rsid w:val="00F13826"/>
    <w:rsid w:val="00F13B32"/>
    <w:rsid w:val="00F13B40"/>
    <w:rsid w:val="00F14B1F"/>
    <w:rsid w:val="00F14BFD"/>
    <w:rsid w:val="00F15C10"/>
    <w:rsid w:val="00F16BF4"/>
    <w:rsid w:val="00F16E9B"/>
    <w:rsid w:val="00F179A4"/>
    <w:rsid w:val="00F17FC0"/>
    <w:rsid w:val="00F2010F"/>
    <w:rsid w:val="00F205F2"/>
    <w:rsid w:val="00F210D3"/>
    <w:rsid w:val="00F215AF"/>
    <w:rsid w:val="00F21A01"/>
    <w:rsid w:val="00F21E76"/>
    <w:rsid w:val="00F225A8"/>
    <w:rsid w:val="00F23F78"/>
    <w:rsid w:val="00F240DB"/>
    <w:rsid w:val="00F24D05"/>
    <w:rsid w:val="00F24EC0"/>
    <w:rsid w:val="00F2517F"/>
    <w:rsid w:val="00F253B2"/>
    <w:rsid w:val="00F257EC"/>
    <w:rsid w:val="00F25AD7"/>
    <w:rsid w:val="00F270B3"/>
    <w:rsid w:val="00F30FB5"/>
    <w:rsid w:val="00F31754"/>
    <w:rsid w:val="00F31A64"/>
    <w:rsid w:val="00F31B32"/>
    <w:rsid w:val="00F31E84"/>
    <w:rsid w:val="00F32200"/>
    <w:rsid w:val="00F32893"/>
    <w:rsid w:val="00F3298D"/>
    <w:rsid w:val="00F32A39"/>
    <w:rsid w:val="00F33551"/>
    <w:rsid w:val="00F3479B"/>
    <w:rsid w:val="00F34905"/>
    <w:rsid w:val="00F352DA"/>
    <w:rsid w:val="00F35C69"/>
    <w:rsid w:val="00F36383"/>
    <w:rsid w:val="00F3642C"/>
    <w:rsid w:val="00F36705"/>
    <w:rsid w:val="00F36FA8"/>
    <w:rsid w:val="00F372EE"/>
    <w:rsid w:val="00F40248"/>
    <w:rsid w:val="00F408E1"/>
    <w:rsid w:val="00F40A78"/>
    <w:rsid w:val="00F41786"/>
    <w:rsid w:val="00F419BF"/>
    <w:rsid w:val="00F41D42"/>
    <w:rsid w:val="00F420AD"/>
    <w:rsid w:val="00F42499"/>
    <w:rsid w:val="00F430EF"/>
    <w:rsid w:val="00F43117"/>
    <w:rsid w:val="00F433E3"/>
    <w:rsid w:val="00F433FF"/>
    <w:rsid w:val="00F43A4B"/>
    <w:rsid w:val="00F44396"/>
    <w:rsid w:val="00F450C3"/>
    <w:rsid w:val="00F4530B"/>
    <w:rsid w:val="00F4556A"/>
    <w:rsid w:val="00F458AC"/>
    <w:rsid w:val="00F463E5"/>
    <w:rsid w:val="00F46889"/>
    <w:rsid w:val="00F46B82"/>
    <w:rsid w:val="00F46C06"/>
    <w:rsid w:val="00F471BE"/>
    <w:rsid w:val="00F50D8C"/>
    <w:rsid w:val="00F5115F"/>
    <w:rsid w:val="00F5144A"/>
    <w:rsid w:val="00F516D4"/>
    <w:rsid w:val="00F519A0"/>
    <w:rsid w:val="00F52797"/>
    <w:rsid w:val="00F52A52"/>
    <w:rsid w:val="00F52AD0"/>
    <w:rsid w:val="00F52BB4"/>
    <w:rsid w:val="00F5388B"/>
    <w:rsid w:val="00F53B1A"/>
    <w:rsid w:val="00F53EA0"/>
    <w:rsid w:val="00F54107"/>
    <w:rsid w:val="00F54216"/>
    <w:rsid w:val="00F552EC"/>
    <w:rsid w:val="00F55AF7"/>
    <w:rsid w:val="00F55DF0"/>
    <w:rsid w:val="00F5670C"/>
    <w:rsid w:val="00F57091"/>
    <w:rsid w:val="00F57476"/>
    <w:rsid w:val="00F60637"/>
    <w:rsid w:val="00F6076F"/>
    <w:rsid w:val="00F6093B"/>
    <w:rsid w:val="00F6103A"/>
    <w:rsid w:val="00F61699"/>
    <w:rsid w:val="00F6249C"/>
    <w:rsid w:val="00F62A3E"/>
    <w:rsid w:val="00F62EE4"/>
    <w:rsid w:val="00F63476"/>
    <w:rsid w:val="00F64405"/>
    <w:rsid w:val="00F660CD"/>
    <w:rsid w:val="00F667A8"/>
    <w:rsid w:val="00F667B1"/>
    <w:rsid w:val="00F66A2D"/>
    <w:rsid w:val="00F66FD5"/>
    <w:rsid w:val="00F6756D"/>
    <w:rsid w:val="00F67D54"/>
    <w:rsid w:val="00F709BD"/>
    <w:rsid w:val="00F70BFD"/>
    <w:rsid w:val="00F7167A"/>
    <w:rsid w:val="00F71793"/>
    <w:rsid w:val="00F71A9E"/>
    <w:rsid w:val="00F71F72"/>
    <w:rsid w:val="00F72A32"/>
    <w:rsid w:val="00F72DF7"/>
    <w:rsid w:val="00F72EEA"/>
    <w:rsid w:val="00F73029"/>
    <w:rsid w:val="00F731B3"/>
    <w:rsid w:val="00F74667"/>
    <w:rsid w:val="00F74677"/>
    <w:rsid w:val="00F76159"/>
    <w:rsid w:val="00F762FE"/>
    <w:rsid w:val="00F77BB1"/>
    <w:rsid w:val="00F77D3D"/>
    <w:rsid w:val="00F803F5"/>
    <w:rsid w:val="00F815BF"/>
    <w:rsid w:val="00F81D6B"/>
    <w:rsid w:val="00F8216F"/>
    <w:rsid w:val="00F82232"/>
    <w:rsid w:val="00F835A7"/>
    <w:rsid w:val="00F836EE"/>
    <w:rsid w:val="00F837C7"/>
    <w:rsid w:val="00F839B5"/>
    <w:rsid w:val="00F83E71"/>
    <w:rsid w:val="00F8438F"/>
    <w:rsid w:val="00F850D7"/>
    <w:rsid w:val="00F85983"/>
    <w:rsid w:val="00F85C29"/>
    <w:rsid w:val="00F85EA1"/>
    <w:rsid w:val="00F86100"/>
    <w:rsid w:val="00F86594"/>
    <w:rsid w:val="00F86A12"/>
    <w:rsid w:val="00F86E66"/>
    <w:rsid w:val="00F8735B"/>
    <w:rsid w:val="00F87604"/>
    <w:rsid w:val="00F87D8F"/>
    <w:rsid w:val="00F9003F"/>
    <w:rsid w:val="00F90165"/>
    <w:rsid w:val="00F9051F"/>
    <w:rsid w:val="00F90E8B"/>
    <w:rsid w:val="00F90F70"/>
    <w:rsid w:val="00F91349"/>
    <w:rsid w:val="00F918E6"/>
    <w:rsid w:val="00F91CD7"/>
    <w:rsid w:val="00F91D79"/>
    <w:rsid w:val="00F92189"/>
    <w:rsid w:val="00F92733"/>
    <w:rsid w:val="00F93A31"/>
    <w:rsid w:val="00F93CF6"/>
    <w:rsid w:val="00F9458B"/>
    <w:rsid w:val="00F9567D"/>
    <w:rsid w:val="00F95EF2"/>
    <w:rsid w:val="00F9636E"/>
    <w:rsid w:val="00F966BA"/>
    <w:rsid w:val="00F97247"/>
    <w:rsid w:val="00F973E6"/>
    <w:rsid w:val="00F97E0C"/>
    <w:rsid w:val="00FA002C"/>
    <w:rsid w:val="00FA19A7"/>
    <w:rsid w:val="00FA1C08"/>
    <w:rsid w:val="00FA26B1"/>
    <w:rsid w:val="00FA26F5"/>
    <w:rsid w:val="00FA2A91"/>
    <w:rsid w:val="00FA2E23"/>
    <w:rsid w:val="00FA33C7"/>
    <w:rsid w:val="00FA370D"/>
    <w:rsid w:val="00FA3DAA"/>
    <w:rsid w:val="00FA3E9B"/>
    <w:rsid w:val="00FA4706"/>
    <w:rsid w:val="00FA476C"/>
    <w:rsid w:val="00FA4BA9"/>
    <w:rsid w:val="00FA5108"/>
    <w:rsid w:val="00FA5723"/>
    <w:rsid w:val="00FA5B38"/>
    <w:rsid w:val="00FA63A2"/>
    <w:rsid w:val="00FA63DC"/>
    <w:rsid w:val="00FA67DD"/>
    <w:rsid w:val="00FA6E5F"/>
    <w:rsid w:val="00FA7032"/>
    <w:rsid w:val="00FA707B"/>
    <w:rsid w:val="00FB050F"/>
    <w:rsid w:val="00FB12DF"/>
    <w:rsid w:val="00FB2D86"/>
    <w:rsid w:val="00FB2F6B"/>
    <w:rsid w:val="00FB405B"/>
    <w:rsid w:val="00FB533E"/>
    <w:rsid w:val="00FB5CB2"/>
    <w:rsid w:val="00FB622E"/>
    <w:rsid w:val="00FB64B6"/>
    <w:rsid w:val="00FB70D1"/>
    <w:rsid w:val="00FB7922"/>
    <w:rsid w:val="00FB7AA7"/>
    <w:rsid w:val="00FB7AB6"/>
    <w:rsid w:val="00FB7C44"/>
    <w:rsid w:val="00FB7F83"/>
    <w:rsid w:val="00FC0091"/>
    <w:rsid w:val="00FC02E8"/>
    <w:rsid w:val="00FC1460"/>
    <w:rsid w:val="00FC1B0B"/>
    <w:rsid w:val="00FC1BA1"/>
    <w:rsid w:val="00FC232B"/>
    <w:rsid w:val="00FC26EF"/>
    <w:rsid w:val="00FC2DC4"/>
    <w:rsid w:val="00FC318C"/>
    <w:rsid w:val="00FC32FA"/>
    <w:rsid w:val="00FC34B7"/>
    <w:rsid w:val="00FC39FF"/>
    <w:rsid w:val="00FC3EAB"/>
    <w:rsid w:val="00FC44ED"/>
    <w:rsid w:val="00FC496E"/>
    <w:rsid w:val="00FC4F28"/>
    <w:rsid w:val="00FC4FBE"/>
    <w:rsid w:val="00FC5662"/>
    <w:rsid w:val="00FC5925"/>
    <w:rsid w:val="00FC5B46"/>
    <w:rsid w:val="00FC5EE3"/>
    <w:rsid w:val="00FC6279"/>
    <w:rsid w:val="00FC6A18"/>
    <w:rsid w:val="00FC7520"/>
    <w:rsid w:val="00FC7847"/>
    <w:rsid w:val="00FD153A"/>
    <w:rsid w:val="00FD16F6"/>
    <w:rsid w:val="00FD174A"/>
    <w:rsid w:val="00FD1EB8"/>
    <w:rsid w:val="00FD1FDC"/>
    <w:rsid w:val="00FD209F"/>
    <w:rsid w:val="00FD34E8"/>
    <w:rsid w:val="00FD3A8D"/>
    <w:rsid w:val="00FD4128"/>
    <w:rsid w:val="00FD484D"/>
    <w:rsid w:val="00FD4BD5"/>
    <w:rsid w:val="00FD5A90"/>
    <w:rsid w:val="00FD6B0E"/>
    <w:rsid w:val="00FD6B52"/>
    <w:rsid w:val="00FD77FF"/>
    <w:rsid w:val="00FD7D5A"/>
    <w:rsid w:val="00FD7EB2"/>
    <w:rsid w:val="00FE04D7"/>
    <w:rsid w:val="00FE0919"/>
    <w:rsid w:val="00FE1837"/>
    <w:rsid w:val="00FE1931"/>
    <w:rsid w:val="00FE2119"/>
    <w:rsid w:val="00FE30C6"/>
    <w:rsid w:val="00FE4461"/>
    <w:rsid w:val="00FE4603"/>
    <w:rsid w:val="00FE5E6E"/>
    <w:rsid w:val="00FE6696"/>
    <w:rsid w:val="00FE6B83"/>
    <w:rsid w:val="00FF0A64"/>
    <w:rsid w:val="00FF1846"/>
    <w:rsid w:val="00FF1FEC"/>
    <w:rsid w:val="00FF38F0"/>
    <w:rsid w:val="00FF3DCE"/>
    <w:rsid w:val="00FF3FBD"/>
    <w:rsid w:val="00FF49B6"/>
    <w:rsid w:val="00FF4F68"/>
    <w:rsid w:val="00FF5729"/>
    <w:rsid w:val="00FF5981"/>
    <w:rsid w:val="00FF5CD7"/>
    <w:rsid w:val="00FF5FBE"/>
    <w:rsid w:val="00FF606A"/>
    <w:rsid w:val="00FF62CE"/>
    <w:rsid w:val="00FF671A"/>
    <w:rsid w:val="00FF6D54"/>
    <w:rsid w:val="00FF6D8A"/>
    <w:rsid w:val="00FF72B4"/>
    <w:rsid w:val="00FF7985"/>
    <w:rsid w:val="0390D362"/>
    <w:rsid w:val="051D6796"/>
    <w:rsid w:val="0E850B92"/>
    <w:rsid w:val="0FDE19E5"/>
    <w:rsid w:val="1059F09A"/>
    <w:rsid w:val="16D6F35F"/>
    <w:rsid w:val="1FC730D6"/>
    <w:rsid w:val="253C2FFE"/>
    <w:rsid w:val="27128E63"/>
    <w:rsid w:val="2A1D6FB6"/>
    <w:rsid w:val="2AD513C9"/>
    <w:rsid w:val="2F69ABCA"/>
    <w:rsid w:val="34F5195C"/>
    <w:rsid w:val="3A68ABF3"/>
    <w:rsid w:val="3CDB7B36"/>
    <w:rsid w:val="3D4B2D39"/>
    <w:rsid w:val="41AEA7F6"/>
    <w:rsid w:val="534DA75F"/>
    <w:rsid w:val="56ADF044"/>
    <w:rsid w:val="5C983BFE"/>
    <w:rsid w:val="5CD93424"/>
    <w:rsid w:val="644C5A91"/>
    <w:rsid w:val="6476E868"/>
    <w:rsid w:val="64BA6C19"/>
    <w:rsid w:val="6BB65522"/>
    <w:rsid w:val="6F3FFC22"/>
    <w:rsid w:val="77D0C6EF"/>
    <w:rsid w:val="77D67219"/>
    <w:rsid w:val="79EB2677"/>
    <w:rsid w:val="7EB39B4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C3C6FA"/>
  <w15:docId w15:val="{6B6985EC-5023-4982-99DE-2DDCDE33E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21"/>
    <w:lsdException w:name="header" w:uiPriority="99" w:qFormat="1"/>
    <w:lsdException w:name="footer" w:uiPriority="99" w:qFormat="1"/>
    <w:lsdException w:name="caption" w:semiHidden="1" w:unhideWhenUsed="1" w:qFormat="1"/>
    <w:lsdException w:name="table of figures" w:uiPriority="99"/>
    <w:lsdException w:name="footnote reference" w:uiPriority="21"/>
    <w:lsdException w:name="List Bullet" w:qFormat="1"/>
    <w:lsdException w:name="List Number 2" w:qFormat="1"/>
    <w:lsdException w:name="List Number 3" w:qFormat="1"/>
    <w:lsdException w:name="Title" w:qFormat="1"/>
    <w:lsdException w:name="Subtitle" w:qFormat="1"/>
    <w:lsdException w:name="Hyperlink" w:uiPriority="99"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3F60"/>
    <w:pPr>
      <w:spacing w:before="120" w:after="120"/>
    </w:pPr>
    <w:rPr>
      <w:rFonts w:ascii="Arial" w:hAnsi="Arial"/>
      <w:color w:val="000000" w:themeColor="text1"/>
      <w:sz w:val="22"/>
      <w:szCs w:val="24"/>
      <w:lang w:eastAsia="en-US"/>
    </w:rPr>
  </w:style>
  <w:style w:type="paragraph" w:styleId="Heading1">
    <w:name w:val="heading 1"/>
    <w:basedOn w:val="Normal"/>
    <w:next w:val="Normal"/>
    <w:link w:val="Heading1Char"/>
    <w:qFormat/>
    <w:rsid w:val="00A705AF"/>
    <w:pPr>
      <w:keepNext/>
      <w:spacing w:before="240" w:after="60"/>
      <w:outlineLvl w:val="0"/>
    </w:pPr>
    <w:rPr>
      <w:rFonts w:cs="Arial"/>
      <w:b/>
      <w:bCs/>
      <w:kern w:val="28"/>
      <w:sz w:val="28"/>
      <w:szCs w:val="32"/>
    </w:rPr>
  </w:style>
  <w:style w:type="paragraph" w:styleId="Heading2">
    <w:name w:val="heading 2"/>
    <w:basedOn w:val="Normal"/>
    <w:next w:val="Normal"/>
    <w:qFormat/>
    <w:rsid w:val="00665D8A"/>
    <w:pPr>
      <w:keepNext/>
      <w:spacing w:before="240" w:after="60"/>
      <w:outlineLvl w:val="1"/>
    </w:pPr>
    <w:rPr>
      <w:rFonts w:eastAsia="Calibri" w:cs="Arial"/>
      <w:b/>
      <w:bCs/>
      <w:iCs/>
      <w:szCs w:val="28"/>
    </w:rPr>
  </w:style>
  <w:style w:type="paragraph" w:styleId="Heading3">
    <w:name w:val="heading 3"/>
    <w:basedOn w:val="Normal"/>
    <w:next w:val="Normal"/>
    <w:qFormat/>
    <w:rsid w:val="00A705AF"/>
    <w:pPr>
      <w:keepNext/>
      <w:spacing w:before="240" w:after="60"/>
      <w:outlineLvl w:val="2"/>
    </w:pPr>
    <w:rPr>
      <w:rFonts w:cs="Arial"/>
      <w:bCs/>
      <w:szCs w:val="26"/>
    </w:rPr>
  </w:style>
  <w:style w:type="paragraph" w:styleId="Heading4">
    <w:name w:val="heading 4"/>
    <w:basedOn w:val="Normal"/>
    <w:next w:val="Normal"/>
    <w:qFormat/>
    <w:rsid w:val="00A705AF"/>
    <w:pPr>
      <w:keepNext/>
      <w:spacing w:before="240" w:after="60"/>
      <w:outlineLvl w:val="3"/>
    </w:pPr>
    <w:rPr>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paragraph" w:styleId="Heading7">
    <w:name w:val="heading 7"/>
    <w:basedOn w:val="Normal"/>
    <w:next w:val="Normal"/>
    <w:link w:val="Heading7Char"/>
    <w:semiHidden/>
    <w:unhideWhenUsed/>
    <w:qFormat/>
    <w:rsid w:val="00F9458B"/>
    <w:pPr>
      <w:keepNext/>
      <w:keepLines/>
      <w:spacing w:before="200"/>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F9458B"/>
    <w:pPr>
      <w:keepNext/>
      <w:keepLines/>
      <w:spacing w:before="200"/>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F9458B"/>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705AF"/>
    <w:rPr>
      <w:i/>
      <w:iCs/>
    </w:rPr>
  </w:style>
  <w:style w:type="character" w:styleId="Strong">
    <w:name w:val="Strong"/>
    <w:basedOn w:val="DefaultParagraphFont"/>
    <w:qFormat/>
    <w:rsid w:val="00B64335"/>
    <w:rPr>
      <w:rFonts w:eastAsia="Calibri"/>
      <w:b/>
      <w:bCs/>
    </w:rPr>
  </w:style>
  <w:style w:type="paragraph" w:styleId="Subtitle">
    <w:name w:val="Subtitle"/>
    <w:basedOn w:val="Normal"/>
    <w:next w:val="Normal"/>
    <w:link w:val="SubtitleChar"/>
    <w:qFormat/>
    <w:rsid w:val="00F31B32"/>
    <w:pPr>
      <w:numPr>
        <w:ilvl w:val="1"/>
      </w:numPr>
      <w:spacing w:after="60"/>
    </w:pPr>
    <w:rPr>
      <w:rFonts w:eastAsiaTheme="majorEastAsia" w:cstheme="majorBidi"/>
      <w:iCs/>
      <w:color w:val="32373A"/>
      <w:spacing w:val="15"/>
      <w:sz w:val="36"/>
    </w:rPr>
  </w:style>
  <w:style w:type="character" w:customStyle="1" w:styleId="SubtitleChar">
    <w:name w:val="Subtitle Char"/>
    <w:basedOn w:val="DefaultParagraphFont"/>
    <w:link w:val="Subtitle"/>
    <w:rsid w:val="00F31B32"/>
    <w:rPr>
      <w:rFonts w:ascii="Arial" w:eastAsiaTheme="majorEastAsia" w:hAnsi="Arial" w:cstheme="majorBidi"/>
      <w:iCs/>
      <w:color w:val="32373A"/>
      <w:spacing w:val="15"/>
      <w:sz w:val="36"/>
      <w:szCs w:val="24"/>
      <w:lang w:eastAsia="en-US"/>
    </w:rPr>
  </w:style>
  <w:style w:type="paragraph" w:styleId="Title">
    <w:name w:val="Title"/>
    <w:basedOn w:val="Normal"/>
    <w:next w:val="Normal"/>
    <w:link w:val="TitleChar"/>
    <w:qFormat/>
    <w:rsid w:val="006E3F60"/>
    <w:pPr>
      <w:tabs>
        <w:tab w:val="left" w:pos="6792"/>
      </w:tabs>
      <w:spacing w:before="4080" w:after="300"/>
    </w:pPr>
    <w:rPr>
      <w:rFonts w:eastAsiaTheme="majorEastAsia" w:cstheme="majorBidi"/>
      <w:b/>
      <w:color w:val="003D69"/>
      <w:kern w:val="28"/>
      <w:sz w:val="56"/>
      <w:szCs w:val="80"/>
    </w:rPr>
  </w:style>
  <w:style w:type="character" w:customStyle="1" w:styleId="TitleChar">
    <w:name w:val="Title Char"/>
    <w:basedOn w:val="DefaultParagraphFont"/>
    <w:link w:val="Title"/>
    <w:rsid w:val="006E3F60"/>
    <w:rPr>
      <w:rFonts w:ascii="Arial" w:eastAsiaTheme="majorEastAsia" w:hAnsi="Arial" w:cstheme="majorBidi"/>
      <w:b/>
      <w:color w:val="003D69"/>
      <w:kern w:val="28"/>
      <w:sz w:val="56"/>
      <w:szCs w:val="80"/>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rPr>
  </w:style>
  <w:style w:type="character" w:customStyle="1" w:styleId="QuoteChar">
    <w:name w:val="Quote Char"/>
    <w:basedOn w:val="DefaultParagraphFont"/>
    <w:link w:val="Quote"/>
    <w:uiPriority w:val="29"/>
    <w:rsid w:val="00A4512D"/>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List Paragraph1,Recommendation,Body text"/>
    <w:basedOn w:val="Normal"/>
    <w:link w:val="ListParagraphChar"/>
    <w:uiPriority w:val="34"/>
    <w:qFormat/>
    <w:rsid w:val="00A4512D"/>
    <w:pPr>
      <w:ind w:left="720"/>
      <w:contextualSpacing/>
    </w:pPr>
  </w:style>
  <w:style w:type="character" w:customStyle="1" w:styleId="Heading7Char">
    <w:name w:val="Heading 7 Char"/>
    <w:basedOn w:val="DefaultParagraphFont"/>
    <w:link w:val="Heading7"/>
    <w:semiHidden/>
    <w:rsid w:val="00F9458B"/>
    <w:rPr>
      <w:rFonts w:asciiTheme="majorHAnsi" w:eastAsiaTheme="majorEastAsia" w:hAnsiTheme="majorHAnsi" w:cstheme="majorBidi"/>
      <w:i/>
      <w:iCs/>
      <w:color w:val="404040" w:themeColor="text1" w:themeTint="BF"/>
      <w:sz w:val="22"/>
      <w:szCs w:val="24"/>
      <w:lang w:eastAsia="en-US"/>
    </w:rPr>
  </w:style>
  <w:style w:type="character" w:customStyle="1" w:styleId="Heading8Char">
    <w:name w:val="Heading 8 Char"/>
    <w:basedOn w:val="DefaultParagraphFont"/>
    <w:link w:val="Heading8"/>
    <w:semiHidden/>
    <w:rsid w:val="00F9458B"/>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semiHidden/>
    <w:rsid w:val="00F9458B"/>
    <w:rPr>
      <w:rFonts w:asciiTheme="majorHAnsi" w:eastAsiaTheme="majorEastAsia" w:hAnsiTheme="majorHAnsi" w:cstheme="majorBidi"/>
      <w:i/>
      <w:iCs/>
      <w:color w:val="404040" w:themeColor="text1" w:themeTint="BF"/>
      <w:lang w:eastAsia="en-US"/>
    </w:rPr>
  </w:style>
  <w:style w:type="numbering" w:customStyle="1" w:styleId="NoList1">
    <w:name w:val="No List1"/>
    <w:next w:val="NoList"/>
    <w:uiPriority w:val="99"/>
    <w:semiHidden/>
    <w:unhideWhenUsed/>
    <w:rsid w:val="00F9458B"/>
  </w:style>
  <w:style w:type="paragraph" w:styleId="ListBullet">
    <w:name w:val="List Bullet"/>
    <w:basedOn w:val="Normal"/>
    <w:qFormat/>
    <w:rsid w:val="00716651"/>
    <w:pPr>
      <w:numPr>
        <w:numId w:val="1"/>
      </w:numPr>
      <w:spacing w:line="240" w:lineRule="exact"/>
      <w:ind w:left="284" w:hanging="284"/>
    </w:pPr>
    <w:rPr>
      <w:rFonts w:eastAsia="Calibri"/>
    </w:rPr>
  </w:style>
  <w:style w:type="paragraph" w:styleId="ListNumber3">
    <w:name w:val="List Number 3"/>
    <w:aliases w:val="List Third Level"/>
    <w:basedOn w:val="ListNumber2"/>
    <w:qFormat/>
    <w:rsid w:val="00F9458B"/>
    <w:pPr>
      <w:numPr>
        <w:numId w:val="2"/>
      </w:numPr>
      <w:tabs>
        <w:tab w:val="num" w:pos="1440"/>
      </w:tabs>
      <w:spacing w:line="276" w:lineRule="auto"/>
      <w:ind w:left="924" w:hanging="357"/>
    </w:pPr>
    <w:rPr>
      <w:rFonts w:eastAsia="Cambria"/>
      <w:color w:val="auto"/>
      <w:szCs w:val="22"/>
      <w:lang w:val="en-US"/>
    </w:rPr>
  </w:style>
  <w:style w:type="paragraph" w:styleId="ListNumber2">
    <w:name w:val="List Number 2"/>
    <w:aliases w:val="List Second Level"/>
    <w:basedOn w:val="ListBullet"/>
    <w:qFormat/>
    <w:rsid w:val="00F9458B"/>
    <w:pPr>
      <w:numPr>
        <w:numId w:val="7"/>
      </w:numPr>
      <w:ind w:left="641" w:hanging="357"/>
    </w:pPr>
  </w:style>
  <w:style w:type="paragraph" w:customStyle="1" w:styleId="Paragraphtext">
    <w:name w:val="Paragraph text"/>
    <w:basedOn w:val="Normal"/>
    <w:qFormat/>
    <w:rsid w:val="00F9458B"/>
  </w:style>
  <w:style w:type="paragraph" w:customStyle="1" w:styleId="TableHeaderOrange">
    <w:name w:val="Table Header Orange"/>
    <w:next w:val="BodyText"/>
    <w:qFormat/>
    <w:rsid w:val="00F9458B"/>
    <w:pPr>
      <w:spacing w:before="80" w:after="80" w:line="276" w:lineRule="auto"/>
    </w:pPr>
    <w:rPr>
      <w:rFonts w:ascii="Arial" w:eastAsia="Cambria" w:hAnsi="Arial"/>
      <w:color w:val="000000" w:themeColor="text1"/>
      <w:sz w:val="22"/>
      <w:szCs w:val="22"/>
      <w:lang w:val="en-US" w:eastAsia="en-US"/>
    </w:rPr>
  </w:style>
  <w:style w:type="paragraph" w:styleId="BodyText">
    <w:name w:val="Body Text"/>
    <w:basedOn w:val="Normal"/>
    <w:link w:val="BodyTextChar"/>
    <w:rsid w:val="00F9458B"/>
  </w:style>
  <w:style w:type="character" w:customStyle="1" w:styleId="BodyTextChar">
    <w:name w:val="Body Text Char"/>
    <w:basedOn w:val="DefaultParagraphFont"/>
    <w:link w:val="BodyText"/>
    <w:rsid w:val="00F9458B"/>
    <w:rPr>
      <w:rFonts w:ascii="Arial" w:hAnsi="Arial"/>
      <w:color w:val="000000" w:themeColor="text1"/>
      <w:sz w:val="22"/>
      <w:szCs w:val="24"/>
      <w:lang w:eastAsia="en-US"/>
    </w:rPr>
  </w:style>
  <w:style w:type="paragraph" w:customStyle="1" w:styleId="FigureTitle">
    <w:name w:val="Figure Title"/>
    <w:next w:val="Paragraphtext"/>
    <w:qFormat/>
    <w:rsid w:val="00034E43"/>
    <w:pPr>
      <w:tabs>
        <w:tab w:val="num" w:pos="1080"/>
      </w:tabs>
      <w:spacing w:before="240" w:after="120" w:line="300" w:lineRule="auto"/>
    </w:pPr>
    <w:rPr>
      <w:rFonts w:ascii="Arial" w:hAnsi="Arial"/>
      <w:b/>
      <w:color w:val="000000" w:themeColor="text1"/>
      <w:sz w:val="22"/>
      <w:szCs w:val="24"/>
      <w:lang w:eastAsia="en-US"/>
    </w:rPr>
  </w:style>
  <w:style w:type="paragraph" w:styleId="BalloonText">
    <w:name w:val="Balloon Text"/>
    <w:basedOn w:val="Normal"/>
    <w:link w:val="BalloonTextChar"/>
    <w:rsid w:val="00F9458B"/>
    <w:rPr>
      <w:rFonts w:ascii="Tahoma" w:hAnsi="Tahoma" w:cs="Tahoma"/>
      <w:sz w:val="16"/>
      <w:szCs w:val="16"/>
    </w:rPr>
  </w:style>
  <w:style w:type="character" w:customStyle="1" w:styleId="BalloonTextChar">
    <w:name w:val="Balloon Text Char"/>
    <w:basedOn w:val="DefaultParagraphFont"/>
    <w:link w:val="BalloonText"/>
    <w:rsid w:val="00F9458B"/>
    <w:rPr>
      <w:rFonts w:ascii="Tahoma" w:hAnsi="Tahoma" w:cs="Tahoma"/>
      <w:sz w:val="16"/>
      <w:szCs w:val="16"/>
      <w:lang w:eastAsia="en-US"/>
    </w:rPr>
  </w:style>
  <w:style w:type="table" w:styleId="TableGrid">
    <w:name w:val="Table Grid"/>
    <w:basedOn w:val="TableNormal"/>
    <w:rsid w:val="00F945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rsid w:val="00F9458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PHNTealtable">
    <w:name w:val="PHN Teal table"/>
    <w:basedOn w:val="TableNormal"/>
    <w:uiPriority w:val="99"/>
    <w:rsid w:val="00716651"/>
    <w:pPr>
      <w:spacing w:before="120" w:after="120"/>
    </w:pPr>
    <w:rPr>
      <w:rFonts w:ascii="Arial" w:hAnsi="Arial"/>
      <w:sz w:val="22"/>
    </w:rPr>
    <w:tblPr>
      <w:tblBorders>
        <w:top w:val="thinThickSmallGap" w:sz="24" w:space="0" w:color="008998"/>
        <w:left w:val="thinThickSmallGap" w:sz="24" w:space="0" w:color="008998"/>
        <w:bottom w:val="thickThinSmallGap" w:sz="24" w:space="0" w:color="008998"/>
        <w:right w:val="thickThinSmallGap" w:sz="24" w:space="0" w:color="008998"/>
        <w:insideH w:val="single" w:sz="12" w:space="0" w:color="000000" w:themeColor="text1"/>
        <w:insideV w:val="single" w:sz="8" w:space="0" w:color="000000" w:themeColor="text1"/>
      </w:tblBorders>
    </w:tblPr>
    <w:tcPr>
      <w:shd w:val="clear" w:color="auto" w:fill="auto"/>
    </w:tcPr>
    <w:tblStylePr w:type="firstRow">
      <w:rPr>
        <w:rFonts w:ascii="Arial" w:hAnsi="Arial"/>
        <w:b w:val="0"/>
        <w:color w:val="FFFFFF" w:themeColor="background1"/>
        <w:sz w:val="22"/>
      </w:rPr>
      <w:tblPr/>
      <w:tcPr>
        <w:shd w:val="clear" w:color="auto" w:fill="1F497D" w:themeFill="text2"/>
      </w:tcPr>
    </w:tblStylePr>
  </w:style>
  <w:style w:type="paragraph" w:customStyle="1" w:styleId="TableText">
    <w:name w:val="Table Text"/>
    <w:qFormat/>
    <w:locked/>
    <w:rsid w:val="00F9458B"/>
    <w:pPr>
      <w:spacing w:before="60" w:after="60"/>
    </w:pPr>
    <w:rPr>
      <w:rFonts w:ascii="Arial" w:hAnsi="Arial"/>
      <w:color w:val="000000" w:themeColor="text1"/>
      <w:sz w:val="22"/>
      <w:szCs w:val="24"/>
      <w:lang w:eastAsia="en-US"/>
    </w:rPr>
  </w:style>
  <w:style w:type="table" w:styleId="TableColumns2">
    <w:name w:val="Table Columns 2"/>
    <w:basedOn w:val="TableNormal"/>
    <w:rsid w:val="00F9458B"/>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rsid w:val="00F9458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rsid w:val="00F9458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rsid w:val="00F9458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rsid w:val="00F9458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F9458B"/>
    <w:pPr>
      <w:spacing w:before="120" w:after="120"/>
    </w:pPr>
    <w:rPr>
      <w:rFonts w:ascii="Arial" w:hAnsi="Arial"/>
      <w:b/>
      <w:color w:val="000000" w:themeColor="text1"/>
      <w:sz w:val="22"/>
      <w:szCs w:val="24"/>
      <w:lang w:val="en-US" w:eastAsia="en-US"/>
    </w:rPr>
  </w:style>
  <w:style w:type="paragraph" w:styleId="Header">
    <w:name w:val="header"/>
    <w:basedOn w:val="Normal"/>
    <w:link w:val="HeaderChar"/>
    <w:uiPriority w:val="99"/>
    <w:qFormat/>
    <w:rsid w:val="00F9458B"/>
    <w:pPr>
      <w:tabs>
        <w:tab w:val="center" w:pos="4513"/>
        <w:tab w:val="right" w:pos="9026"/>
      </w:tabs>
    </w:pPr>
  </w:style>
  <w:style w:type="character" w:customStyle="1" w:styleId="HeaderChar">
    <w:name w:val="Header Char"/>
    <w:basedOn w:val="DefaultParagraphFont"/>
    <w:link w:val="Header"/>
    <w:uiPriority w:val="99"/>
    <w:rsid w:val="00F9458B"/>
    <w:rPr>
      <w:rFonts w:ascii="Arial" w:hAnsi="Arial"/>
      <w:color w:val="000000" w:themeColor="text1"/>
      <w:sz w:val="22"/>
      <w:szCs w:val="24"/>
      <w:lang w:eastAsia="en-US"/>
    </w:rPr>
  </w:style>
  <w:style w:type="paragraph" w:styleId="Footer">
    <w:name w:val="footer"/>
    <w:basedOn w:val="Normal"/>
    <w:link w:val="FooterChar"/>
    <w:uiPriority w:val="99"/>
    <w:qFormat/>
    <w:rsid w:val="00F9458B"/>
    <w:pPr>
      <w:tabs>
        <w:tab w:val="center" w:pos="4513"/>
        <w:tab w:val="right" w:pos="9026"/>
      </w:tabs>
    </w:pPr>
    <w:rPr>
      <w:sz w:val="20"/>
    </w:rPr>
  </w:style>
  <w:style w:type="character" w:customStyle="1" w:styleId="FooterChar">
    <w:name w:val="Footer Char"/>
    <w:basedOn w:val="DefaultParagraphFont"/>
    <w:link w:val="Footer"/>
    <w:uiPriority w:val="99"/>
    <w:rsid w:val="00F9458B"/>
    <w:rPr>
      <w:rFonts w:ascii="Arial" w:hAnsi="Arial"/>
      <w:color w:val="000000" w:themeColor="text1"/>
      <w:szCs w:val="24"/>
      <w:lang w:eastAsia="en-US"/>
    </w:rPr>
  </w:style>
  <w:style w:type="paragraph" w:styleId="TOCHeading">
    <w:name w:val="TOC Heading"/>
    <w:next w:val="Normal"/>
    <w:uiPriority w:val="39"/>
    <w:unhideWhenUsed/>
    <w:qFormat/>
    <w:rsid w:val="00B64335"/>
    <w:pPr>
      <w:keepLines/>
      <w:spacing w:before="480" w:line="276" w:lineRule="auto"/>
      <w:ind w:left="431" w:hanging="431"/>
    </w:pPr>
    <w:rPr>
      <w:rFonts w:ascii="Arial" w:eastAsiaTheme="majorEastAsia" w:hAnsi="Arial" w:cstheme="majorBidi"/>
      <w:b/>
      <w:bCs/>
      <w:color w:val="365F91" w:themeColor="accent1" w:themeShade="BF"/>
      <w:sz w:val="28"/>
      <w:szCs w:val="28"/>
      <w:lang w:val="en-US" w:eastAsia="ja-JP"/>
    </w:rPr>
  </w:style>
  <w:style w:type="paragraph" w:styleId="TOC1">
    <w:name w:val="toc 1"/>
    <w:basedOn w:val="Normal"/>
    <w:next w:val="Normal"/>
    <w:autoRedefine/>
    <w:uiPriority w:val="39"/>
    <w:rsid w:val="002822CC"/>
    <w:pPr>
      <w:tabs>
        <w:tab w:val="right" w:leader="dot" w:pos="9736"/>
      </w:tabs>
      <w:spacing w:line="360" w:lineRule="auto"/>
    </w:pPr>
  </w:style>
  <w:style w:type="paragraph" w:styleId="TOC2">
    <w:name w:val="toc 2"/>
    <w:basedOn w:val="Normal"/>
    <w:next w:val="Normal"/>
    <w:autoRedefine/>
    <w:uiPriority w:val="39"/>
    <w:rsid w:val="00F9458B"/>
    <w:pPr>
      <w:spacing w:after="100"/>
      <w:ind w:left="220"/>
    </w:pPr>
  </w:style>
  <w:style w:type="paragraph" w:styleId="TOC3">
    <w:name w:val="toc 3"/>
    <w:basedOn w:val="Normal"/>
    <w:next w:val="Normal"/>
    <w:autoRedefine/>
    <w:uiPriority w:val="39"/>
    <w:rsid w:val="00F9458B"/>
    <w:pPr>
      <w:spacing w:after="100"/>
      <w:ind w:left="440"/>
    </w:pPr>
  </w:style>
  <w:style w:type="character" w:styleId="Hyperlink">
    <w:name w:val="Hyperlink"/>
    <w:basedOn w:val="DefaultParagraphFont"/>
    <w:uiPriority w:val="99"/>
    <w:unhideWhenUsed/>
    <w:qFormat/>
    <w:rsid w:val="00665D8A"/>
    <w:rPr>
      <w:rFonts w:eastAsia="Calibri"/>
      <w:color w:val="0000FF" w:themeColor="hyperlink"/>
      <w:u w:val="single"/>
    </w:rPr>
  </w:style>
  <w:style w:type="character" w:customStyle="1" w:styleId="ListParagraphChar">
    <w:name w:val="List Paragraph Char"/>
    <w:aliases w:val="List Paragraph1 Char,Recommendation Char,Body text Char"/>
    <w:link w:val="ListParagraph"/>
    <w:uiPriority w:val="34"/>
    <w:locked/>
    <w:rsid w:val="00F9458B"/>
    <w:rPr>
      <w:sz w:val="24"/>
      <w:szCs w:val="24"/>
      <w:lang w:val="en-GB" w:eastAsia="en-US"/>
    </w:rPr>
  </w:style>
  <w:style w:type="character" w:customStyle="1" w:styleId="Heading1Char">
    <w:name w:val="Heading 1 Char"/>
    <w:basedOn w:val="DefaultParagraphFont"/>
    <w:link w:val="Heading1"/>
    <w:rsid w:val="00F9458B"/>
    <w:rPr>
      <w:rFonts w:ascii="Arial" w:hAnsi="Arial" w:cs="Arial"/>
      <w:b/>
      <w:bCs/>
      <w:color w:val="000000" w:themeColor="text1"/>
      <w:kern w:val="28"/>
      <w:sz w:val="28"/>
      <w:szCs w:val="32"/>
      <w:lang w:eastAsia="en-US"/>
    </w:rPr>
  </w:style>
  <w:style w:type="paragraph" w:customStyle="1" w:styleId="TableHeaderGrey">
    <w:name w:val="Table Header Grey"/>
    <w:locked/>
    <w:rsid w:val="00F9458B"/>
    <w:pPr>
      <w:spacing w:before="120" w:after="120"/>
    </w:pPr>
    <w:rPr>
      <w:rFonts w:ascii="Arial" w:eastAsia="Cambria" w:hAnsi="Arial"/>
      <w:color w:val="FFFFFF" w:themeColor="background1"/>
      <w:sz w:val="22"/>
      <w:szCs w:val="22"/>
      <w:lang w:val="en-US" w:eastAsia="en-US"/>
    </w:rPr>
  </w:style>
  <w:style w:type="paragraph" w:customStyle="1" w:styleId="TableHeaderteal">
    <w:name w:val="Table Header teal"/>
    <w:qFormat/>
    <w:rsid w:val="00F9458B"/>
    <w:rPr>
      <w:rFonts w:ascii="Arial" w:eastAsia="Cambria" w:hAnsi="Arial"/>
      <w:b/>
      <w:color w:val="000000" w:themeColor="text1"/>
      <w:sz w:val="22"/>
      <w:szCs w:val="22"/>
      <w:lang w:val="en-US" w:eastAsia="en-US"/>
    </w:rPr>
  </w:style>
  <w:style w:type="paragraph" w:customStyle="1" w:styleId="TableHeaderWhite">
    <w:name w:val="Table Header White"/>
    <w:qFormat/>
    <w:rsid w:val="00F9458B"/>
    <w:pPr>
      <w:spacing w:before="80" w:after="80"/>
    </w:pPr>
    <w:rPr>
      <w:rFonts w:ascii="Arial" w:eastAsia="Cambria" w:hAnsi="Arial"/>
      <w:b/>
      <w:color w:val="FFFFFF" w:themeColor="background1"/>
      <w:sz w:val="22"/>
      <w:szCs w:val="22"/>
      <w:lang w:val="en-US" w:eastAsia="en-US"/>
    </w:rPr>
  </w:style>
  <w:style w:type="paragraph" w:customStyle="1" w:styleId="TableTextwhite">
    <w:name w:val="Table Text white"/>
    <w:locked/>
    <w:rsid w:val="0082185D"/>
    <w:rPr>
      <w:rFonts w:ascii="Arial" w:hAnsi="Arial"/>
      <w:color w:val="FFFFFF" w:themeColor="background1"/>
      <w:sz w:val="22"/>
      <w:szCs w:val="24"/>
      <w:lang w:eastAsia="en-US"/>
    </w:rPr>
  </w:style>
  <w:style w:type="paragraph" w:styleId="NormalWeb">
    <w:name w:val="Normal (Web)"/>
    <w:basedOn w:val="Normal"/>
    <w:uiPriority w:val="99"/>
    <w:unhideWhenUsed/>
    <w:rsid w:val="00F9458B"/>
    <w:pPr>
      <w:spacing w:before="100" w:beforeAutospacing="1" w:after="100" w:afterAutospacing="1"/>
    </w:pPr>
    <w:rPr>
      <w:lang w:eastAsia="en-AU"/>
    </w:rPr>
  </w:style>
  <w:style w:type="paragraph" w:customStyle="1" w:styleId="Body">
    <w:name w:val="Body"/>
    <w:uiPriority w:val="99"/>
    <w:locked/>
    <w:rsid w:val="00F9458B"/>
    <w:pPr>
      <w:spacing w:after="120"/>
    </w:pPr>
    <w:rPr>
      <w:rFonts w:ascii="Arial" w:hAnsi="Arial" w:cs="Arial"/>
      <w:sz w:val="22"/>
      <w:szCs w:val="24"/>
      <w:lang w:eastAsia="en-US"/>
    </w:rPr>
  </w:style>
  <w:style w:type="paragraph" w:styleId="Date">
    <w:name w:val="Date"/>
    <w:basedOn w:val="Subtitle"/>
    <w:next w:val="Normal"/>
    <w:link w:val="DateChar"/>
    <w:rsid w:val="006E3F60"/>
    <w:pPr>
      <w:spacing w:before="360" w:after="120"/>
    </w:pPr>
  </w:style>
  <w:style w:type="paragraph" w:customStyle="1" w:styleId="Tablehead">
    <w:name w:val="Table_head"/>
    <w:basedOn w:val="Body"/>
    <w:locked/>
    <w:rsid w:val="00F9458B"/>
    <w:pPr>
      <w:spacing w:before="60" w:after="60"/>
    </w:pPr>
    <w:rPr>
      <w:b/>
      <w:sz w:val="20"/>
    </w:rPr>
  </w:style>
  <w:style w:type="paragraph" w:customStyle="1" w:styleId="Tabletext0">
    <w:name w:val="Table_text"/>
    <w:basedOn w:val="Tablehead"/>
    <w:qFormat/>
    <w:locked/>
    <w:rsid w:val="00F9458B"/>
    <w:rPr>
      <w:b w:val="0"/>
    </w:rPr>
  </w:style>
  <w:style w:type="character" w:customStyle="1" w:styleId="number">
    <w:name w:val="number"/>
    <w:basedOn w:val="DefaultParagraphFont"/>
    <w:locked/>
    <w:rsid w:val="00F9458B"/>
  </w:style>
  <w:style w:type="table" w:styleId="TableGrid7">
    <w:name w:val="Table Grid 7"/>
    <w:basedOn w:val="TableNormal"/>
    <w:rsid w:val="00F9458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styleId="FollowedHyperlink">
    <w:name w:val="FollowedHyperlink"/>
    <w:basedOn w:val="DefaultParagraphFont"/>
    <w:rsid w:val="00F9458B"/>
    <w:rPr>
      <w:color w:val="800080" w:themeColor="followedHyperlink"/>
      <w:u w:val="single"/>
    </w:rPr>
  </w:style>
  <w:style w:type="paragraph" w:customStyle="1" w:styleId="headertext">
    <w:name w:val="header text"/>
    <w:rsid w:val="00F9458B"/>
    <w:rPr>
      <w:rFonts w:ascii="Arial" w:hAnsi="Arial"/>
      <w:szCs w:val="24"/>
      <w:lang w:eastAsia="en-US"/>
    </w:rPr>
  </w:style>
  <w:style w:type="paragraph" w:customStyle="1" w:styleId="Footertext">
    <w:name w:val="Footer text"/>
    <w:rsid w:val="00F9458B"/>
    <w:rPr>
      <w:rFonts w:ascii="Arial" w:hAnsi="Arial" w:cs="Arial"/>
      <w:szCs w:val="22"/>
      <w:lang w:eastAsia="en-US"/>
    </w:rPr>
  </w:style>
  <w:style w:type="table" w:customStyle="1" w:styleId="PHNTableOrange">
    <w:name w:val="PHN Table Orange"/>
    <w:basedOn w:val="TableNormal"/>
    <w:uiPriority w:val="99"/>
    <w:rsid w:val="00F9458B"/>
    <w:pPr>
      <w:spacing w:before="120" w:after="120"/>
    </w:pPr>
    <w:rPr>
      <w:rFonts w:ascii="Arial" w:hAnsi="Arial"/>
      <w:sz w:val="22"/>
    </w:rPr>
    <w:tblPr>
      <w:tblBorders>
        <w:top w:val="thinThickSmallGap" w:sz="24" w:space="0" w:color="D72F0D"/>
        <w:left w:val="thinThickSmallGap" w:sz="24" w:space="0" w:color="D72F0D"/>
        <w:bottom w:val="thickThinSmallGap" w:sz="24" w:space="0" w:color="D72F0D"/>
        <w:right w:val="thickThinSmallGap" w:sz="24" w:space="0" w:color="D72F0D"/>
        <w:insideH w:val="single" w:sz="12" w:space="0" w:color="000000" w:themeColor="text1"/>
        <w:insideV w:val="single" w:sz="8" w:space="0" w:color="000000" w:themeColor="text1"/>
      </w:tblBorders>
    </w:tblPr>
    <w:tblStylePr w:type="firstRow">
      <w:rPr>
        <w:rFonts w:ascii="Arial" w:hAnsi="Arial"/>
        <w:b/>
        <w:color w:val="000000" w:themeColor="text1"/>
        <w:sz w:val="22"/>
      </w:rPr>
    </w:tblStylePr>
  </w:style>
  <w:style w:type="table" w:customStyle="1" w:styleId="PHNPurpleTable">
    <w:name w:val="PHN Purple Table"/>
    <w:basedOn w:val="TableNormal"/>
    <w:uiPriority w:val="99"/>
    <w:rsid w:val="00F9458B"/>
    <w:pPr>
      <w:spacing w:before="120" w:after="120"/>
    </w:pPr>
    <w:rPr>
      <w:rFonts w:ascii="Arial" w:hAnsi="Arial"/>
      <w:color w:val="000000" w:themeColor="text1"/>
      <w:sz w:val="22"/>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rPr>
        <w:rFonts w:ascii="Arial" w:hAnsi="Arial"/>
        <w:b/>
        <w:color w:val="FFFFFF" w:themeColor="background1"/>
        <w:sz w:val="22"/>
      </w:rPr>
      <w:tblPr/>
      <w:tcPr>
        <w:shd w:val="clear" w:color="auto" w:fill="8D188D"/>
      </w:tcPr>
    </w:tblStylePr>
  </w:style>
  <w:style w:type="table" w:customStyle="1" w:styleId="PGNGreyTable">
    <w:name w:val="PGN Grey Table"/>
    <w:basedOn w:val="TableNormal"/>
    <w:uiPriority w:val="99"/>
    <w:rsid w:val="00F9458B"/>
    <w:pPr>
      <w:spacing w:before="120" w:after="120"/>
    </w:pPr>
    <w:rPr>
      <w:rFonts w:ascii="Arial" w:hAnsi="Arial"/>
      <w:sz w:val="22"/>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FFFFFF" w:themeFill="background1"/>
    </w:tcPr>
    <w:tblStylePr w:type="firstRow">
      <w:rPr>
        <w:rFonts w:ascii="Arial" w:hAnsi="Arial"/>
        <w:b/>
        <w:color w:val="FFFFFF" w:themeColor="background1"/>
        <w:sz w:val="22"/>
      </w:rPr>
      <w:tblPr/>
      <w:tcPr>
        <w:shd w:val="clear" w:color="auto" w:fill="32373A"/>
      </w:tcPr>
    </w:tblStylePr>
  </w:style>
  <w:style w:type="table" w:styleId="ColorfulGrid-Accent6">
    <w:name w:val="Colorful Grid Accent 6"/>
    <w:basedOn w:val="TableNormal"/>
    <w:uiPriority w:val="73"/>
    <w:rsid w:val="00F9458B"/>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PHNPurpleTableAlt2">
    <w:name w:val="PHN Purple Table Alt 2"/>
    <w:basedOn w:val="TableNormal"/>
    <w:uiPriority w:val="99"/>
    <w:rsid w:val="00F9458B"/>
    <w:pPr>
      <w:spacing w:before="120" w:after="120"/>
    </w:pPr>
    <w:rPr>
      <w:rFonts w:ascii="Arial" w:hAnsi="Arial"/>
      <w:color w:val="000000" w:themeColor="text1"/>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120" w:beforeAutospacing="0" w:afterLines="0" w:after="120" w:afterAutospacing="0"/>
      </w:pPr>
      <w:rPr>
        <w:rFonts w:ascii="Arial" w:hAnsi="Arial"/>
        <w:b/>
        <w:color w:val="FFFFFF" w:themeColor="background1"/>
        <w:sz w:val="22"/>
      </w:rPr>
      <w:tblPr/>
      <w:tcPr>
        <w:shd w:val="clear" w:color="auto" w:fill="8D188D"/>
      </w:tcPr>
    </w:tblStylePr>
    <w:tblStylePr w:type="firstCol">
      <w:rPr>
        <w:rFonts w:ascii="Arial" w:hAnsi="Arial"/>
        <w:color w:val="000000" w:themeColor="text1"/>
        <w:sz w:val="22"/>
      </w:rPr>
      <w:tblPr/>
      <w:tcPr>
        <w:shd w:val="clear" w:color="auto" w:fill="A6A6A6" w:themeFill="background1" w:themeFillShade="A6"/>
      </w:tcPr>
    </w:tblStylePr>
  </w:style>
  <w:style w:type="table" w:customStyle="1" w:styleId="PHNGreyTableAlt2">
    <w:name w:val="PHN Grey Table Alt 2"/>
    <w:basedOn w:val="TableNormal"/>
    <w:uiPriority w:val="99"/>
    <w:rsid w:val="00F9458B"/>
    <w:rPr>
      <w:rFonts w:ascii="Arial" w:hAnsi="Arial"/>
      <w:color w:val="000000" w:themeColor="text1"/>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pPr>
        <w:wordWrap/>
        <w:spacing w:beforeLines="0" w:before="120" w:beforeAutospacing="0" w:afterLines="0" w:after="120" w:afterAutospacing="0"/>
      </w:pPr>
      <w:rPr>
        <w:rFonts w:ascii="Arial" w:hAnsi="Arial"/>
        <w:b/>
        <w:color w:val="FFFFFF" w:themeColor="background1"/>
        <w:sz w:val="22"/>
      </w:rPr>
      <w:tblPr/>
      <w:tcPr>
        <w:shd w:val="clear" w:color="auto" w:fill="32373A"/>
      </w:tcPr>
    </w:tblStylePr>
    <w:tblStylePr w:type="firstCol">
      <w:rPr>
        <w:rFonts w:ascii="Arial" w:hAnsi="Arial"/>
        <w:color w:val="000000" w:themeColor="text1"/>
        <w:sz w:val="22"/>
      </w:rPr>
      <w:tblPr/>
      <w:tcPr>
        <w:shd w:val="clear" w:color="auto" w:fill="BFBFBF" w:themeFill="background1" w:themeFillShade="BF"/>
      </w:tcPr>
    </w:tblStylePr>
  </w:style>
  <w:style w:type="paragraph" w:customStyle="1" w:styleId="Indent1">
    <w:name w:val="Indent 1"/>
    <w:basedOn w:val="Normal"/>
    <w:locked/>
    <w:rsid w:val="008C0143"/>
    <w:pPr>
      <w:numPr>
        <w:ilvl w:val="1"/>
        <w:numId w:val="3"/>
      </w:numPr>
      <w:kinsoku w:val="0"/>
      <w:overflowPunct w:val="0"/>
      <w:autoSpaceDE w:val="0"/>
      <w:autoSpaceDN w:val="0"/>
      <w:adjustRightInd w:val="0"/>
      <w:snapToGrid w:val="0"/>
      <w:spacing w:before="100" w:after="100"/>
    </w:pPr>
    <w:rPr>
      <w:rFonts w:ascii="Georgia" w:hAnsi="Georgia"/>
      <w:snapToGrid w:val="0"/>
      <w:szCs w:val="20"/>
    </w:rPr>
  </w:style>
  <w:style w:type="paragraph" w:customStyle="1" w:styleId="Indent2">
    <w:name w:val="Indent 2"/>
    <w:basedOn w:val="Indent1"/>
    <w:locked/>
    <w:rsid w:val="008C0143"/>
    <w:pPr>
      <w:numPr>
        <w:ilvl w:val="2"/>
      </w:numPr>
    </w:pPr>
  </w:style>
  <w:style w:type="paragraph" w:customStyle="1" w:styleId="Indent3">
    <w:name w:val="Indent 3"/>
    <w:basedOn w:val="Indent2"/>
    <w:locked/>
    <w:rsid w:val="008C0143"/>
    <w:pPr>
      <w:numPr>
        <w:ilvl w:val="3"/>
      </w:numPr>
    </w:pPr>
  </w:style>
  <w:style w:type="paragraph" w:customStyle="1" w:styleId="Indent5">
    <w:name w:val="Indent 5"/>
    <w:basedOn w:val="Indent4"/>
    <w:locked/>
    <w:rsid w:val="008C0143"/>
    <w:pPr>
      <w:numPr>
        <w:ilvl w:val="5"/>
      </w:numPr>
    </w:pPr>
  </w:style>
  <w:style w:type="paragraph" w:customStyle="1" w:styleId="Indent6">
    <w:name w:val="Indent 6"/>
    <w:basedOn w:val="Indent5"/>
    <w:locked/>
    <w:rsid w:val="008C0143"/>
    <w:pPr>
      <w:numPr>
        <w:ilvl w:val="6"/>
      </w:numPr>
    </w:pPr>
  </w:style>
  <w:style w:type="paragraph" w:customStyle="1" w:styleId="Indent7">
    <w:name w:val="Indent 7"/>
    <w:basedOn w:val="Indent6"/>
    <w:locked/>
    <w:rsid w:val="008C0143"/>
    <w:pPr>
      <w:numPr>
        <w:ilvl w:val="7"/>
      </w:numPr>
    </w:pPr>
  </w:style>
  <w:style w:type="paragraph" w:customStyle="1" w:styleId="Indent4">
    <w:name w:val="Indent 4"/>
    <w:basedOn w:val="Indent3"/>
    <w:locked/>
    <w:rsid w:val="008C0143"/>
    <w:pPr>
      <w:numPr>
        <w:ilvl w:val="4"/>
      </w:numPr>
    </w:pPr>
  </w:style>
  <w:style w:type="paragraph" w:customStyle="1" w:styleId="Text">
    <w:name w:val="Text"/>
    <w:basedOn w:val="Normal"/>
    <w:link w:val="TextChar"/>
    <w:locked/>
    <w:rsid w:val="008C0143"/>
    <w:pPr>
      <w:numPr>
        <w:numId w:val="3"/>
      </w:numPr>
      <w:kinsoku w:val="0"/>
      <w:overflowPunct w:val="0"/>
      <w:autoSpaceDE w:val="0"/>
      <w:autoSpaceDN w:val="0"/>
      <w:adjustRightInd w:val="0"/>
      <w:snapToGrid w:val="0"/>
      <w:spacing w:before="60" w:after="60"/>
    </w:pPr>
    <w:rPr>
      <w:rFonts w:ascii="Calibri" w:hAnsi="Calibri" w:cs="Arial"/>
      <w:snapToGrid w:val="0"/>
      <w:szCs w:val="20"/>
    </w:rPr>
  </w:style>
  <w:style w:type="character" w:customStyle="1" w:styleId="TextChar">
    <w:name w:val="Text Char"/>
    <w:basedOn w:val="DefaultParagraphFont"/>
    <w:link w:val="Text"/>
    <w:rsid w:val="00F9458B"/>
    <w:rPr>
      <w:rFonts w:ascii="Calibri" w:hAnsi="Calibri" w:cs="Arial"/>
      <w:snapToGrid w:val="0"/>
      <w:color w:val="000000" w:themeColor="text1"/>
      <w:sz w:val="22"/>
      <w:lang w:eastAsia="en-US"/>
    </w:rPr>
  </w:style>
  <w:style w:type="paragraph" w:customStyle="1" w:styleId="Indent8">
    <w:name w:val="Indent 8"/>
    <w:basedOn w:val="Indent7"/>
    <w:locked/>
    <w:rsid w:val="008C0143"/>
    <w:pPr>
      <w:numPr>
        <w:ilvl w:val="8"/>
      </w:numPr>
      <w:tabs>
        <w:tab w:val="num" w:pos="360"/>
      </w:tabs>
    </w:pPr>
    <w:rPr>
      <w:snapToGrid/>
    </w:rPr>
  </w:style>
  <w:style w:type="paragraph" w:customStyle="1" w:styleId="Heading1Purple">
    <w:name w:val="Heading 1 Purple"/>
    <w:basedOn w:val="Heading1"/>
    <w:next w:val="Paragraphtext"/>
    <w:qFormat/>
    <w:rsid w:val="00F9458B"/>
    <w:pPr>
      <w:ind w:left="431" w:hanging="431"/>
    </w:pPr>
    <w:rPr>
      <w:color w:val="8D188D"/>
      <w:sz w:val="36"/>
    </w:rPr>
  </w:style>
  <w:style w:type="paragraph" w:customStyle="1" w:styleId="Heading1Orange">
    <w:name w:val="Heading 1 Orange"/>
    <w:basedOn w:val="Heading1"/>
    <w:qFormat/>
    <w:rsid w:val="00034E43"/>
    <w:pPr>
      <w:spacing w:before="360" w:line="300" w:lineRule="auto"/>
      <w:ind w:left="431" w:hanging="431"/>
    </w:pPr>
    <w:rPr>
      <w:color w:val="D72F0D"/>
      <w:sz w:val="36"/>
    </w:rPr>
  </w:style>
  <w:style w:type="paragraph" w:customStyle="1" w:styleId="Heading2Purple">
    <w:name w:val="Heading 2 Purple"/>
    <w:basedOn w:val="Heading2"/>
    <w:next w:val="Paragraphtext"/>
    <w:qFormat/>
    <w:rsid w:val="00F9458B"/>
    <w:pPr>
      <w:numPr>
        <w:ilvl w:val="1"/>
      </w:numPr>
      <w:spacing w:before="180"/>
      <w:ind w:left="578" w:hanging="578"/>
    </w:pPr>
    <w:rPr>
      <w:i/>
      <w:color w:val="8D188D"/>
      <w:sz w:val="32"/>
      <w:szCs w:val="32"/>
    </w:rPr>
  </w:style>
  <w:style w:type="paragraph" w:customStyle="1" w:styleId="Heading2Blue">
    <w:name w:val="Heading 2 Blue"/>
    <w:basedOn w:val="Heading2"/>
    <w:next w:val="Paragraphtext"/>
    <w:qFormat/>
    <w:rsid w:val="00F9458B"/>
    <w:pPr>
      <w:numPr>
        <w:ilvl w:val="1"/>
      </w:numPr>
      <w:ind w:left="578" w:hanging="578"/>
    </w:pPr>
    <w:rPr>
      <w:i/>
      <w:color w:val="003D69"/>
      <w:sz w:val="32"/>
      <w:szCs w:val="32"/>
    </w:rPr>
  </w:style>
  <w:style w:type="paragraph" w:customStyle="1" w:styleId="SectionHeading">
    <w:name w:val="Section Heading"/>
    <w:basedOn w:val="Heading1"/>
    <w:next w:val="Paragraphtext"/>
    <w:qFormat/>
    <w:rsid w:val="00F9458B"/>
    <w:rPr>
      <w:color w:val="003D69"/>
      <w:sz w:val="36"/>
    </w:rPr>
  </w:style>
  <w:style w:type="paragraph" w:styleId="ListBullet2">
    <w:name w:val="List Bullet 2"/>
    <w:basedOn w:val="Normal"/>
    <w:rsid w:val="008C0143"/>
    <w:pPr>
      <w:numPr>
        <w:numId w:val="4"/>
      </w:numPr>
      <w:contextualSpacing/>
    </w:pPr>
  </w:style>
  <w:style w:type="paragraph" w:customStyle="1" w:styleId="Tablelistbullet">
    <w:name w:val="Table list bullet"/>
    <w:basedOn w:val="TableText"/>
    <w:qFormat/>
    <w:rsid w:val="00F9458B"/>
    <w:pPr>
      <w:numPr>
        <w:numId w:val="5"/>
      </w:numPr>
      <w:spacing w:before="80" w:after="80"/>
      <w:ind w:left="284" w:hanging="284"/>
    </w:pPr>
    <w:rPr>
      <w:szCs w:val="20"/>
    </w:rPr>
  </w:style>
  <w:style w:type="paragraph" w:customStyle="1" w:styleId="NumberList">
    <w:name w:val="Number List"/>
    <w:basedOn w:val="TableText"/>
    <w:qFormat/>
    <w:rsid w:val="00F9458B"/>
    <w:pPr>
      <w:numPr>
        <w:numId w:val="6"/>
      </w:numPr>
      <w:spacing w:before="80" w:after="80"/>
    </w:pPr>
    <w:rPr>
      <w:bCs/>
      <w14:numSpacing w14:val="proportional"/>
    </w:rPr>
  </w:style>
  <w:style w:type="paragraph" w:customStyle="1" w:styleId="TableHeader">
    <w:name w:val="Table Header"/>
    <w:basedOn w:val="Normal"/>
    <w:next w:val="TableText"/>
    <w:qFormat/>
    <w:rsid w:val="00F9458B"/>
    <w:pPr>
      <w:spacing w:before="80" w:after="80"/>
    </w:pPr>
    <w:rPr>
      <w:rFonts w:eastAsia="Cambria"/>
      <w:b/>
      <w:szCs w:val="22"/>
      <w:lang w:val="en-US"/>
    </w:rPr>
  </w:style>
  <w:style w:type="paragraph" w:styleId="Caption">
    <w:name w:val="caption"/>
    <w:basedOn w:val="Normal"/>
    <w:next w:val="Normal"/>
    <w:unhideWhenUsed/>
    <w:rsid w:val="00F9458B"/>
    <w:pPr>
      <w:spacing w:after="200"/>
    </w:pPr>
    <w:rPr>
      <w:b/>
      <w:bCs/>
      <w:color w:val="4F81BD" w:themeColor="accent1"/>
      <w:sz w:val="18"/>
      <w:szCs w:val="18"/>
    </w:rPr>
  </w:style>
  <w:style w:type="paragraph" w:styleId="TableofFigures">
    <w:name w:val="table of figures"/>
    <w:basedOn w:val="Normal"/>
    <w:next w:val="Normal"/>
    <w:uiPriority w:val="99"/>
    <w:rsid w:val="00F9458B"/>
  </w:style>
  <w:style w:type="character" w:customStyle="1" w:styleId="DateChar">
    <w:name w:val="Date Char"/>
    <w:basedOn w:val="DefaultParagraphFont"/>
    <w:link w:val="Date"/>
    <w:rsid w:val="006E3F60"/>
    <w:rPr>
      <w:rFonts w:ascii="Arial" w:eastAsiaTheme="majorEastAsia" w:hAnsi="Arial" w:cstheme="majorBidi"/>
      <w:iCs/>
      <w:color w:val="32373A"/>
      <w:spacing w:val="15"/>
      <w:sz w:val="36"/>
      <w:szCs w:val="24"/>
      <w:lang w:eastAsia="en-US"/>
    </w:rPr>
  </w:style>
  <w:style w:type="character" w:styleId="FootnoteReference">
    <w:name w:val="footnote reference"/>
    <w:aliases w:val="(NECG) Footnote Reference"/>
    <w:basedOn w:val="DefaultParagraphFont"/>
    <w:uiPriority w:val="21"/>
    <w:rsid w:val="00F9458B"/>
    <w:rPr>
      <w:vertAlign w:val="superscript"/>
    </w:rPr>
  </w:style>
  <w:style w:type="character" w:styleId="CommentReference">
    <w:name w:val="annotation reference"/>
    <w:basedOn w:val="DefaultParagraphFont"/>
    <w:rsid w:val="00F9458B"/>
    <w:rPr>
      <w:sz w:val="16"/>
      <w:szCs w:val="16"/>
    </w:rPr>
  </w:style>
  <w:style w:type="paragraph" w:styleId="CommentText">
    <w:name w:val="annotation text"/>
    <w:basedOn w:val="Normal"/>
    <w:link w:val="CommentTextChar"/>
    <w:rsid w:val="00F9458B"/>
    <w:rPr>
      <w:sz w:val="20"/>
      <w:szCs w:val="20"/>
    </w:rPr>
  </w:style>
  <w:style w:type="character" w:customStyle="1" w:styleId="CommentTextChar">
    <w:name w:val="Comment Text Char"/>
    <w:basedOn w:val="DefaultParagraphFont"/>
    <w:link w:val="CommentText"/>
    <w:rsid w:val="00F9458B"/>
    <w:rPr>
      <w:rFonts w:ascii="Arial" w:hAnsi="Arial"/>
      <w:color w:val="000000" w:themeColor="text1"/>
      <w:lang w:eastAsia="en-US"/>
    </w:rPr>
  </w:style>
  <w:style w:type="paragraph" w:styleId="CommentSubject">
    <w:name w:val="annotation subject"/>
    <w:basedOn w:val="CommentText"/>
    <w:next w:val="CommentText"/>
    <w:link w:val="CommentSubjectChar"/>
    <w:rsid w:val="00F9458B"/>
    <w:rPr>
      <w:b/>
      <w:bCs/>
    </w:rPr>
  </w:style>
  <w:style w:type="character" w:customStyle="1" w:styleId="CommentSubjectChar">
    <w:name w:val="Comment Subject Char"/>
    <w:basedOn w:val="CommentTextChar"/>
    <w:link w:val="CommentSubject"/>
    <w:rsid w:val="00F9458B"/>
    <w:rPr>
      <w:rFonts w:ascii="Arial" w:hAnsi="Arial"/>
      <w:b/>
      <w:bCs/>
      <w:color w:val="000000" w:themeColor="text1"/>
      <w:lang w:eastAsia="en-US"/>
    </w:rPr>
  </w:style>
  <w:style w:type="paragraph" w:customStyle="1" w:styleId="Helptext">
    <w:name w:val="Help text"/>
    <w:basedOn w:val="Normal"/>
    <w:qFormat/>
    <w:rsid w:val="00802E78"/>
    <w:rPr>
      <w:color w:val="0000FF"/>
      <w:sz w:val="20"/>
    </w:rPr>
  </w:style>
  <w:style w:type="paragraph" w:styleId="Revision">
    <w:name w:val="Revision"/>
    <w:hidden/>
    <w:uiPriority w:val="99"/>
    <w:semiHidden/>
    <w:rsid w:val="00454616"/>
    <w:rPr>
      <w:sz w:val="24"/>
      <w:szCs w:val="24"/>
      <w:lang w:val="en-GB" w:eastAsia="en-US"/>
    </w:rPr>
  </w:style>
  <w:style w:type="character" w:styleId="UnresolvedMention">
    <w:name w:val="Unresolved Mention"/>
    <w:basedOn w:val="DefaultParagraphFont"/>
    <w:uiPriority w:val="99"/>
    <w:semiHidden/>
    <w:unhideWhenUsed/>
    <w:rsid w:val="00367E6C"/>
    <w:rPr>
      <w:color w:val="605E5C"/>
      <w:shd w:val="clear" w:color="auto" w:fill="E1DFDD"/>
    </w:rPr>
  </w:style>
  <w:style w:type="paragraph" w:customStyle="1" w:styleId="Bullet1">
    <w:name w:val="Bullet 1"/>
    <w:basedOn w:val="Normal"/>
    <w:uiPriority w:val="2"/>
    <w:qFormat/>
    <w:rsid w:val="00370D32"/>
    <w:pPr>
      <w:numPr>
        <w:numId w:val="11"/>
      </w:numPr>
      <w:tabs>
        <w:tab w:val="clear" w:pos="397"/>
        <w:tab w:val="num" w:pos="426"/>
      </w:tabs>
      <w:spacing w:before="40" w:after="80" w:line="260" w:lineRule="atLeast"/>
    </w:pPr>
    <w:rPr>
      <w:szCs w:val="20"/>
    </w:rPr>
  </w:style>
  <w:style w:type="character" w:styleId="Mention">
    <w:name w:val="Mention"/>
    <w:basedOn w:val="DefaultParagraphFont"/>
    <w:uiPriority w:val="99"/>
    <w:unhideWhenUsed/>
    <w:rsid w:val="00775B0D"/>
    <w:rPr>
      <w:color w:val="2B579A"/>
      <w:shd w:val="clear" w:color="auto" w:fill="E1DFDD"/>
    </w:rPr>
  </w:style>
  <w:style w:type="paragraph" w:customStyle="1" w:styleId="BoxText">
    <w:name w:val="Box: Text"/>
    <w:basedOn w:val="Normal"/>
    <w:next w:val="Normal"/>
    <w:link w:val="BoxTextChar"/>
    <w:uiPriority w:val="3"/>
    <w:qFormat/>
    <w:rsid w:val="00834149"/>
    <w:pPr>
      <w:pBdr>
        <w:top w:val="single" w:sz="4" w:space="10" w:color="000000"/>
        <w:left w:val="single" w:sz="4" w:space="10" w:color="000000"/>
        <w:bottom w:val="single" w:sz="4" w:space="10" w:color="000000"/>
        <w:right w:val="single" w:sz="4" w:space="10" w:color="000000"/>
      </w:pBdr>
      <w:tabs>
        <w:tab w:val="left" w:pos="397"/>
      </w:tabs>
      <w:spacing w:after="20" w:line="240" w:lineRule="atLeast"/>
      <w:ind w:left="255" w:right="255"/>
    </w:pPr>
    <w:rPr>
      <w:sz w:val="21"/>
      <w:szCs w:val="20"/>
    </w:rPr>
  </w:style>
  <w:style w:type="character" w:customStyle="1" w:styleId="BoxTextChar">
    <w:name w:val="Box: Text Char"/>
    <w:link w:val="BoxText"/>
    <w:uiPriority w:val="3"/>
    <w:rsid w:val="00834149"/>
    <w:rPr>
      <w:rFonts w:ascii="Arial" w:hAnsi="Arial"/>
      <w:color w:val="000000" w:themeColor="text1"/>
      <w:sz w:val="21"/>
      <w:lang w:eastAsia="en-US"/>
    </w:rPr>
  </w:style>
  <w:style w:type="paragraph" w:styleId="EndnoteText">
    <w:name w:val="endnote text"/>
    <w:basedOn w:val="Normal"/>
    <w:link w:val="EndnoteTextChar"/>
    <w:rsid w:val="00C3137F"/>
    <w:pPr>
      <w:spacing w:before="0" w:after="0"/>
    </w:pPr>
    <w:rPr>
      <w:sz w:val="20"/>
      <w:szCs w:val="20"/>
    </w:rPr>
  </w:style>
  <w:style w:type="character" w:customStyle="1" w:styleId="EndnoteTextChar">
    <w:name w:val="Endnote Text Char"/>
    <w:basedOn w:val="DefaultParagraphFont"/>
    <w:link w:val="EndnoteText"/>
    <w:rsid w:val="00C3137F"/>
    <w:rPr>
      <w:rFonts w:ascii="Arial" w:hAnsi="Arial"/>
      <w:color w:val="000000" w:themeColor="text1"/>
      <w:lang w:eastAsia="en-US"/>
    </w:rPr>
  </w:style>
  <w:style w:type="character" w:styleId="EndnoteReference">
    <w:name w:val="endnote reference"/>
    <w:basedOn w:val="DefaultParagraphFont"/>
    <w:rsid w:val="00C3137F"/>
    <w:rPr>
      <w:vertAlign w:val="superscript"/>
    </w:rPr>
  </w:style>
  <w:style w:type="character" w:customStyle="1" w:styleId="ui-provider">
    <w:name w:val="ui-provider"/>
    <w:basedOn w:val="DefaultParagraphFont"/>
    <w:rsid w:val="008C01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011002">
      <w:bodyDiv w:val="1"/>
      <w:marLeft w:val="0"/>
      <w:marRight w:val="0"/>
      <w:marTop w:val="0"/>
      <w:marBottom w:val="0"/>
      <w:divBdr>
        <w:top w:val="none" w:sz="0" w:space="0" w:color="auto"/>
        <w:left w:val="none" w:sz="0" w:space="0" w:color="auto"/>
        <w:bottom w:val="none" w:sz="0" w:space="0" w:color="auto"/>
        <w:right w:val="none" w:sz="0" w:space="0" w:color="auto"/>
      </w:divBdr>
    </w:div>
    <w:div w:id="301927085">
      <w:bodyDiv w:val="1"/>
      <w:marLeft w:val="0"/>
      <w:marRight w:val="0"/>
      <w:marTop w:val="0"/>
      <w:marBottom w:val="0"/>
      <w:divBdr>
        <w:top w:val="none" w:sz="0" w:space="0" w:color="auto"/>
        <w:left w:val="none" w:sz="0" w:space="0" w:color="auto"/>
        <w:bottom w:val="none" w:sz="0" w:space="0" w:color="auto"/>
        <w:right w:val="none" w:sz="0" w:space="0" w:color="auto"/>
      </w:divBdr>
    </w:div>
    <w:div w:id="314648441">
      <w:bodyDiv w:val="1"/>
      <w:marLeft w:val="0"/>
      <w:marRight w:val="0"/>
      <w:marTop w:val="0"/>
      <w:marBottom w:val="0"/>
      <w:divBdr>
        <w:top w:val="none" w:sz="0" w:space="0" w:color="auto"/>
        <w:left w:val="none" w:sz="0" w:space="0" w:color="auto"/>
        <w:bottom w:val="none" w:sz="0" w:space="0" w:color="auto"/>
        <w:right w:val="none" w:sz="0" w:space="0" w:color="auto"/>
      </w:divBdr>
    </w:div>
    <w:div w:id="743256331">
      <w:bodyDiv w:val="1"/>
      <w:marLeft w:val="0"/>
      <w:marRight w:val="0"/>
      <w:marTop w:val="0"/>
      <w:marBottom w:val="0"/>
      <w:divBdr>
        <w:top w:val="none" w:sz="0" w:space="0" w:color="auto"/>
        <w:left w:val="none" w:sz="0" w:space="0" w:color="auto"/>
        <w:bottom w:val="none" w:sz="0" w:space="0" w:color="auto"/>
        <w:right w:val="none" w:sz="0" w:space="0" w:color="auto"/>
      </w:divBdr>
    </w:div>
    <w:div w:id="981159368">
      <w:bodyDiv w:val="1"/>
      <w:marLeft w:val="0"/>
      <w:marRight w:val="0"/>
      <w:marTop w:val="0"/>
      <w:marBottom w:val="0"/>
      <w:divBdr>
        <w:top w:val="none" w:sz="0" w:space="0" w:color="auto"/>
        <w:left w:val="none" w:sz="0" w:space="0" w:color="auto"/>
        <w:bottom w:val="none" w:sz="0" w:space="0" w:color="auto"/>
        <w:right w:val="none" w:sz="0" w:space="0" w:color="auto"/>
      </w:divBdr>
    </w:div>
    <w:div w:id="1077166185">
      <w:bodyDiv w:val="1"/>
      <w:marLeft w:val="0"/>
      <w:marRight w:val="0"/>
      <w:marTop w:val="0"/>
      <w:marBottom w:val="0"/>
      <w:divBdr>
        <w:top w:val="none" w:sz="0" w:space="0" w:color="auto"/>
        <w:left w:val="none" w:sz="0" w:space="0" w:color="auto"/>
        <w:bottom w:val="none" w:sz="0" w:space="0" w:color="auto"/>
        <w:right w:val="none" w:sz="0" w:space="0" w:color="auto"/>
      </w:divBdr>
    </w:div>
    <w:div w:id="1101606372">
      <w:bodyDiv w:val="1"/>
      <w:marLeft w:val="0"/>
      <w:marRight w:val="0"/>
      <w:marTop w:val="0"/>
      <w:marBottom w:val="0"/>
      <w:divBdr>
        <w:top w:val="none" w:sz="0" w:space="0" w:color="auto"/>
        <w:left w:val="none" w:sz="0" w:space="0" w:color="auto"/>
        <w:bottom w:val="none" w:sz="0" w:space="0" w:color="auto"/>
        <w:right w:val="none" w:sz="0" w:space="0" w:color="auto"/>
      </w:divBdr>
    </w:div>
    <w:div w:id="1156648722">
      <w:bodyDiv w:val="1"/>
      <w:marLeft w:val="0"/>
      <w:marRight w:val="0"/>
      <w:marTop w:val="0"/>
      <w:marBottom w:val="0"/>
      <w:divBdr>
        <w:top w:val="none" w:sz="0" w:space="0" w:color="auto"/>
        <w:left w:val="none" w:sz="0" w:space="0" w:color="auto"/>
        <w:bottom w:val="none" w:sz="0" w:space="0" w:color="auto"/>
        <w:right w:val="none" w:sz="0" w:space="0" w:color="auto"/>
      </w:divBdr>
    </w:div>
    <w:div w:id="1178697005">
      <w:bodyDiv w:val="1"/>
      <w:marLeft w:val="0"/>
      <w:marRight w:val="0"/>
      <w:marTop w:val="0"/>
      <w:marBottom w:val="0"/>
      <w:divBdr>
        <w:top w:val="none" w:sz="0" w:space="0" w:color="auto"/>
        <w:left w:val="none" w:sz="0" w:space="0" w:color="auto"/>
        <w:bottom w:val="none" w:sz="0" w:space="0" w:color="auto"/>
        <w:right w:val="none" w:sz="0" w:space="0" w:color="auto"/>
      </w:divBdr>
    </w:div>
    <w:div w:id="1197736223">
      <w:bodyDiv w:val="1"/>
      <w:marLeft w:val="0"/>
      <w:marRight w:val="0"/>
      <w:marTop w:val="0"/>
      <w:marBottom w:val="0"/>
      <w:divBdr>
        <w:top w:val="none" w:sz="0" w:space="0" w:color="auto"/>
        <w:left w:val="none" w:sz="0" w:space="0" w:color="auto"/>
        <w:bottom w:val="none" w:sz="0" w:space="0" w:color="auto"/>
        <w:right w:val="none" w:sz="0" w:space="0" w:color="auto"/>
      </w:divBdr>
    </w:div>
    <w:div w:id="1220093356">
      <w:bodyDiv w:val="1"/>
      <w:marLeft w:val="0"/>
      <w:marRight w:val="0"/>
      <w:marTop w:val="0"/>
      <w:marBottom w:val="0"/>
      <w:divBdr>
        <w:top w:val="none" w:sz="0" w:space="0" w:color="auto"/>
        <w:left w:val="none" w:sz="0" w:space="0" w:color="auto"/>
        <w:bottom w:val="none" w:sz="0" w:space="0" w:color="auto"/>
        <w:right w:val="none" w:sz="0" w:space="0" w:color="auto"/>
      </w:divBdr>
    </w:div>
    <w:div w:id="1258559234">
      <w:bodyDiv w:val="1"/>
      <w:marLeft w:val="0"/>
      <w:marRight w:val="0"/>
      <w:marTop w:val="0"/>
      <w:marBottom w:val="0"/>
      <w:divBdr>
        <w:top w:val="none" w:sz="0" w:space="0" w:color="auto"/>
        <w:left w:val="none" w:sz="0" w:space="0" w:color="auto"/>
        <w:bottom w:val="none" w:sz="0" w:space="0" w:color="auto"/>
        <w:right w:val="none" w:sz="0" w:space="0" w:color="auto"/>
      </w:divBdr>
    </w:div>
    <w:div w:id="1395932753">
      <w:bodyDiv w:val="1"/>
      <w:marLeft w:val="0"/>
      <w:marRight w:val="0"/>
      <w:marTop w:val="0"/>
      <w:marBottom w:val="0"/>
      <w:divBdr>
        <w:top w:val="none" w:sz="0" w:space="0" w:color="auto"/>
        <w:left w:val="none" w:sz="0" w:space="0" w:color="auto"/>
        <w:bottom w:val="none" w:sz="0" w:space="0" w:color="auto"/>
        <w:right w:val="none" w:sz="0" w:space="0" w:color="auto"/>
      </w:divBdr>
    </w:div>
    <w:div w:id="1868133328">
      <w:bodyDiv w:val="1"/>
      <w:marLeft w:val="0"/>
      <w:marRight w:val="0"/>
      <w:marTop w:val="0"/>
      <w:marBottom w:val="0"/>
      <w:divBdr>
        <w:top w:val="none" w:sz="0" w:space="0" w:color="auto"/>
        <w:left w:val="none" w:sz="0" w:space="0" w:color="auto"/>
        <w:bottom w:val="none" w:sz="0" w:space="0" w:color="auto"/>
        <w:right w:val="none" w:sz="0" w:space="0" w:color="auto"/>
      </w:divBdr>
    </w:div>
    <w:div w:id="1971133593">
      <w:bodyDiv w:val="1"/>
      <w:marLeft w:val="0"/>
      <w:marRight w:val="0"/>
      <w:marTop w:val="0"/>
      <w:marBottom w:val="0"/>
      <w:divBdr>
        <w:top w:val="none" w:sz="0" w:space="0" w:color="auto"/>
        <w:left w:val="none" w:sz="0" w:space="0" w:color="auto"/>
        <w:bottom w:val="none" w:sz="0" w:space="0" w:color="auto"/>
        <w:right w:val="none" w:sz="0" w:space="0" w:color="auto"/>
      </w:divBdr>
    </w:div>
    <w:div w:id="1989357124">
      <w:bodyDiv w:val="1"/>
      <w:marLeft w:val="0"/>
      <w:marRight w:val="0"/>
      <w:marTop w:val="0"/>
      <w:marBottom w:val="0"/>
      <w:divBdr>
        <w:top w:val="none" w:sz="0" w:space="0" w:color="auto"/>
        <w:left w:val="none" w:sz="0" w:space="0" w:color="auto"/>
        <w:bottom w:val="none" w:sz="0" w:space="0" w:color="auto"/>
        <w:right w:val="none" w:sz="0" w:space="0" w:color="auto"/>
      </w:divBdr>
    </w:div>
    <w:div w:id="2095081809">
      <w:bodyDiv w:val="1"/>
      <w:marLeft w:val="0"/>
      <w:marRight w:val="0"/>
      <w:marTop w:val="0"/>
      <w:marBottom w:val="0"/>
      <w:divBdr>
        <w:top w:val="none" w:sz="0" w:space="0" w:color="auto"/>
        <w:left w:val="none" w:sz="0" w:space="0" w:color="auto"/>
        <w:bottom w:val="none" w:sz="0" w:space="0" w:color="auto"/>
        <w:right w:val="none" w:sz="0" w:space="0" w:color="auto"/>
      </w:divBdr>
    </w:div>
    <w:div w:id="210456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teor.aihw.gov.au/content/740851" TargetMode="External"/><Relationship Id="rId18" Type="http://schemas.openxmlformats.org/officeDocument/2006/relationships/hyperlink" Target="https://docs.pmhc-mds.com/projects/data-specification/en/v4/"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https://meteor.aihw.gov.au/content/740847" TargetMode="External"/><Relationship Id="rId17" Type="http://schemas.openxmlformats.org/officeDocument/2006/relationships/hyperlink" Target="https://docs.pmhc-mds.com/projects/data-specification/en/v4/"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docs.pmhc-mds.com/projects/data-specification/en/v4/" TargetMode="External"/><Relationship Id="rId20" Type="http://schemas.openxmlformats.org/officeDocument/2006/relationships/hyperlink" Target="http://www.health.gov.au/internet/main/publishing.nsf/Content/PHNCommissioningResour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copyright@health.gov.au" TargetMode="External"/><Relationship Id="rId5" Type="http://schemas.openxmlformats.org/officeDocument/2006/relationships/numbering" Target="numbering.xml"/><Relationship Id="rId15" Type="http://schemas.openxmlformats.org/officeDocument/2006/relationships/hyperlink" Target="https://docs.pmhc-mds.com/projects/data-specification/en/v4/" TargetMode="External"/><Relationship Id="rId23" Type="http://schemas.openxmlformats.org/officeDocument/2006/relationships/hyperlink" Target="https://creativecommons.org/licenses/by/4.0/legalcode" TargetMode="External"/><Relationship Id="rId10" Type="http://schemas.openxmlformats.org/officeDocument/2006/relationships/endnotes" Target="endnotes.xml"/><Relationship Id="rId19" Type="http://schemas.openxmlformats.org/officeDocument/2006/relationships/hyperlink" Target="https://docs.pmhc-mds.com/projects/data-specification/en/v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s.pmhc-mds.com/projects/data-specification/en/v4/" TargetMode="External"/><Relationship Id="rId22" Type="http://schemas.openxmlformats.org/officeDocument/2006/relationships/image" Target="cid:image001.png@01D10CF0.2ACF2D4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93f1bed3-6df5-40b7-a439-101d047763f3" xsi:nil="true"/>
    <TaxCatchAll xmlns="d8047f56-74c4-40b6-938d-8dadd393d03a">
      <Value>4</Value>
    </TaxCatchAll>
    <lcf76f155ced4ddcb4097134ff3c332f xmlns="93f1bed3-6df5-40b7-a439-101d047763f3">
      <Terms xmlns="http://schemas.microsoft.com/office/infopath/2007/PartnerControls"/>
    </lcf76f155ced4ddcb4097134ff3c332f>
    <ga63d90a970647d48ff3b0b17ccacfdb xmlns="93f1bed3-6df5-40b7-a439-101d047763f3">
      <Terms xmlns="http://schemas.microsoft.com/office/infopath/2007/PartnerControls">
        <TermInfo xmlns="http://schemas.microsoft.com/office/infopath/2007/PartnerControls">
          <TermName xmlns="http://schemas.microsoft.com/office/infopath/2007/PartnerControls">Primary Health Networks Branch</TermName>
          <TermId xmlns="http://schemas.microsoft.com/office/infopath/2007/PartnerControls">bd24f1ea-50d5-44e0-a7e6-d904956990c2</TermId>
        </TermInfo>
      </Terms>
    </ga63d90a970647d48ff3b0b17ccacfdb>
    <URL xmlns="http://schemas.microsoft.com/sharepoint/v3">
      <Url xsi:nil="true"/>
      <Description xsi:nil="true"/>
    </URL>
    <TRIMReference xmlns="93f1bed3-6df5-40b7-a439-101d047763f3" xsi:nil="true"/>
    <Edit_x0020_Properties xmlns="93f1bed3-6df5-40b7-a439-101d047763f3" xsi:nil="true"/>
    <Folder_x0020_number xmlns="93f1bed3-6df5-40b7-a439-101d047763f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DF69331AB097B4F9061B5248E81C8D2" ma:contentTypeVersion="53" ma:contentTypeDescription="Create a new document." ma:contentTypeScope="" ma:versionID="5032b38c1c23a5773041ded48ddfa70e">
  <xsd:schema xmlns:xsd="http://www.w3.org/2001/XMLSchema" xmlns:xs="http://www.w3.org/2001/XMLSchema" xmlns:p="http://schemas.microsoft.com/office/2006/metadata/properties" xmlns:ns1="http://schemas.microsoft.com/sharepoint/v3" xmlns:ns2="93f1bed3-6df5-40b7-a439-101d047763f3" xmlns:ns3="d8047f56-74c4-40b6-938d-8dadd393d03a" targetNamespace="http://schemas.microsoft.com/office/2006/metadata/properties" ma:root="true" ma:fieldsID="439c2ddbd6db5baae71954391d0e1a04" ns1:_="" ns2:_="" ns3:_="">
    <xsd:import namespace="http://schemas.microsoft.com/sharepoint/v3"/>
    <xsd:import namespace="93f1bed3-6df5-40b7-a439-101d047763f3"/>
    <xsd:import namespace="d8047f56-74c4-40b6-938d-8dadd393d03a"/>
    <xsd:element name="properties">
      <xsd:complexType>
        <xsd:sequence>
          <xsd:element name="documentManagement">
            <xsd:complexType>
              <xsd:all>
                <xsd:element ref="ns2:Topic" minOccurs="0"/>
                <xsd:element ref="ns2:TRIMReference"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1:URL" minOccurs="0"/>
                <xsd:element ref="ns2:ga63d90a970647d48ff3b0b17ccacfdb" minOccurs="0"/>
                <xsd:element ref="ns3:TaxCatchAll" minOccurs="0"/>
                <xsd:element ref="ns2:Edit_x0020_Properties" minOccurs="0"/>
                <xsd:element ref="ns2:Folder_x0020_number" minOccurs="0"/>
                <xsd:element ref="ns2:MediaServiceDateTaken" minOccurs="0"/>
                <xsd:element ref="ns2:MediaLengthInSecond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3" nillable="true" ma:displayName="URL" ma:hidden="true"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3f1bed3-6df5-40b7-a439-101d047763f3" elementFormDefault="qualified">
    <xsd:import namespace="http://schemas.microsoft.com/office/2006/documentManagement/types"/>
    <xsd:import namespace="http://schemas.microsoft.com/office/infopath/2007/PartnerControls"/>
    <xsd:element name="Topic" ma:index="1" nillable="true" ma:displayName="Topic" ma:format="Dropdown" ma:indexed="true" ma:internalName="Topic">
      <xsd:simpleType>
        <xsd:restriction base="dms:Choice">
          <xsd:enumeration value="Templates"/>
          <xsd:enumeration value="Admin"/>
          <xsd:enumeration value="Planning"/>
          <xsd:enumeration value="Training"/>
          <xsd:enumeration value="Policy"/>
          <xsd:enumeration value="Guidelines"/>
          <xsd:enumeration value="Procedures"/>
          <xsd:enumeration value="Operational"/>
          <xsd:enumeration value="Briefs/Reports"/>
          <xsd:enumeration value="Minutes/Agendas"/>
          <xsd:enumeration value="Section folder"/>
        </xsd:restriction>
      </xsd:simpleType>
    </xsd:element>
    <xsd:element name="TRIMReference" ma:index="2" nillable="true" ma:displayName="TRIM Reference" ma:format="Dropdown" ma:internalName="TRIMReference" ma:readOnly="fals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hidden="true" ma:internalName="MediaServiceKeyPoints" ma:readOnly="true">
      <xsd:simpleType>
        <xsd:restriction base="dms:Note"/>
      </xsd:simpleType>
    </xsd:element>
    <xsd:element name="ga63d90a970647d48ff3b0b17ccacfdb" ma:index="17" nillable="true" ma:taxonomy="true" ma:internalName="ga63d90a970647d48ff3b0b17ccacfdb" ma:taxonomyFieldName="Host_x0020_Area" ma:displayName="Division/Branch/Section" ma:readOnly="false" ma:default="" ma:fieldId="{0a63d90a-9706-47d4-8ff3-b0b17ccacfdb}" ma:sspId="89927c38-8944-418e-ac9b-4d6e75543028" ma:termSetId="de9dcaa7-cbd4-446d-ac5a-a3b1b31284e7" ma:anchorId="00000000-0000-0000-0000-000000000000" ma:open="false" ma:isKeyword="false">
      <xsd:complexType>
        <xsd:sequence>
          <xsd:element ref="pc:Terms" minOccurs="0" maxOccurs="1"/>
        </xsd:sequence>
      </xsd:complexType>
    </xsd:element>
    <xsd:element name="Edit_x0020_Properties" ma:index="20" nillable="true" ma:displayName="Edit Properties" ma:hidden="true" ma:internalName="Edit_x0020_Properties" ma:readOnly="false">
      <xsd:simpleType>
        <xsd:restriction base="dms:Text">
          <xsd:maxLength value="255"/>
        </xsd:restriction>
      </xsd:simpleType>
    </xsd:element>
    <xsd:element name="Folder_x0020_number" ma:index="21" nillable="true" ma:displayName="Folder number" ma:indexed="true" ma:internalName="Folder_x0020_number">
      <xsd:simpleType>
        <xsd:restriction base="dms:Number"/>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047f56-74c4-40b6-938d-8dadd393d03a" elementFormDefault="qualified">
    <xsd:import namespace="http://schemas.microsoft.com/office/2006/documentManagement/types"/>
    <xsd:import namespace="http://schemas.microsoft.com/office/infopath/2007/PartnerControls"/>
    <xsd:element name="SharedWithUsers" ma:index="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hidden="true" ma:internalName="SharedWithDetails" ma:readOnly="true">
      <xsd:simpleType>
        <xsd:restriction base="dms:Note"/>
      </xsd:simpleType>
    </xsd:element>
    <xsd:element name="TaxCatchAll" ma:index="18" nillable="true" ma:displayName="Taxonomy Catch All Column" ma:hidden="true" ma:list="{c55dee22-3f7a-4770-9dab-a58811b97ba0}" ma:internalName="TaxCatchAll" ma:readOnly="false" ma:showField="CatchAllData" ma:web="d8047f56-74c4-40b6-938d-8dadd393d0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306C5A5-18DF-4568-A7E6-28545CAA5243}">
  <ds:schemaRefs>
    <ds:schemaRef ds:uri="http://schemas.microsoft.com/office/2006/metadata/properties"/>
    <ds:schemaRef ds:uri="http://schemas.microsoft.com/office/infopath/2007/PartnerControls"/>
    <ds:schemaRef ds:uri="93f1bed3-6df5-40b7-a439-101d047763f3"/>
    <ds:schemaRef ds:uri="d8047f56-74c4-40b6-938d-8dadd393d03a"/>
    <ds:schemaRef ds:uri="http://schemas.microsoft.com/sharepoint/v3"/>
  </ds:schemaRefs>
</ds:datastoreItem>
</file>

<file path=customXml/itemProps2.xml><?xml version="1.0" encoding="utf-8"?>
<ds:datastoreItem xmlns:ds="http://schemas.openxmlformats.org/officeDocument/2006/customXml" ds:itemID="{AFC364E3-819D-4259-8CE8-7D385268D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f1bed3-6df5-40b7-a439-101d047763f3"/>
    <ds:schemaRef ds:uri="d8047f56-74c4-40b6-938d-8dadd393d0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22700B-6A3B-461C-A84C-02E150484545}">
  <ds:schemaRefs>
    <ds:schemaRef ds:uri="http://schemas.microsoft.com/sharepoint/v3/contenttype/forms"/>
  </ds:schemaRefs>
</ds:datastoreItem>
</file>

<file path=customXml/itemProps4.xml><?xml version="1.0" encoding="utf-8"?>
<ds:datastoreItem xmlns:ds="http://schemas.openxmlformats.org/officeDocument/2006/customXml" ds:itemID="{3F77FC1F-762D-4CF5-B374-C3CCD640E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56</Pages>
  <Words>14239</Words>
  <Characters>85153</Characters>
  <Application>Microsoft Office Word</Application>
  <DocSecurity>0</DocSecurity>
  <Lines>2838</Lines>
  <Paragraphs>2424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 – Indicator Specifications for the Primary Health Network Program Annual Performance Report 2021-22</dc:title>
  <dc:subject>Health workforce</dc:subject>
  <dc:creator>Australian Government Department of Health and Aged Care</dc:creator>
  <cp:keywords>Health workforce; Primary health network</cp:keywords>
  <dc:description>_x000d_
</dc:description>
  <cp:lastModifiedBy>MASCHKE, Elvia</cp:lastModifiedBy>
  <cp:revision>5</cp:revision>
  <cp:lastPrinted>2025-02-10T03:57:00Z</cp:lastPrinted>
  <dcterms:created xsi:type="dcterms:W3CDTF">2025-04-22T00:12:00Z</dcterms:created>
  <dcterms:modified xsi:type="dcterms:W3CDTF">2025-05-01T23:35:00Z</dcterms:modified>
</cp:coreProperties>
</file>