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9177" w14:textId="291F5A0D" w:rsidR="003619F4" w:rsidRPr="00AC06B7" w:rsidRDefault="00510A04" w:rsidP="00AC06B7">
      <w:pPr>
        <w:pStyle w:val="Heading1"/>
      </w:pPr>
      <w:r>
        <w:t xml:space="preserve">Aged </w:t>
      </w:r>
      <w:r w:rsidR="00A01902">
        <w:t>Care Act</w:t>
      </w:r>
    </w:p>
    <w:p w14:paraId="76645C34" w14:textId="00716A97" w:rsidR="00A01902" w:rsidRPr="00AC06B7" w:rsidRDefault="00A01902" w:rsidP="00AC06B7">
      <w:pPr>
        <w:pStyle w:val="Introduction"/>
      </w:pPr>
      <w:r>
        <w:t>What is new or changing?</w:t>
      </w:r>
    </w:p>
    <w:p w14:paraId="1A12D0F0" w14:textId="77777777" w:rsidR="00A01902" w:rsidRDefault="00A01902">
      <w:pPr>
        <w:spacing w:before="0" w:after="0" w:line="240" w:lineRule="auto"/>
        <w:rPr>
          <w:color w:val="1E1544" w:themeColor="text1"/>
          <w:sz w:val="32"/>
          <w:szCs w:val="32"/>
        </w:rPr>
      </w:pPr>
      <w:r>
        <w:br w:type="page"/>
      </w:r>
    </w:p>
    <w:p w14:paraId="70F84B66" w14:textId="6B2A27AF" w:rsidR="00422631" w:rsidRPr="008137BA" w:rsidRDefault="00A01902" w:rsidP="001A3758">
      <w:pPr>
        <w:pStyle w:val="Heading2"/>
      </w:pPr>
      <w:bookmarkStart w:id="0" w:name="_Hlk196979446"/>
      <w:bookmarkStart w:id="1" w:name="_Hlk196985436"/>
      <w:r w:rsidRPr="00CD0931">
        <w:rPr>
          <w:b w:val="0"/>
        </w:rPr>
        <w:lastRenderedPageBreak/>
        <w:t xml:space="preserve">Aged Care Act – </w:t>
      </w:r>
      <w:r w:rsidRPr="00CD0931">
        <w:t>What is new or changing</w:t>
      </w:r>
      <w:r w:rsidRPr="001A3758">
        <w:rPr>
          <w:b w:val="0"/>
          <w:bCs/>
        </w:rPr>
        <w:t xml:space="preserve"> for older people</w:t>
      </w:r>
      <w:r w:rsidR="007839A3" w:rsidRPr="001A3758">
        <w:rPr>
          <w:b w:val="0"/>
          <w:bCs/>
        </w:rPr>
        <w:t>?</w:t>
      </w:r>
    </w:p>
    <w:tbl>
      <w:tblPr>
        <w:tblStyle w:val="GridTable1Light-Accent1"/>
        <w:tblW w:w="15310" w:type="dxa"/>
        <w:tblInd w:w="-299" w:type="dxa"/>
        <w:tblLook w:val="04A0" w:firstRow="1" w:lastRow="0" w:firstColumn="1" w:lastColumn="0" w:noHBand="0" w:noVBand="1"/>
      </w:tblPr>
      <w:tblGrid>
        <w:gridCol w:w="844"/>
        <w:gridCol w:w="2411"/>
        <w:gridCol w:w="2410"/>
        <w:gridCol w:w="2412"/>
        <w:gridCol w:w="2411"/>
        <w:gridCol w:w="2410"/>
        <w:gridCol w:w="2412"/>
      </w:tblGrid>
      <w:tr w:rsidR="00F94324" w14:paraId="0068A485"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36761D6E" w14:textId="495E7277" w:rsidR="007839A3" w:rsidRPr="005C0D4E" w:rsidRDefault="007839A3" w:rsidP="00F72B1E">
            <w:pPr>
              <w:pStyle w:val="Introduction"/>
              <w:jc w:val="center"/>
              <w:rPr>
                <w:b w:val="0"/>
                <w:bCs w:val="0"/>
              </w:rPr>
            </w:pPr>
            <w:bookmarkStart w:id="2" w:name="_Hlk196979459"/>
            <w:bookmarkEnd w:id="0"/>
          </w:p>
        </w:tc>
        <w:tc>
          <w:tcPr>
            <w:tcW w:w="2421" w:type="dxa"/>
            <w:shd w:val="clear" w:color="auto" w:fill="D1F2F4" w:themeFill="accent1" w:themeFillTint="33"/>
          </w:tcPr>
          <w:p w14:paraId="1CA37DBD" w14:textId="1D9F16E1" w:rsidR="007839A3" w:rsidRPr="00716E4C" w:rsidRDefault="006079DD"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Planning ahead/ transitioning to new arrangements</w:t>
            </w:r>
          </w:p>
        </w:tc>
        <w:tc>
          <w:tcPr>
            <w:tcW w:w="2421" w:type="dxa"/>
            <w:shd w:val="clear" w:color="auto" w:fill="D1F2F4" w:themeFill="accent1" w:themeFillTint="33"/>
          </w:tcPr>
          <w:p w14:paraId="471B70C9" w14:textId="17EFEEE9" w:rsidR="007839A3" w:rsidRPr="00716E4C" w:rsidRDefault="006079DD"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Assessing needs</w:t>
            </w:r>
          </w:p>
        </w:tc>
        <w:tc>
          <w:tcPr>
            <w:tcW w:w="2421" w:type="dxa"/>
            <w:shd w:val="clear" w:color="auto" w:fill="D1F2F4" w:themeFill="accent1" w:themeFillTint="33"/>
          </w:tcPr>
          <w:p w14:paraId="02C2A08C" w14:textId="7CA54430" w:rsidR="007839A3" w:rsidRPr="00716E4C" w:rsidRDefault="00716E4C"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Connecting to care</w:t>
            </w:r>
          </w:p>
        </w:tc>
        <w:tc>
          <w:tcPr>
            <w:tcW w:w="2421" w:type="dxa"/>
            <w:shd w:val="clear" w:color="auto" w:fill="D1F2F4" w:themeFill="accent1" w:themeFillTint="33"/>
          </w:tcPr>
          <w:p w14:paraId="7F95BFF2" w14:textId="1FD9309A" w:rsidR="007839A3" w:rsidRPr="00716E4C" w:rsidRDefault="00120EE2"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Receiving quality care</w:t>
            </w:r>
          </w:p>
        </w:tc>
        <w:tc>
          <w:tcPr>
            <w:tcW w:w="2421" w:type="dxa"/>
            <w:shd w:val="clear" w:color="auto" w:fill="D1F2F4" w:themeFill="accent1" w:themeFillTint="33"/>
          </w:tcPr>
          <w:p w14:paraId="2EF1A3C0" w14:textId="08C7CC72" w:rsidR="007839A3" w:rsidRPr="00716E4C" w:rsidRDefault="00AF6760"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Fees and contributions</w:t>
            </w:r>
          </w:p>
        </w:tc>
        <w:tc>
          <w:tcPr>
            <w:tcW w:w="2421" w:type="dxa"/>
            <w:shd w:val="clear" w:color="auto" w:fill="D1F2F4" w:themeFill="accent1" w:themeFillTint="33"/>
          </w:tcPr>
          <w:p w14:paraId="0723B879" w14:textId="465EA1BA" w:rsidR="007839A3" w:rsidRPr="00716E4C" w:rsidRDefault="00AF6760"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Changing circumstances</w:t>
            </w:r>
          </w:p>
        </w:tc>
      </w:tr>
      <w:tr w:rsidR="00A349F1" w14:paraId="42E3CD82" w14:textId="77777777" w:rsidTr="00A349F1">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5D8E0" w:themeColor="accent1" w:themeTint="99"/>
              <w:bottom w:val="nil"/>
            </w:tcBorders>
            <w:textDirection w:val="btLr"/>
          </w:tcPr>
          <w:p w14:paraId="253ED4CB" w14:textId="1F88795B" w:rsidR="00A349F1" w:rsidRPr="00A349F1" w:rsidRDefault="00A349F1" w:rsidP="00A349F1">
            <w:pPr>
              <w:jc w:val="center"/>
              <w:rPr>
                <w:rFonts w:cs="Arial"/>
                <w:sz w:val="28"/>
                <w:szCs w:val="28"/>
              </w:rPr>
            </w:pPr>
            <w:r w:rsidRPr="00A349F1">
              <w:rPr>
                <w:sz w:val="28"/>
                <w:szCs w:val="28"/>
              </w:rPr>
              <w:t xml:space="preserve">What is new </w:t>
            </w:r>
            <w:r w:rsidRPr="00A349F1">
              <w:rPr>
                <w:b w:val="0"/>
                <w:bCs w:val="0"/>
                <w:sz w:val="28"/>
                <w:szCs w:val="28"/>
              </w:rPr>
              <w:t>or changing</w:t>
            </w:r>
          </w:p>
        </w:tc>
        <w:tc>
          <w:tcPr>
            <w:tcW w:w="2421" w:type="dxa"/>
          </w:tcPr>
          <w:p w14:paraId="4A6EE8A4" w14:textId="77777777" w:rsidR="005C4E52" w:rsidRPr="005C4E52" w:rsidRDefault="005C4E52" w:rsidP="005C4E5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C4E52">
              <w:rPr>
                <w:rFonts w:cs="Arial"/>
                <w:sz w:val="22"/>
                <w:szCs w:val="22"/>
              </w:rPr>
              <w:t>New Statement of Rights outlining the rights older people should expect when seeking or accessing aged care services.</w:t>
            </w:r>
          </w:p>
          <w:p w14:paraId="1BDFB6C5" w14:textId="53C0C1EC" w:rsidR="005C4E52" w:rsidRPr="005C4E52" w:rsidRDefault="005C4E52" w:rsidP="005C4E5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C4E52">
              <w:rPr>
                <w:rFonts w:cs="Arial"/>
                <w:sz w:val="22"/>
                <w:szCs w:val="22"/>
              </w:rPr>
              <w:t>Option to register a supporter to help older people make and communicate aged care decisions.</w:t>
            </w:r>
          </w:p>
          <w:p w14:paraId="497C3C63" w14:textId="70735936" w:rsidR="00A349F1" w:rsidRPr="00716E4C" w:rsidRDefault="005C4E52" w:rsidP="005C4E5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C4E52">
              <w:rPr>
                <w:rFonts w:cs="Arial"/>
                <w:sz w:val="22"/>
                <w:szCs w:val="22"/>
              </w:rPr>
              <w:t>New service and funding model including portability of classification level approval to the Multi-Purpose Service Program (MPSP) or the National Aboriginal and Torres Strait Islander Flexible Aged Care Program (NATSIFACP).</w:t>
            </w:r>
          </w:p>
        </w:tc>
        <w:tc>
          <w:tcPr>
            <w:tcW w:w="2421" w:type="dxa"/>
          </w:tcPr>
          <w:p w14:paraId="1CA8B1A9"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Clear eligibility requirements – older people aged 65 years or over, Aboriginal or Torres Strait Islander people aged 50 years or over, or if homeless or at risk of homelessness people aged 50 years or over.</w:t>
            </w:r>
          </w:p>
          <w:p w14:paraId="0EB455D2"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Alternative entry arrangements such as urgent and GP referrals.</w:t>
            </w:r>
          </w:p>
          <w:p w14:paraId="3E25730A" w14:textId="374D2052" w:rsidR="00A349F1" w:rsidRPr="00716E4C"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First Nations Assessment Organisations will provide more choice for culturally safe, trauma aware and healing informed assessments.</w:t>
            </w:r>
          </w:p>
        </w:tc>
        <w:tc>
          <w:tcPr>
            <w:tcW w:w="2421" w:type="dxa"/>
          </w:tcPr>
          <w:p w14:paraId="36AFE254" w14:textId="77777777" w:rsidR="002304C4" w:rsidRPr="002304C4"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More help to stay at home with additional Support at Home packages and increased funds for home modifications and assistive technology.</w:t>
            </w:r>
          </w:p>
          <w:p w14:paraId="148A7E12" w14:textId="77777777" w:rsidR="002304C4" w:rsidRPr="002304C4"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New Support at Home program incorporates home care and short-term restorative care.</w:t>
            </w:r>
          </w:p>
          <w:p w14:paraId="20132BF1" w14:textId="77777777" w:rsidR="002304C4" w:rsidRPr="002304C4"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No earlier than 2027, the Commonwealth Home Support Programme (CHSP) rolls into Support at Home.</w:t>
            </w:r>
          </w:p>
          <w:p w14:paraId="3DBB1D07" w14:textId="1A898742" w:rsidR="00A349F1" w:rsidRPr="00716E4C"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Once approved for residential aged care, a residential aged care place is allocated to the individual.</w:t>
            </w:r>
          </w:p>
        </w:tc>
        <w:tc>
          <w:tcPr>
            <w:tcW w:w="2421" w:type="dxa"/>
          </w:tcPr>
          <w:p w14:paraId="3AAFCEE4"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 xml:space="preserve">Right to exercise choice and control in the planning and delivery of care. </w:t>
            </w:r>
          </w:p>
          <w:p w14:paraId="05A0E1CA"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Wellness and reablement focus to maintain and improve independence.</w:t>
            </w:r>
          </w:p>
          <w:p w14:paraId="0802B783"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Cultural safety and inclusivity focus to ensure identity, culture, spirituality and needs are supported.</w:t>
            </w:r>
          </w:p>
          <w:p w14:paraId="4E555994" w14:textId="48DF123A" w:rsidR="00A349F1" w:rsidRPr="00716E4C"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 xml:space="preserve">Increased provider obligations </w:t>
            </w:r>
            <w:r w:rsidR="00D875A9">
              <w:rPr>
                <w:rFonts w:cs="Arial"/>
                <w:sz w:val="22"/>
                <w:szCs w:val="22"/>
              </w:rPr>
              <w:t>with</w:t>
            </w:r>
            <w:r w:rsidRPr="006E4E1D">
              <w:rPr>
                <w:rFonts w:cs="Arial"/>
                <w:sz w:val="22"/>
                <w:szCs w:val="22"/>
              </w:rPr>
              <w:t xml:space="preserve"> stronger standards for diversity, dementia care, clinical care, provider governance, food and nutrition.</w:t>
            </w:r>
          </w:p>
        </w:tc>
        <w:tc>
          <w:tcPr>
            <w:tcW w:w="2421" w:type="dxa"/>
          </w:tcPr>
          <w:p w14:paraId="6E3DC310"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Some changes across fees for certain services.</w:t>
            </w:r>
          </w:p>
          <w:p w14:paraId="52712663"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Support at Home participants will only pay contributions on services received.</w:t>
            </w:r>
          </w:p>
          <w:p w14:paraId="59DA7B41"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Lifetime cap of $130,000 in individual contributions across Support at Home and the non-clinical care component of residential care contributions.</w:t>
            </w:r>
          </w:p>
          <w:p w14:paraId="3B5A59E8" w14:textId="2DB75DE8" w:rsidR="00A349F1" w:rsidRPr="00716E4C"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Support at Home Budget Planner to help the older person get an estimate of their contributions and potential budget.</w:t>
            </w:r>
          </w:p>
        </w:tc>
        <w:tc>
          <w:tcPr>
            <w:tcW w:w="2421" w:type="dxa"/>
          </w:tcPr>
          <w:p w14:paraId="1B9632AC"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A rights-based and culturally safe approach to assessing changes in circumstances.</w:t>
            </w:r>
          </w:p>
          <w:p w14:paraId="6C22BF9B"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If you are re-assessed onto a higher budget, it will be at one of the new Support at Home classifications.</w:t>
            </w:r>
          </w:p>
          <w:p w14:paraId="0C1D9652" w14:textId="24DC6536"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Improved protections over your personal information.</w:t>
            </w:r>
          </w:p>
          <w:p w14:paraId="1437FCA4" w14:textId="661C88C0" w:rsidR="00A349F1" w:rsidRPr="00716E4C"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Requirements to keep government up to date with any change in financial circumstances.</w:t>
            </w:r>
          </w:p>
        </w:tc>
      </w:tr>
      <w:bookmarkEnd w:id="1"/>
      <w:bookmarkEnd w:id="2"/>
    </w:tbl>
    <w:p w14:paraId="025721B2" w14:textId="28A856B9" w:rsidR="00F716A1" w:rsidRDefault="00CD0931" w:rsidP="00AC06B7">
      <w:r w:rsidRPr="00B052CC">
        <w:br w:type="page"/>
      </w:r>
      <w:r w:rsidR="00F716A1" w:rsidRPr="00CD0931">
        <w:lastRenderedPageBreak/>
        <w:t>Aged Care Act – What is new or changing</w:t>
      </w:r>
      <w:r w:rsidR="00F716A1" w:rsidRPr="001A3758">
        <w:rPr>
          <w:bCs/>
        </w:rPr>
        <w:t xml:space="preserve"> for older </w:t>
      </w:r>
      <w:proofErr w:type="gramStart"/>
      <w:r w:rsidR="00F716A1" w:rsidRPr="001A3758">
        <w:rPr>
          <w:bCs/>
        </w:rPr>
        <w:t>people?</w:t>
      </w:r>
      <w:r w:rsidR="00353161">
        <w:rPr>
          <w:bCs/>
        </w:rPr>
        <w:t>…</w:t>
      </w:r>
      <w:proofErr w:type="gramEnd"/>
      <w:r w:rsidR="00353161">
        <w:rPr>
          <w:bCs/>
        </w:rPr>
        <w:t>continued</w:t>
      </w:r>
    </w:p>
    <w:tbl>
      <w:tblPr>
        <w:tblStyle w:val="GridTable1Light-Accent1"/>
        <w:tblW w:w="15310" w:type="dxa"/>
        <w:tblInd w:w="-299" w:type="dxa"/>
        <w:tblLook w:val="04A0" w:firstRow="1" w:lastRow="0" w:firstColumn="1" w:lastColumn="0" w:noHBand="0" w:noVBand="1"/>
      </w:tblPr>
      <w:tblGrid>
        <w:gridCol w:w="843"/>
        <w:gridCol w:w="2410"/>
        <w:gridCol w:w="2415"/>
        <w:gridCol w:w="2409"/>
        <w:gridCol w:w="2409"/>
        <w:gridCol w:w="2412"/>
        <w:gridCol w:w="2412"/>
      </w:tblGrid>
      <w:tr w:rsidR="00F716A1" w14:paraId="20FCE906"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63B460A9" w14:textId="0351AD3F" w:rsidR="00F716A1" w:rsidRPr="005C0D4E" w:rsidRDefault="00F716A1">
            <w:pPr>
              <w:pStyle w:val="Introduction"/>
              <w:jc w:val="center"/>
              <w:rPr>
                <w:b w:val="0"/>
                <w:bCs w:val="0"/>
              </w:rPr>
            </w:pPr>
          </w:p>
        </w:tc>
        <w:tc>
          <w:tcPr>
            <w:tcW w:w="2421" w:type="dxa"/>
            <w:shd w:val="clear" w:color="auto" w:fill="D1F2F4" w:themeFill="accent1" w:themeFillTint="33"/>
          </w:tcPr>
          <w:p w14:paraId="19ED19AD"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Planning ahead/ transitioning to new arrangements</w:t>
            </w:r>
          </w:p>
        </w:tc>
        <w:tc>
          <w:tcPr>
            <w:tcW w:w="2421" w:type="dxa"/>
            <w:shd w:val="clear" w:color="auto" w:fill="D1F2F4" w:themeFill="accent1" w:themeFillTint="33"/>
          </w:tcPr>
          <w:p w14:paraId="37FECA01"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Assessing needs</w:t>
            </w:r>
          </w:p>
        </w:tc>
        <w:tc>
          <w:tcPr>
            <w:tcW w:w="2421" w:type="dxa"/>
            <w:shd w:val="clear" w:color="auto" w:fill="D1F2F4" w:themeFill="accent1" w:themeFillTint="33"/>
          </w:tcPr>
          <w:p w14:paraId="44985F21"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Connecting to care</w:t>
            </w:r>
          </w:p>
        </w:tc>
        <w:tc>
          <w:tcPr>
            <w:tcW w:w="2421" w:type="dxa"/>
            <w:shd w:val="clear" w:color="auto" w:fill="D1F2F4" w:themeFill="accent1" w:themeFillTint="33"/>
          </w:tcPr>
          <w:p w14:paraId="24865BDE"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Receiving quality care</w:t>
            </w:r>
          </w:p>
        </w:tc>
        <w:tc>
          <w:tcPr>
            <w:tcW w:w="2421" w:type="dxa"/>
            <w:shd w:val="clear" w:color="auto" w:fill="D1F2F4" w:themeFill="accent1" w:themeFillTint="33"/>
          </w:tcPr>
          <w:p w14:paraId="517F162F"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Fees and contributions</w:t>
            </w:r>
          </w:p>
        </w:tc>
        <w:tc>
          <w:tcPr>
            <w:tcW w:w="2421" w:type="dxa"/>
            <w:shd w:val="clear" w:color="auto" w:fill="D1F2F4" w:themeFill="accent1" w:themeFillTint="33"/>
          </w:tcPr>
          <w:p w14:paraId="1382EE4E"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Changing circumstances</w:t>
            </w:r>
          </w:p>
        </w:tc>
      </w:tr>
      <w:tr w:rsidR="00A410EB" w14:paraId="62195879"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5D8E0" w:themeColor="accent1" w:themeTint="99"/>
              <w:bottom w:val="nil"/>
            </w:tcBorders>
            <w:textDirection w:val="btLr"/>
          </w:tcPr>
          <w:p w14:paraId="218457FC" w14:textId="024D67C5" w:rsidR="00A410EB" w:rsidRPr="00A410EB" w:rsidRDefault="00A410EB" w:rsidP="00A410EB">
            <w:pPr>
              <w:jc w:val="center"/>
              <w:rPr>
                <w:rFonts w:cs="Arial"/>
                <w:sz w:val="28"/>
                <w:szCs w:val="28"/>
              </w:rPr>
            </w:pPr>
            <w:r w:rsidRPr="00A410EB">
              <w:rPr>
                <w:sz w:val="28"/>
                <w:szCs w:val="28"/>
              </w:rPr>
              <w:t xml:space="preserve">What is new </w:t>
            </w:r>
            <w:r w:rsidRPr="00A410EB">
              <w:rPr>
                <w:b w:val="0"/>
                <w:bCs w:val="0"/>
                <w:sz w:val="28"/>
                <w:szCs w:val="28"/>
              </w:rPr>
              <w:t>or changing</w:t>
            </w:r>
          </w:p>
        </w:tc>
        <w:tc>
          <w:tcPr>
            <w:tcW w:w="2421" w:type="dxa"/>
          </w:tcPr>
          <w:p w14:paraId="5A4871A1"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Residential care daily living, non-clinical care fee and contributions.</w:t>
            </w:r>
          </w:p>
          <w:p w14:paraId="464816CE" w14:textId="283C0262" w:rsidR="00A410EB" w:rsidRPr="00716E4C"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Refreshed My Aged Care website to support changes.</w:t>
            </w:r>
          </w:p>
        </w:tc>
        <w:tc>
          <w:tcPr>
            <w:tcW w:w="2421" w:type="dxa"/>
          </w:tcPr>
          <w:p w14:paraId="60642F6C"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Older people accessing MPSP and NATSIFACP will need an aged care assessment.</w:t>
            </w:r>
          </w:p>
          <w:p w14:paraId="7E7C2D01"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Service recommendations consider the entire service list (rather than services aligned to specific packages or programs).</w:t>
            </w:r>
          </w:p>
          <w:p w14:paraId="1A0A9CAB" w14:textId="7CD77958" w:rsidR="00A410EB" w:rsidRPr="00716E4C"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Reviewable decisions.</w:t>
            </w:r>
          </w:p>
        </w:tc>
        <w:tc>
          <w:tcPr>
            <w:tcW w:w="2421" w:type="dxa"/>
          </w:tcPr>
          <w:p w14:paraId="6ACD6235" w14:textId="77777777"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Strengthened end of life and palliative care rights across all providers.</w:t>
            </w:r>
          </w:p>
        </w:tc>
        <w:tc>
          <w:tcPr>
            <w:tcW w:w="2421" w:type="dxa"/>
          </w:tcPr>
          <w:p w14:paraId="665FC935"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Enhanced protections for older people, including complaints mechanisms, and greater enforcement options for the ACQSC.</w:t>
            </w:r>
          </w:p>
          <w:p w14:paraId="03B6D365"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Accessible complaints processes.</w:t>
            </w:r>
          </w:p>
          <w:p w14:paraId="17D874B4"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Whistleblower protections.</w:t>
            </w:r>
          </w:p>
          <w:p w14:paraId="1CE8C0B2" w14:textId="6601DAE8" w:rsidR="00A410EB" w:rsidRPr="00716E4C"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Duty of care for registered providers and responsible persons and compensation pathways for older people.</w:t>
            </w:r>
          </w:p>
        </w:tc>
        <w:tc>
          <w:tcPr>
            <w:tcW w:w="2421" w:type="dxa"/>
          </w:tcPr>
          <w:p w14:paraId="3EF05D57" w14:textId="77777777"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Changes to accommodation payment arrangements for new residents.</w:t>
            </w:r>
          </w:p>
        </w:tc>
        <w:tc>
          <w:tcPr>
            <w:tcW w:w="2421" w:type="dxa"/>
          </w:tcPr>
          <w:p w14:paraId="6AA8A045" w14:textId="77777777"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11CFA">
              <w:rPr>
                <w:rFonts w:cs="Arial"/>
                <w:sz w:val="22"/>
                <w:szCs w:val="22"/>
              </w:rPr>
              <w:t>New end-of-life support without entering residential care.</w:t>
            </w:r>
          </w:p>
        </w:tc>
      </w:tr>
    </w:tbl>
    <w:p w14:paraId="5417C676" w14:textId="0163F8E5" w:rsidR="00F716A1" w:rsidRPr="00AC06B7" w:rsidRDefault="00F716A1" w:rsidP="00AC06B7">
      <w:r>
        <w:br w:type="page"/>
      </w:r>
    </w:p>
    <w:p w14:paraId="116A3188" w14:textId="4427DD81" w:rsidR="00CD0931" w:rsidRPr="00CD0931" w:rsidRDefault="00CD0931" w:rsidP="00CD0931">
      <w:pPr>
        <w:pStyle w:val="Introduction"/>
        <w:rPr>
          <w:b/>
        </w:rPr>
      </w:pPr>
      <w:r w:rsidRPr="00CD0931">
        <w:lastRenderedPageBreak/>
        <w:t>Aged Care Act –</w:t>
      </w:r>
      <w:r w:rsidRPr="00CD0931">
        <w:rPr>
          <w:b/>
        </w:rPr>
        <w:t xml:space="preserve"> What is staying the same</w:t>
      </w:r>
      <w:r w:rsidRPr="00CD0931">
        <w:rPr>
          <w:bCs/>
        </w:rPr>
        <w:t xml:space="preserve"> for older people?</w:t>
      </w:r>
    </w:p>
    <w:tbl>
      <w:tblPr>
        <w:tblStyle w:val="GridTable1Light-Accent1"/>
        <w:tblW w:w="15011" w:type="dxa"/>
        <w:tblLayout w:type="fixed"/>
        <w:tblLook w:val="04A0" w:firstRow="1" w:lastRow="0" w:firstColumn="1" w:lastColumn="0" w:noHBand="0" w:noVBand="1"/>
      </w:tblPr>
      <w:tblGrid>
        <w:gridCol w:w="784"/>
        <w:gridCol w:w="2371"/>
        <w:gridCol w:w="2075"/>
        <w:gridCol w:w="2410"/>
        <w:gridCol w:w="2410"/>
        <w:gridCol w:w="2589"/>
        <w:gridCol w:w="2372"/>
      </w:tblGrid>
      <w:tr w:rsidR="00F94324" w:rsidRPr="00716E4C" w14:paraId="20B354CC"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4275BE03" w14:textId="348A076F" w:rsidR="00CD0931" w:rsidRPr="00716E4C" w:rsidRDefault="00CD0931">
            <w:pPr>
              <w:pStyle w:val="Introduction"/>
              <w:jc w:val="center"/>
            </w:pPr>
            <w:bookmarkStart w:id="3" w:name="_Hlk196979826"/>
          </w:p>
        </w:tc>
        <w:tc>
          <w:tcPr>
            <w:tcW w:w="2371" w:type="dxa"/>
            <w:shd w:val="clear" w:color="auto" w:fill="D1F2F4" w:themeFill="accent1" w:themeFillTint="33"/>
          </w:tcPr>
          <w:p w14:paraId="3A075C4C"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Planning ahead/ transitioning to new arrangements</w:t>
            </w:r>
          </w:p>
        </w:tc>
        <w:tc>
          <w:tcPr>
            <w:tcW w:w="2075" w:type="dxa"/>
            <w:shd w:val="clear" w:color="auto" w:fill="D1F2F4" w:themeFill="accent1" w:themeFillTint="33"/>
          </w:tcPr>
          <w:p w14:paraId="476C95F8"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Assessing needs</w:t>
            </w:r>
          </w:p>
        </w:tc>
        <w:tc>
          <w:tcPr>
            <w:tcW w:w="2410" w:type="dxa"/>
            <w:shd w:val="clear" w:color="auto" w:fill="D1F2F4" w:themeFill="accent1" w:themeFillTint="33"/>
          </w:tcPr>
          <w:p w14:paraId="2BC21413"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Connecting to care</w:t>
            </w:r>
          </w:p>
        </w:tc>
        <w:tc>
          <w:tcPr>
            <w:tcW w:w="2410" w:type="dxa"/>
            <w:shd w:val="clear" w:color="auto" w:fill="D1F2F4" w:themeFill="accent1" w:themeFillTint="33"/>
          </w:tcPr>
          <w:p w14:paraId="4F88F398"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Receiving quality care</w:t>
            </w:r>
          </w:p>
        </w:tc>
        <w:tc>
          <w:tcPr>
            <w:tcW w:w="2589" w:type="dxa"/>
            <w:shd w:val="clear" w:color="auto" w:fill="D1F2F4" w:themeFill="accent1" w:themeFillTint="33"/>
          </w:tcPr>
          <w:p w14:paraId="53F5EE20"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Fees and contributions</w:t>
            </w:r>
          </w:p>
        </w:tc>
        <w:tc>
          <w:tcPr>
            <w:tcW w:w="2372" w:type="dxa"/>
            <w:shd w:val="clear" w:color="auto" w:fill="D1F2F4" w:themeFill="accent1" w:themeFillTint="33"/>
          </w:tcPr>
          <w:p w14:paraId="1CBD2EA6"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Changing circumstances</w:t>
            </w:r>
          </w:p>
        </w:tc>
      </w:tr>
      <w:tr w:rsidR="00A410EB" w:rsidRPr="00716E4C" w14:paraId="07F3BD83"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5D8E0" w:themeColor="accent1" w:themeTint="99"/>
              <w:bottom w:val="nil"/>
            </w:tcBorders>
            <w:textDirection w:val="btLr"/>
          </w:tcPr>
          <w:p w14:paraId="1AC8DC52" w14:textId="7F58C781" w:rsidR="00A410EB" w:rsidRPr="00A410EB" w:rsidRDefault="00A410EB" w:rsidP="00A410EB">
            <w:pPr>
              <w:jc w:val="center"/>
              <w:rPr>
                <w:rFonts w:cs="Arial"/>
                <w:sz w:val="28"/>
                <w:szCs w:val="28"/>
              </w:rPr>
            </w:pPr>
            <w:r w:rsidRPr="00A410EB">
              <w:rPr>
                <w:sz w:val="28"/>
                <w:szCs w:val="28"/>
              </w:rPr>
              <w:t xml:space="preserve">What is staying </w:t>
            </w:r>
            <w:r w:rsidRPr="00A410EB">
              <w:rPr>
                <w:b w:val="0"/>
                <w:bCs w:val="0"/>
                <w:sz w:val="28"/>
                <w:szCs w:val="28"/>
              </w:rPr>
              <w:t>the same</w:t>
            </w:r>
          </w:p>
        </w:tc>
        <w:tc>
          <w:tcPr>
            <w:tcW w:w="2371" w:type="dxa"/>
          </w:tcPr>
          <w:p w14:paraId="28AABEDE"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Continuity of care.</w:t>
            </w:r>
          </w:p>
          <w:p w14:paraId="39690E9C"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Transitioning of existing services into new system.</w:t>
            </w:r>
          </w:p>
          <w:p w14:paraId="0E6246D9"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My Aged Care entry point, functionality and support.</w:t>
            </w:r>
          </w:p>
          <w:p w14:paraId="6B44B3F1"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Care finders, navigation and advocacy services.</w:t>
            </w:r>
          </w:p>
          <w:p w14:paraId="45B81ED5"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Income and asset testing of family home.</w:t>
            </w:r>
          </w:p>
          <w:p w14:paraId="4AE28F23" w14:textId="77777777" w:rsid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Ability to search for a provider by their specialisation.</w:t>
            </w:r>
          </w:p>
          <w:p w14:paraId="6B1A137B" w14:textId="5FD6B4CA" w:rsidR="00A410EB" w:rsidRPr="00716E4C" w:rsidRDefault="00A410EB"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A3D43">
              <w:rPr>
                <w:rFonts w:cs="Arial"/>
                <w:sz w:val="22"/>
                <w:szCs w:val="22"/>
              </w:rPr>
              <w:t>Continue to use My Aged Care website Find a Provider tool to search for and compare providers when connecting to care.</w:t>
            </w:r>
          </w:p>
        </w:tc>
        <w:tc>
          <w:tcPr>
            <w:tcW w:w="2075" w:type="dxa"/>
          </w:tcPr>
          <w:p w14:paraId="7ACDCE48"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Single Assessment System workforce (commenced in 2024).</w:t>
            </w:r>
          </w:p>
          <w:p w14:paraId="446FAB39"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No re-assessment for those already in the system unless their needs change in the future.</w:t>
            </w:r>
          </w:p>
          <w:p w14:paraId="5E2978B7" w14:textId="0B088858" w:rsidR="00A410EB" w:rsidRPr="00716E4C"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MPSP and NATSIFACP providers can still offer immediate services where needed.</w:t>
            </w:r>
          </w:p>
        </w:tc>
        <w:tc>
          <w:tcPr>
            <w:tcW w:w="2410" w:type="dxa"/>
          </w:tcPr>
          <w:p w14:paraId="507F9CE6"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Most older people will continue to access their services in the same way.</w:t>
            </w:r>
          </w:p>
          <w:p w14:paraId="4AB2FF1E"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Home care recipients will transition to Support at Home at their current service levels.</w:t>
            </w:r>
          </w:p>
          <w:p w14:paraId="4FF1FA63"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Respite care in a residential care setting.</w:t>
            </w:r>
          </w:p>
          <w:p w14:paraId="391CBA65" w14:textId="111F95AA" w:rsidR="00A410EB" w:rsidRPr="00716E4C"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Right to be supported by and stay connected to volunteers including through safe visitation.</w:t>
            </w:r>
          </w:p>
        </w:tc>
        <w:tc>
          <w:tcPr>
            <w:tcW w:w="2410" w:type="dxa"/>
          </w:tcPr>
          <w:p w14:paraId="0783FD40" w14:textId="77777777" w:rsidR="00A410EB" w:rsidRPr="00CC5C16"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Care finders and other navigation and advocacy services.</w:t>
            </w:r>
          </w:p>
          <w:p w14:paraId="6D973DD7" w14:textId="77777777" w:rsidR="00A410EB" w:rsidRPr="00CC5C16"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The ability to exercise choice and control over the planning and delivery of your services, including changing providers.</w:t>
            </w:r>
          </w:p>
          <w:p w14:paraId="5E2C5DC6" w14:textId="77777777" w:rsidR="00A410EB" w:rsidRPr="00CC5C16"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The ability to lodge a complaint.</w:t>
            </w:r>
          </w:p>
          <w:p w14:paraId="3FCEF845" w14:textId="67166F96"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Continue to make decisions about the care and services they receive, with their will and preferences heard and respected.</w:t>
            </w:r>
          </w:p>
        </w:tc>
        <w:tc>
          <w:tcPr>
            <w:tcW w:w="2589" w:type="dxa"/>
          </w:tcPr>
          <w:p w14:paraId="6791EB8D"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 xml:space="preserve">You will not pay fees associated with your Home Care package if you are assessed as not needing to pay an income tested care fee. </w:t>
            </w:r>
          </w:p>
          <w:p w14:paraId="64065FD4"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No worse off principle applies to people who, on 12 September 2024, were either receiving a package, on the National Priority System, or assessed as eligible for a package.</w:t>
            </w:r>
          </w:p>
          <w:p w14:paraId="63973F86"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Lifetime cap of $82,347 (indexed) remain for those eligible for the NWOP.</w:t>
            </w:r>
          </w:p>
          <w:p w14:paraId="3C6CED05"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Current fee arrangements continue for those in residential care before 1 July 2025.</w:t>
            </w:r>
          </w:p>
          <w:p w14:paraId="0CAF77C9" w14:textId="39CD9D87" w:rsidR="00A410EB" w:rsidRPr="00716E4C"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NATSIFACP fee structure will remain unchanged.</w:t>
            </w:r>
          </w:p>
        </w:tc>
        <w:tc>
          <w:tcPr>
            <w:tcW w:w="2372" w:type="dxa"/>
          </w:tcPr>
          <w:p w14:paraId="69BD53BC" w14:textId="77777777" w:rsidR="00A410EB" w:rsidRPr="0083279A"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3279A">
              <w:rPr>
                <w:rFonts w:cs="Arial"/>
                <w:sz w:val="22"/>
                <w:szCs w:val="22"/>
              </w:rPr>
              <w:t>An older person can still request a re-assessment or a support plan review under current processes if already in the system.</w:t>
            </w:r>
          </w:p>
          <w:p w14:paraId="65CD16E2" w14:textId="1F42426B"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3279A">
              <w:rPr>
                <w:rFonts w:cs="Arial"/>
                <w:sz w:val="22"/>
                <w:szCs w:val="22"/>
              </w:rPr>
              <w:t>Those new to the system will receive personalised support plan and service approvals.</w:t>
            </w:r>
          </w:p>
        </w:tc>
      </w:tr>
    </w:tbl>
    <w:p w14:paraId="55B6E517" w14:textId="77777777" w:rsidR="00371CD7" w:rsidRPr="00AC06B7" w:rsidRDefault="00371CD7" w:rsidP="00AC06B7">
      <w:bookmarkStart w:id="4" w:name="_Hlk196980324"/>
      <w:bookmarkEnd w:id="3"/>
      <w:r>
        <w:rPr>
          <w:rFonts w:eastAsiaTheme="majorEastAsia" w:cstheme="majorBidi"/>
          <w:color w:val="1E1544" w:themeColor="text1"/>
          <w:sz w:val="32"/>
          <w:szCs w:val="26"/>
        </w:rPr>
        <w:br w:type="page"/>
      </w:r>
    </w:p>
    <w:p w14:paraId="15A8A5CF" w14:textId="270A6AFB" w:rsidR="00661CAB" w:rsidRPr="008137BA" w:rsidRDefault="00661CAB" w:rsidP="00661CAB">
      <w:pPr>
        <w:keepNext/>
        <w:keepLines/>
        <w:spacing w:before="240"/>
        <w:outlineLvl w:val="1"/>
        <w:rPr>
          <w:rStyle w:val="Heading2Char"/>
        </w:rPr>
      </w:pPr>
      <w:bookmarkStart w:id="5" w:name="_Hlk196985651"/>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What is new or changing</w:t>
      </w:r>
      <w:r w:rsidRPr="00661CAB">
        <w:rPr>
          <w:rFonts w:eastAsiaTheme="majorEastAsia" w:cstheme="majorBidi"/>
          <w:bCs/>
          <w:color w:val="1E1544" w:themeColor="text1"/>
          <w:sz w:val="32"/>
          <w:szCs w:val="26"/>
        </w:rPr>
        <w:t xml:space="preserve"> for </w:t>
      </w:r>
      <w:r>
        <w:rPr>
          <w:rFonts w:eastAsiaTheme="majorEastAsia" w:cstheme="majorBidi"/>
          <w:bCs/>
          <w:color w:val="1E1544" w:themeColor="text1"/>
          <w:sz w:val="32"/>
          <w:szCs w:val="26"/>
        </w:rPr>
        <w:t>providers</w:t>
      </w:r>
      <w:r w:rsidRPr="00661CAB">
        <w:rPr>
          <w:rFonts w:eastAsiaTheme="majorEastAsia" w:cstheme="majorBidi"/>
          <w:bCs/>
          <w:color w:val="1E1544" w:themeColor="text1"/>
          <w:sz w:val="32"/>
          <w:szCs w:val="26"/>
        </w:rPr>
        <w:t>?</w:t>
      </w:r>
    </w:p>
    <w:tbl>
      <w:tblPr>
        <w:tblStyle w:val="GridTable1Light-Accent5"/>
        <w:tblW w:w="15054" w:type="dxa"/>
        <w:tblLayout w:type="fixed"/>
        <w:tblLook w:val="04A0" w:firstRow="1" w:lastRow="0" w:firstColumn="1" w:lastColumn="0" w:noHBand="0" w:noVBand="1"/>
      </w:tblPr>
      <w:tblGrid>
        <w:gridCol w:w="784"/>
        <w:gridCol w:w="2378"/>
        <w:gridCol w:w="2378"/>
        <w:gridCol w:w="2379"/>
        <w:gridCol w:w="2378"/>
        <w:gridCol w:w="2378"/>
        <w:gridCol w:w="2379"/>
      </w:tblGrid>
      <w:tr w:rsidR="000A1969" w:rsidRPr="00716E4C" w14:paraId="608ABA16" w14:textId="77777777" w:rsidTr="00813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6AE5F4AA" w14:textId="1E265200" w:rsidR="00661CAB" w:rsidRPr="00716E4C" w:rsidRDefault="00661CAB">
            <w:pPr>
              <w:pStyle w:val="Introduction"/>
              <w:jc w:val="center"/>
            </w:pPr>
          </w:p>
        </w:tc>
        <w:tc>
          <w:tcPr>
            <w:tcW w:w="2378" w:type="dxa"/>
            <w:tcBorders>
              <w:bottom w:val="single" w:sz="12" w:space="0" w:color="F2692B" w:themeColor="accent5"/>
              <w:right w:val="nil"/>
            </w:tcBorders>
            <w:shd w:val="clear" w:color="auto" w:fill="FCE0D4" w:themeFill="accent5" w:themeFillTint="33"/>
          </w:tcPr>
          <w:p w14:paraId="12E7FB0C" w14:textId="741EF593" w:rsidR="00661CAB" w:rsidRPr="00716E4C" w:rsidRDefault="00CD238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readiness</w:t>
            </w:r>
          </w:p>
        </w:tc>
        <w:tc>
          <w:tcPr>
            <w:tcW w:w="2378" w:type="dxa"/>
            <w:tcBorders>
              <w:left w:val="nil"/>
              <w:bottom w:val="single" w:sz="12" w:space="0" w:color="F2692B" w:themeColor="accent5"/>
              <w:right w:val="nil"/>
            </w:tcBorders>
            <w:shd w:val="clear" w:color="auto" w:fill="FCE0D4" w:themeFill="accent5" w:themeFillTint="33"/>
          </w:tcPr>
          <w:p w14:paraId="6896B461" w14:textId="321D5E59" w:rsidR="00661CAB" w:rsidRPr="00716E4C" w:rsidRDefault="00CD238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registration</w:t>
            </w:r>
          </w:p>
        </w:tc>
        <w:tc>
          <w:tcPr>
            <w:tcW w:w="2379" w:type="dxa"/>
            <w:tcBorders>
              <w:left w:val="nil"/>
              <w:bottom w:val="single" w:sz="12" w:space="0" w:color="F2692B" w:themeColor="accent5"/>
              <w:right w:val="nil"/>
            </w:tcBorders>
            <w:shd w:val="clear" w:color="auto" w:fill="FCE0D4" w:themeFill="accent5" w:themeFillTint="33"/>
          </w:tcPr>
          <w:p w14:paraId="7892CFD7" w14:textId="7412B5D9" w:rsidR="00661CAB" w:rsidRPr="00716E4C" w:rsidRDefault="008C0B4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Service delivery</w:t>
            </w:r>
          </w:p>
        </w:tc>
        <w:tc>
          <w:tcPr>
            <w:tcW w:w="2378" w:type="dxa"/>
            <w:tcBorders>
              <w:left w:val="nil"/>
              <w:bottom w:val="single" w:sz="12" w:space="0" w:color="F2692B" w:themeColor="accent5"/>
              <w:right w:val="nil"/>
            </w:tcBorders>
            <w:shd w:val="clear" w:color="auto" w:fill="FCE0D4" w:themeFill="accent5" w:themeFillTint="33"/>
          </w:tcPr>
          <w:p w14:paraId="333C6CCF" w14:textId="68B0838D" w:rsidR="00661CAB" w:rsidRPr="00716E4C" w:rsidRDefault="00FD394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Payment</w:t>
            </w:r>
          </w:p>
        </w:tc>
        <w:tc>
          <w:tcPr>
            <w:tcW w:w="2378" w:type="dxa"/>
            <w:tcBorders>
              <w:left w:val="nil"/>
              <w:bottom w:val="single" w:sz="12" w:space="0" w:color="F2692B" w:themeColor="accent5"/>
              <w:right w:val="nil"/>
            </w:tcBorders>
            <w:shd w:val="clear" w:color="auto" w:fill="FCE0D4" w:themeFill="accent5" w:themeFillTint="33"/>
          </w:tcPr>
          <w:p w14:paraId="302704DC" w14:textId="04A191BF" w:rsidR="00661CAB" w:rsidRPr="00716E4C" w:rsidRDefault="007E2458">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Manage obligations</w:t>
            </w:r>
          </w:p>
        </w:tc>
        <w:tc>
          <w:tcPr>
            <w:tcW w:w="2379" w:type="dxa"/>
            <w:tcBorders>
              <w:left w:val="nil"/>
              <w:bottom w:val="single" w:sz="12" w:space="0" w:color="F2692B" w:themeColor="accent5"/>
            </w:tcBorders>
            <w:shd w:val="clear" w:color="auto" w:fill="FCE0D4" w:themeFill="accent5" w:themeFillTint="33"/>
          </w:tcPr>
          <w:p w14:paraId="63F24695" w14:textId="60043C0D" w:rsidR="00661CAB" w:rsidRPr="00716E4C" w:rsidRDefault="007E2458">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Quality, safety and assurance</w:t>
            </w:r>
          </w:p>
        </w:tc>
      </w:tr>
      <w:tr w:rsidR="00C6270E" w:rsidRPr="00716E4C" w14:paraId="69102893" w14:textId="77777777" w:rsidTr="00C6270E">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2692B" w:themeColor="accent5"/>
              <w:bottom w:val="nil"/>
              <w:right w:val="nil"/>
            </w:tcBorders>
            <w:textDirection w:val="btLr"/>
          </w:tcPr>
          <w:p w14:paraId="4511D6C7" w14:textId="2B830F85" w:rsidR="00C6270E" w:rsidRPr="00C6270E" w:rsidRDefault="00C6270E" w:rsidP="00C6270E">
            <w:pPr>
              <w:jc w:val="center"/>
              <w:rPr>
                <w:rFonts w:cs="Arial"/>
                <w:sz w:val="28"/>
                <w:szCs w:val="28"/>
              </w:rPr>
            </w:pPr>
            <w:r w:rsidRPr="00C6270E">
              <w:rPr>
                <w:sz w:val="28"/>
                <w:szCs w:val="28"/>
              </w:rPr>
              <w:t xml:space="preserve">What is new </w:t>
            </w:r>
            <w:r w:rsidRPr="00C6270E">
              <w:rPr>
                <w:b w:val="0"/>
                <w:bCs w:val="0"/>
                <w:sz w:val="28"/>
                <w:szCs w:val="28"/>
              </w:rPr>
              <w:t>or changing?</w:t>
            </w:r>
          </w:p>
        </w:tc>
        <w:tc>
          <w:tcPr>
            <w:tcW w:w="2378" w:type="dxa"/>
            <w:tcBorders>
              <w:top w:val="single" w:sz="12" w:space="0" w:color="F2692B" w:themeColor="accent5"/>
              <w:left w:val="nil"/>
              <w:right w:val="nil"/>
            </w:tcBorders>
          </w:tcPr>
          <w:p w14:paraId="6DE11240"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Statement of Rights and Statement of Principles for person centred care.</w:t>
            </w:r>
          </w:p>
          <w:p w14:paraId="6E861144" w14:textId="3551C93A"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Approved providers become registered providers under the Act.</w:t>
            </w:r>
          </w:p>
          <w:p w14:paraId="28514CD3"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Current providers deemed as registered and into registration categories, with associated conditions and obligations on 1 July 2025.</w:t>
            </w:r>
          </w:p>
          <w:p w14:paraId="51FCFC83"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service types and service lists.</w:t>
            </w:r>
          </w:p>
          <w:p w14:paraId="717020D4" w14:textId="1DA1820D"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regulatory model.</w:t>
            </w:r>
          </w:p>
          <w:p w14:paraId="1BE8F61F" w14:textId="6508130B"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participant contributions framework.</w:t>
            </w:r>
          </w:p>
        </w:tc>
        <w:tc>
          <w:tcPr>
            <w:tcW w:w="2378" w:type="dxa"/>
            <w:tcBorders>
              <w:top w:val="single" w:sz="12" w:space="0" w:color="F2692B" w:themeColor="accent5"/>
              <w:left w:val="nil"/>
              <w:right w:val="nil"/>
            </w:tcBorders>
          </w:tcPr>
          <w:p w14:paraId="2E184702" w14:textId="5806E73E"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New regulatory model and provider registration process, including time-limited registration usually for 3 years.</w:t>
            </w:r>
          </w:p>
          <w:p w14:paraId="7468E6B3" w14:textId="1BE20A0C"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Staggered renewal of registration of deemed providers by the ACQSC.</w:t>
            </w:r>
          </w:p>
          <w:p w14:paraId="77674C19" w14:textId="77777777"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Six provider registration categories.</w:t>
            </w:r>
          </w:p>
          <w:p w14:paraId="29B577BD" w14:textId="32A971FB"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Service configuration and update in My Aged Care to filter through to Find a Provider tool.</w:t>
            </w:r>
          </w:p>
        </w:tc>
        <w:tc>
          <w:tcPr>
            <w:tcW w:w="2379" w:type="dxa"/>
            <w:tcBorders>
              <w:top w:val="single" w:sz="12" w:space="0" w:color="F2692B" w:themeColor="accent5"/>
              <w:left w:val="nil"/>
              <w:right w:val="nil"/>
            </w:tcBorders>
          </w:tcPr>
          <w:p w14:paraId="4D23B1FA" w14:textId="77777777"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Ensure practices are in place and act compatibly with the Statement of Rights.</w:t>
            </w:r>
          </w:p>
          <w:p w14:paraId="6D6FACB8" w14:textId="77777777"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Comply with the Statement of Principles.</w:t>
            </w:r>
          </w:p>
          <w:p w14:paraId="7041F412" w14:textId="49A81DA4"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Engaging with an older person's registered supporter(s).</w:t>
            </w:r>
          </w:p>
          <w:p w14:paraId="59F60D31" w14:textId="2FBC0C54"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Enable workforce ensuring compatible practices for service delivery, compliance with enhanced care standards and duty of care.</w:t>
            </w:r>
          </w:p>
        </w:tc>
        <w:tc>
          <w:tcPr>
            <w:tcW w:w="2378" w:type="dxa"/>
            <w:tcBorders>
              <w:top w:val="single" w:sz="12" w:space="0" w:color="F2692B" w:themeColor="accent5"/>
              <w:left w:val="nil"/>
              <w:right w:val="nil"/>
            </w:tcBorders>
          </w:tcPr>
          <w:p w14:paraId="6EB669ED" w14:textId="77777777"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Practice and system changes for payment and subsidy invoicing.</w:t>
            </w:r>
          </w:p>
          <w:p w14:paraId="670A8ABA" w14:textId="1E3D1DF1"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 xml:space="preserve">Supplementary grants available for </w:t>
            </w:r>
            <w:r w:rsidR="00DB5661">
              <w:rPr>
                <w:rFonts w:cs="Arial"/>
                <w:sz w:val="22"/>
                <w:szCs w:val="22"/>
              </w:rPr>
              <w:t>S</w:t>
            </w:r>
            <w:r w:rsidR="0013294F">
              <w:rPr>
                <w:rFonts w:cs="Arial"/>
                <w:sz w:val="22"/>
                <w:szCs w:val="22"/>
              </w:rPr>
              <w:t xml:space="preserve">upport at Home </w:t>
            </w:r>
            <w:r w:rsidR="00801F80">
              <w:rPr>
                <w:rFonts w:cs="Arial"/>
                <w:sz w:val="22"/>
                <w:szCs w:val="22"/>
              </w:rPr>
              <w:t xml:space="preserve">providers </w:t>
            </w:r>
            <w:r w:rsidRPr="00FD394F">
              <w:rPr>
                <w:rFonts w:cs="Arial"/>
                <w:sz w:val="22"/>
                <w:szCs w:val="22"/>
              </w:rPr>
              <w:t>operating in thin markets.</w:t>
            </w:r>
          </w:p>
          <w:p w14:paraId="1A78F57D" w14:textId="23C3B250"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 xml:space="preserve">Residential </w:t>
            </w:r>
            <w:r w:rsidR="006D3218">
              <w:rPr>
                <w:rFonts w:cs="Arial"/>
                <w:sz w:val="22"/>
                <w:szCs w:val="22"/>
              </w:rPr>
              <w:t xml:space="preserve">care </w:t>
            </w:r>
            <w:r w:rsidRPr="00FD394F">
              <w:rPr>
                <w:rFonts w:cs="Arial"/>
                <w:sz w:val="22"/>
                <w:szCs w:val="22"/>
              </w:rPr>
              <w:t>provider reporting on operational bed numbers, 24/7 Registered Nurse coverage and accommodation reporting</w:t>
            </w:r>
            <w:r w:rsidR="005E4EE0">
              <w:rPr>
                <w:rFonts w:cs="Arial"/>
                <w:sz w:val="22"/>
                <w:szCs w:val="22"/>
              </w:rPr>
              <w:t xml:space="preserve"> where applicable.</w:t>
            </w:r>
          </w:p>
          <w:p w14:paraId="2FE73EAB" w14:textId="23C21FE9"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Refundable Accommodation Deposit and Refundable Accommodation Contribution retention arrangements and Daily Accommodation Payment indexing arrangements.</w:t>
            </w:r>
          </w:p>
        </w:tc>
        <w:tc>
          <w:tcPr>
            <w:tcW w:w="2378" w:type="dxa"/>
            <w:tcBorders>
              <w:top w:val="single" w:sz="12" w:space="0" w:color="F2692B" w:themeColor="accent5"/>
              <w:left w:val="nil"/>
              <w:right w:val="nil"/>
            </w:tcBorders>
          </w:tcPr>
          <w:p w14:paraId="735334B3" w14:textId="77777777"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Manage obligations to maintain registration, routine audits and notify of changes.</w:t>
            </w:r>
          </w:p>
          <w:p w14:paraId="5A19B0B6" w14:textId="40C6A216"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Comply with new Financial and Prudential Standards</w:t>
            </w:r>
            <w:r w:rsidR="00C5172C">
              <w:rPr>
                <w:rFonts w:cs="Arial"/>
                <w:sz w:val="22"/>
                <w:szCs w:val="22"/>
              </w:rPr>
              <w:t xml:space="preserve"> where applicable</w:t>
            </w:r>
            <w:r w:rsidRPr="007E2458">
              <w:rPr>
                <w:rFonts w:cs="Arial"/>
                <w:sz w:val="22"/>
                <w:szCs w:val="22"/>
              </w:rPr>
              <w:t>.</w:t>
            </w:r>
          </w:p>
          <w:p w14:paraId="269D0F5C" w14:textId="77777777"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Graduated change to registered provider entity reporting.</w:t>
            </w:r>
          </w:p>
          <w:p w14:paraId="7262FCB5" w14:textId="77777777"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Accountability for effective implementation and monitoring of support plans based on rights-based approach.</w:t>
            </w:r>
          </w:p>
          <w:p w14:paraId="329402BA" w14:textId="51458D85"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Strengthened reporting including financial, quality indicators, and care delivery</w:t>
            </w:r>
            <w:r w:rsidR="004F338D">
              <w:rPr>
                <w:rFonts w:cs="Arial"/>
                <w:sz w:val="22"/>
                <w:szCs w:val="22"/>
              </w:rPr>
              <w:t xml:space="preserve"> where applicable.</w:t>
            </w:r>
          </w:p>
        </w:tc>
        <w:tc>
          <w:tcPr>
            <w:tcW w:w="2379" w:type="dxa"/>
            <w:tcBorders>
              <w:top w:val="single" w:sz="12" w:space="0" w:color="F2692B" w:themeColor="accent5"/>
              <w:left w:val="nil"/>
              <w:right w:val="nil"/>
            </w:tcBorders>
          </w:tcPr>
          <w:p w14:paraId="62129BAB" w14:textId="77777777" w:rsidR="00C6270E" w:rsidRPr="00A568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Strengthened Quality Standards with greater focus on diversity, dementia care, clinical care, provider governance, food and nutrition.</w:t>
            </w:r>
          </w:p>
          <w:p w14:paraId="7EEAC98E" w14:textId="77777777" w:rsidR="00C6270E" w:rsidRPr="00A568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Whistleblower protections and complaints handling.</w:t>
            </w:r>
          </w:p>
          <w:p w14:paraId="79D48571" w14:textId="426DC41D"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Duty of care for registered providers and responsible persons and compensation pathways.</w:t>
            </w:r>
          </w:p>
        </w:tc>
      </w:tr>
      <w:bookmarkEnd w:id="4"/>
      <w:bookmarkEnd w:id="5"/>
      <w:tr w:rsidR="00C6270E" w:rsidRPr="00716E4C" w14:paraId="107F75E6" w14:textId="77777777" w:rsidTr="00122505">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2692B" w:themeColor="accent5"/>
              <w:bottom w:val="nil"/>
              <w:right w:val="nil"/>
            </w:tcBorders>
            <w:textDirection w:val="btLr"/>
            <w:vAlign w:val="center"/>
          </w:tcPr>
          <w:p w14:paraId="6357B8BF" w14:textId="652E796A" w:rsidR="00C6270E" w:rsidRPr="00C6270E" w:rsidRDefault="00C6270E" w:rsidP="00122505">
            <w:pPr>
              <w:jc w:val="center"/>
              <w:rPr>
                <w:rFonts w:cs="Arial"/>
                <w:sz w:val="28"/>
                <w:szCs w:val="28"/>
              </w:rPr>
            </w:pPr>
            <w:r w:rsidRPr="00C6270E">
              <w:rPr>
                <w:sz w:val="28"/>
                <w:szCs w:val="28"/>
              </w:rPr>
              <w:lastRenderedPageBreak/>
              <w:t xml:space="preserve">What is new </w:t>
            </w:r>
            <w:r w:rsidRPr="00C6270E">
              <w:rPr>
                <w:b w:val="0"/>
                <w:bCs w:val="0"/>
                <w:sz w:val="28"/>
                <w:szCs w:val="28"/>
              </w:rPr>
              <w:t>or changing?</w:t>
            </w:r>
          </w:p>
        </w:tc>
        <w:tc>
          <w:tcPr>
            <w:tcW w:w="2378" w:type="dxa"/>
            <w:tcBorders>
              <w:top w:val="single" w:sz="12" w:space="0" w:color="F2692B" w:themeColor="accent5"/>
              <w:left w:val="nil"/>
              <w:right w:val="nil"/>
            </w:tcBorders>
          </w:tcPr>
          <w:p w14:paraId="6C877B34"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Strengthened Quality Standards.</w:t>
            </w:r>
          </w:p>
          <w:p w14:paraId="248E7A18"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financial and prudential standards.</w:t>
            </w:r>
          </w:p>
          <w:p w14:paraId="08EEBC78"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Updated service agreements with clients.</w:t>
            </w:r>
          </w:p>
        </w:tc>
        <w:tc>
          <w:tcPr>
            <w:tcW w:w="2378" w:type="dxa"/>
            <w:tcBorders>
              <w:top w:val="single" w:sz="12" w:space="0" w:color="F2692B" w:themeColor="accent5"/>
              <w:left w:val="nil"/>
              <w:right w:val="nil"/>
            </w:tcBorders>
          </w:tcPr>
          <w:p w14:paraId="57CEB77F" w14:textId="2369AA54" w:rsidR="00C6270E" w:rsidRPr="00716E4C" w:rsidRDefault="00F920CA"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920CA">
              <w:rPr>
                <w:rFonts w:cs="Arial"/>
                <w:sz w:val="22"/>
                <w:szCs w:val="22"/>
              </w:rPr>
              <w:t>CHSP, MPSP and NATSIFACP are</w:t>
            </w:r>
            <w:r w:rsidR="003E7AE8">
              <w:rPr>
                <w:rFonts w:cs="Arial"/>
                <w:sz w:val="22"/>
                <w:szCs w:val="22"/>
              </w:rPr>
              <w:t xml:space="preserve"> fully</w:t>
            </w:r>
            <w:r w:rsidRPr="00F920CA">
              <w:rPr>
                <w:rFonts w:cs="Arial"/>
                <w:sz w:val="22"/>
                <w:szCs w:val="22"/>
              </w:rPr>
              <w:t xml:space="preserve"> regulated under the Act</w:t>
            </w:r>
            <w:r>
              <w:rPr>
                <w:rFonts w:cs="Arial"/>
                <w:sz w:val="22"/>
                <w:szCs w:val="22"/>
              </w:rPr>
              <w:t>.</w:t>
            </w:r>
          </w:p>
        </w:tc>
        <w:tc>
          <w:tcPr>
            <w:tcW w:w="2379" w:type="dxa"/>
            <w:tcBorders>
              <w:top w:val="single" w:sz="12" w:space="0" w:color="F2692B" w:themeColor="accent5"/>
              <w:left w:val="nil"/>
              <w:right w:val="nil"/>
            </w:tcBorders>
          </w:tcPr>
          <w:p w14:paraId="1CA5C891"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Integrated home care services to help older people live at home for longer.</w:t>
            </w:r>
          </w:p>
        </w:tc>
        <w:tc>
          <w:tcPr>
            <w:tcW w:w="2378" w:type="dxa"/>
            <w:tcBorders>
              <w:top w:val="single" w:sz="12" w:space="0" w:color="F2692B" w:themeColor="accent5"/>
              <w:left w:val="nil"/>
              <w:right w:val="nil"/>
            </w:tcBorders>
          </w:tcPr>
          <w:p w14:paraId="6FD105D3" w14:textId="77777777"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CHSP provider monthly reporting against new service list through DSS Data Exchange.</w:t>
            </w:r>
          </w:p>
          <w:p w14:paraId="40D96F1B"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New payment claim process for registered providers based on services delivered.</w:t>
            </w:r>
          </w:p>
        </w:tc>
        <w:tc>
          <w:tcPr>
            <w:tcW w:w="2378" w:type="dxa"/>
            <w:tcBorders>
              <w:top w:val="single" w:sz="12" w:space="0" w:color="F2692B" w:themeColor="accent5"/>
              <w:left w:val="nil"/>
              <w:right w:val="nil"/>
            </w:tcBorders>
          </w:tcPr>
          <w:p w14:paraId="464EA5FE" w14:textId="079D904B"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 xml:space="preserve">The offences that will stop a person working for a CHSP provider align to </w:t>
            </w:r>
            <w:r w:rsidR="00CE5136">
              <w:rPr>
                <w:rFonts w:cs="Arial"/>
                <w:sz w:val="22"/>
                <w:szCs w:val="22"/>
              </w:rPr>
              <w:t>those for a NATSIFAC</w:t>
            </w:r>
            <w:r w:rsidR="00D200A6">
              <w:rPr>
                <w:rFonts w:cs="Arial"/>
                <w:sz w:val="22"/>
                <w:szCs w:val="22"/>
              </w:rPr>
              <w:t>P</w:t>
            </w:r>
            <w:r w:rsidRPr="007E2458">
              <w:rPr>
                <w:rFonts w:cs="Arial"/>
                <w:sz w:val="22"/>
                <w:szCs w:val="22"/>
              </w:rPr>
              <w:t>.</w:t>
            </w:r>
          </w:p>
          <w:p w14:paraId="5242EE4B" w14:textId="77777777"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Prepare for the quarter 1 quarterly financial report and 25-26 ACFR using the new registered provider structure.</w:t>
            </w:r>
          </w:p>
          <w:p w14:paraId="6CBC9819" w14:textId="0019BDEA"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379" w:type="dxa"/>
            <w:tcBorders>
              <w:top w:val="single" w:sz="12" w:space="0" w:color="F2692B" w:themeColor="accent5"/>
              <w:left w:val="nil"/>
              <w:right w:val="nil"/>
            </w:tcBorders>
          </w:tcPr>
          <w:p w14:paraId="3D696CCB"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Information management including protected information requirements.</w:t>
            </w:r>
          </w:p>
        </w:tc>
      </w:tr>
    </w:tbl>
    <w:p w14:paraId="30C6F01C" w14:textId="04DABD58" w:rsidR="00371CD7" w:rsidRPr="00AC06B7" w:rsidRDefault="00371CD7" w:rsidP="00AC06B7">
      <w:r>
        <w:br w:type="page"/>
      </w:r>
    </w:p>
    <w:p w14:paraId="0F4CE00E" w14:textId="32381669" w:rsidR="00661CAB" w:rsidRPr="008137BA" w:rsidRDefault="00661CAB" w:rsidP="00925B67">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925B67">
        <w:rPr>
          <w:rFonts w:eastAsiaTheme="majorEastAsia" w:cstheme="majorBidi"/>
          <w:b/>
          <w:color w:val="1E1544" w:themeColor="text1"/>
          <w:sz w:val="32"/>
          <w:szCs w:val="26"/>
        </w:rPr>
        <w:t>staying the same</w:t>
      </w:r>
      <w:r w:rsidRPr="00661CAB">
        <w:rPr>
          <w:rFonts w:eastAsiaTheme="majorEastAsia" w:cstheme="majorBidi"/>
          <w:bCs/>
          <w:color w:val="1E1544" w:themeColor="text1"/>
          <w:sz w:val="32"/>
          <w:szCs w:val="26"/>
        </w:rPr>
        <w:t xml:space="preserve"> for </w:t>
      </w:r>
      <w:r w:rsidR="00925B67">
        <w:rPr>
          <w:rFonts w:eastAsiaTheme="majorEastAsia" w:cstheme="majorBidi"/>
          <w:bCs/>
          <w:color w:val="1E1544" w:themeColor="text1"/>
          <w:sz w:val="32"/>
          <w:szCs w:val="26"/>
        </w:rPr>
        <w:t>providers</w:t>
      </w:r>
      <w:r w:rsidRPr="00661CAB">
        <w:rPr>
          <w:rFonts w:eastAsiaTheme="majorEastAsia" w:cstheme="majorBidi"/>
          <w:bCs/>
          <w:color w:val="1E1544" w:themeColor="text1"/>
          <w:sz w:val="32"/>
          <w:szCs w:val="26"/>
        </w:rPr>
        <w:t>?</w:t>
      </w:r>
    </w:p>
    <w:tbl>
      <w:tblPr>
        <w:tblStyle w:val="GridTable1Light-Accent5"/>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925B67" w:rsidRPr="00716E4C" w14:paraId="7A3D9DD7"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133C4358" w14:textId="2CE04730" w:rsidR="00925B67" w:rsidRPr="00716E4C" w:rsidRDefault="00925B67">
            <w:pPr>
              <w:pStyle w:val="Introduction"/>
              <w:jc w:val="center"/>
            </w:pPr>
          </w:p>
        </w:tc>
        <w:tc>
          <w:tcPr>
            <w:tcW w:w="2371" w:type="dxa"/>
            <w:tcBorders>
              <w:bottom w:val="single" w:sz="12" w:space="0" w:color="F2692B" w:themeColor="accent5"/>
              <w:right w:val="nil"/>
            </w:tcBorders>
            <w:shd w:val="clear" w:color="auto" w:fill="FCE0D4" w:themeFill="accent5" w:themeFillTint="33"/>
          </w:tcPr>
          <w:p w14:paraId="09F03AAC"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readiness</w:t>
            </w:r>
          </w:p>
        </w:tc>
        <w:tc>
          <w:tcPr>
            <w:tcW w:w="2371" w:type="dxa"/>
            <w:tcBorders>
              <w:left w:val="nil"/>
              <w:bottom w:val="single" w:sz="12" w:space="0" w:color="F2692B" w:themeColor="accent5"/>
              <w:right w:val="nil"/>
            </w:tcBorders>
            <w:shd w:val="clear" w:color="auto" w:fill="FCE0D4" w:themeFill="accent5" w:themeFillTint="33"/>
          </w:tcPr>
          <w:p w14:paraId="600798B2"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registration</w:t>
            </w:r>
          </w:p>
        </w:tc>
        <w:tc>
          <w:tcPr>
            <w:tcW w:w="2371" w:type="dxa"/>
            <w:tcBorders>
              <w:left w:val="nil"/>
              <w:bottom w:val="single" w:sz="12" w:space="0" w:color="F2692B" w:themeColor="accent5"/>
              <w:right w:val="nil"/>
            </w:tcBorders>
            <w:shd w:val="clear" w:color="auto" w:fill="FCE0D4" w:themeFill="accent5" w:themeFillTint="33"/>
          </w:tcPr>
          <w:p w14:paraId="1E79D80E"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Service delivery</w:t>
            </w:r>
          </w:p>
        </w:tc>
        <w:tc>
          <w:tcPr>
            <w:tcW w:w="2371" w:type="dxa"/>
            <w:tcBorders>
              <w:left w:val="nil"/>
              <w:bottom w:val="single" w:sz="12" w:space="0" w:color="F2692B" w:themeColor="accent5"/>
              <w:right w:val="nil"/>
            </w:tcBorders>
            <w:shd w:val="clear" w:color="auto" w:fill="FCE0D4" w:themeFill="accent5" w:themeFillTint="33"/>
          </w:tcPr>
          <w:p w14:paraId="4362606F"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Payment</w:t>
            </w:r>
          </w:p>
        </w:tc>
        <w:tc>
          <w:tcPr>
            <w:tcW w:w="2371" w:type="dxa"/>
            <w:tcBorders>
              <w:left w:val="nil"/>
              <w:bottom w:val="single" w:sz="12" w:space="0" w:color="F2692B" w:themeColor="accent5"/>
              <w:right w:val="nil"/>
            </w:tcBorders>
            <w:shd w:val="clear" w:color="auto" w:fill="FCE0D4" w:themeFill="accent5" w:themeFillTint="33"/>
          </w:tcPr>
          <w:p w14:paraId="301A69E0"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Manage obligations</w:t>
            </w:r>
          </w:p>
        </w:tc>
        <w:tc>
          <w:tcPr>
            <w:tcW w:w="2372" w:type="dxa"/>
            <w:tcBorders>
              <w:left w:val="nil"/>
              <w:bottom w:val="single" w:sz="12" w:space="0" w:color="F2692B" w:themeColor="accent5"/>
            </w:tcBorders>
            <w:shd w:val="clear" w:color="auto" w:fill="FCE0D4" w:themeFill="accent5" w:themeFillTint="33"/>
          </w:tcPr>
          <w:p w14:paraId="005C9144"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Quality, safety and assurance</w:t>
            </w:r>
          </w:p>
        </w:tc>
      </w:tr>
      <w:tr w:rsidR="004F3DDF" w:rsidRPr="00716E4C" w14:paraId="7D6F59C8" w14:textId="77777777" w:rsidTr="004F3DDF">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2692B" w:themeColor="accent5"/>
              <w:bottom w:val="nil"/>
              <w:right w:val="nil"/>
            </w:tcBorders>
            <w:textDirection w:val="btLr"/>
          </w:tcPr>
          <w:p w14:paraId="28DD2D88" w14:textId="7458993A" w:rsidR="004F3DDF" w:rsidRPr="004F3DDF" w:rsidRDefault="004F3DDF" w:rsidP="004F3DDF">
            <w:pPr>
              <w:jc w:val="center"/>
              <w:rPr>
                <w:rFonts w:cs="Arial"/>
                <w:sz w:val="28"/>
                <w:szCs w:val="28"/>
              </w:rPr>
            </w:pPr>
            <w:r w:rsidRPr="004F3DDF">
              <w:rPr>
                <w:sz w:val="28"/>
                <w:szCs w:val="28"/>
              </w:rPr>
              <w:t xml:space="preserve">What is staying </w:t>
            </w:r>
            <w:r w:rsidRPr="004F3DDF">
              <w:rPr>
                <w:b w:val="0"/>
                <w:bCs w:val="0"/>
                <w:sz w:val="28"/>
                <w:szCs w:val="28"/>
              </w:rPr>
              <w:t>the same?</w:t>
            </w:r>
          </w:p>
        </w:tc>
        <w:tc>
          <w:tcPr>
            <w:tcW w:w="2371" w:type="dxa"/>
            <w:tcBorders>
              <w:top w:val="single" w:sz="12" w:space="0" w:color="F2692B" w:themeColor="accent5"/>
              <w:left w:val="nil"/>
              <w:right w:val="nil"/>
            </w:tcBorders>
          </w:tcPr>
          <w:p w14:paraId="36827D24" w14:textId="77777777"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Commitment to quality care.</w:t>
            </w:r>
          </w:p>
          <w:p w14:paraId="4707A140" w14:textId="77777777"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Regulatory compliance.</w:t>
            </w:r>
          </w:p>
          <w:p w14:paraId="0AC1DF8E" w14:textId="77777777"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Financial management and reporting.</w:t>
            </w:r>
          </w:p>
          <w:p w14:paraId="21813560" w14:textId="4AAA131E"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Workforce training and development.</w:t>
            </w:r>
          </w:p>
        </w:tc>
        <w:tc>
          <w:tcPr>
            <w:tcW w:w="2371" w:type="dxa"/>
            <w:tcBorders>
              <w:top w:val="single" w:sz="12" w:space="0" w:color="F2692B" w:themeColor="accent5"/>
              <w:left w:val="nil"/>
              <w:right w:val="nil"/>
            </w:tcBorders>
          </w:tcPr>
          <w:p w14:paraId="58FB242C" w14:textId="0878C8C0"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Current approved providers will continue to operate on 1 July, but will become subject to the new regulatory model, and will be registered into registration categories, after the deeming process.</w:t>
            </w:r>
          </w:p>
        </w:tc>
        <w:tc>
          <w:tcPr>
            <w:tcW w:w="2371" w:type="dxa"/>
            <w:tcBorders>
              <w:top w:val="single" w:sz="12" w:space="0" w:color="F2692B" w:themeColor="accent5"/>
              <w:left w:val="nil"/>
              <w:right w:val="nil"/>
            </w:tcBorders>
          </w:tcPr>
          <w:p w14:paraId="040B0595" w14:textId="7472CDAA"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Grant funding for CHSP and NATSIFAC</w:t>
            </w:r>
            <w:r w:rsidR="00260EBC">
              <w:rPr>
                <w:rFonts w:cs="Arial"/>
                <w:sz w:val="22"/>
                <w:szCs w:val="22"/>
              </w:rPr>
              <w:t>P</w:t>
            </w:r>
            <w:r w:rsidRPr="00BB1E5D">
              <w:rPr>
                <w:rFonts w:cs="Arial"/>
                <w:sz w:val="22"/>
                <w:szCs w:val="22"/>
              </w:rPr>
              <w:t xml:space="preserve"> programs.</w:t>
            </w:r>
          </w:p>
          <w:p w14:paraId="35E1C653" w14:textId="27E84AC2"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NATSIFAC</w:t>
            </w:r>
            <w:r w:rsidR="00260EBC">
              <w:rPr>
                <w:rFonts w:cs="Arial"/>
                <w:sz w:val="22"/>
                <w:szCs w:val="22"/>
              </w:rPr>
              <w:t>P</w:t>
            </w:r>
            <w:r w:rsidRPr="00BB1E5D">
              <w:rPr>
                <w:rFonts w:cs="Arial"/>
                <w:sz w:val="22"/>
                <w:szCs w:val="22"/>
              </w:rPr>
              <w:t xml:space="preserve"> </w:t>
            </w:r>
            <w:r w:rsidR="008C3288">
              <w:rPr>
                <w:rFonts w:cs="Arial"/>
                <w:sz w:val="22"/>
                <w:szCs w:val="22"/>
              </w:rPr>
              <w:t>or</w:t>
            </w:r>
            <w:r w:rsidR="00A36981">
              <w:rPr>
                <w:rFonts w:cs="Arial"/>
                <w:sz w:val="22"/>
                <w:szCs w:val="22"/>
              </w:rPr>
              <w:t xml:space="preserve"> MPSP </w:t>
            </w:r>
            <w:r w:rsidRPr="00BB1E5D">
              <w:rPr>
                <w:rFonts w:cs="Arial"/>
                <w:sz w:val="22"/>
                <w:szCs w:val="22"/>
              </w:rPr>
              <w:t>service providers can continue to deliver flexible, culturally safe care to meet the needs of communities.</w:t>
            </w:r>
          </w:p>
          <w:p w14:paraId="458AFD1A" w14:textId="7B245FC5"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Continue to presume capacity of older people to make their own decisions and use supported decision</w:t>
            </w:r>
            <w:r>
              <w:rPr>
                <w:rFonts w:cs="Arial"/>
                <w:sz w:val="22"/>
                <w:szCs w:val="22"/>
              </w:rPr>
              <w:t>-</w:t>
            </w:r>
            <w:r w:rsidRPr="00BB1E5D">
              <w:rPr>
                <w:rFonts w:cs="Arial"/>
                <w:sz w:val="22"/>
                <w:szCs w:val="22"/>
              </w:rPr>
              <w:t>making principles and practices to continuously improve your service.</w:t>
            </w:r>
          </w:p>
        </w:tc>
        <w:tc>
          <w:tcPr>
            <w:tcW w:w="2371" w:type="dxa"/>
            <w:tcBorders>
              <w:top w:val="single" w:sz="12" w:space="0" w:color="F2692B" w:themeColor="accent5"/>
              <w:left w:val="nil"/>
              <w:right w:val="nil"/>
            </w:tcBorders>
          </w:tcPr>
          <w:p w14:paraId="58949F54" w14:textId="78851B43"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Home Care Package providers and Residential aged care providers can continue to maintain organisation information in GPMS and supporting channels.</w:t>
            </w:r>
          </w:p>
        </w:tc>
        <w:tc>
          <w:tcPr>
            <w:tcW w:w="2371" w:type="dxa"/>
            <w:tcBorders>
              <w:top w:val="single" w:sz="12" w:space="0" w:color="F2692B" w:themeColor="accent5"/>
              <w:left w:val="nil"/>
              <w:right w:val="nil"/>
            </w:tcBorders>
          </w:tcPr>
          <w:p w14:paraId="2EB66DA2" w14:textId="353109CD"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Many obligations will resemble current requirements, including for grant-funded programs being regulated for the first time.</w:t>
            </w:r>
          </w:p>
          <w:p w14:paraId="2798BCFD" w14:textId="77777777"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Code of Conduct compliance.</w:t>
            </w:r>
          </w:p>
          <w:p w14:paraId="29970749" w14:textId="77777777"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Police checks for workers (until worker screening commences in 2026) and process for notifying of change in circumstances.</w:t>
            </w:r>
          </w:p>
          <w:p w14:paraId="115FA66A" w14:textId="21FF390A"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Continuing obligation for notifications under the Serious Incident Response Scheme and compliance with the safe and accountable use of restrictive practices.</w:t>
            </w:r>
          </w:p>
        </w:tc>
        <w:tc>
          <w:tcPr>
            <w:tcW w:w="2372" w:type="dxa"/>
            <w:tcBorders>
              <w:top w:val="single" w:sz="12" w:space="0" w:color="F2692B" w:themeColor="accent5"/>
              <w:left w:val="nil"/>
              <w:right w:val="nil"/>
            </w:tcBorders>
          </w:tcPr>
          <w:p w14:paraId="2A05B00E" w14:textId="77777777"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Provider reporting and transparency continue for financial reporting obligations, Provider Operations, Quality Indicators and 24/7 Registered Nursing.</w:t>
            </w:r>
          </w:p>
          <w:p w14:paraId="373FDC55" w14:textId="77777777"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Continue to submit mandatory reporting under the approved provider structure for any reporting periods up to 30 June 2025.</w:t>
            </w:r>
          </w:p>
          <w:p w14:paraId="662A3CE7" w14:textId="60463241"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 xml:space="preserve">Star ratings </w:t>
            </w:r>
            <w:r w:rsidR="009B11F7">
              <w:rPr>
                <w:rFonts w:cs="Arial"/>
                <w:sz w:val="22"/>
                <w:szCs w:val="22"/>
              </w:rPr>
              <w:t xml:space="preserve">(where applicable) </w:t>
            </w:r>
            <w:r w:rsidRPr="001B3A17">
              <w:rPr>
                <w:rFonts w:cs="Arial"/>
                <w:sz w:val="22"/>
                <w:szCs w:val="22"/>
              </w:rPr>
              <w:t>continuing to provide accessible and transparent information about quality and safety of aged care.</w:t>
            </w:r>
          </w:p>
        </w:tc>
      </w:tr>
    </w:tbl>
    <w:p w14:paraId="7CA0D7DB" w14:textId="77777777" w:rsidR="004D56C0" w:rsidRPr="00AC06B7" w:rsidRDefault="004D56C0" w:rsidP="00AC06B7">
      <w:r>
        <w:br w:type="page"/>
      </w:r>
    </w:p>
    <w:p w14:paraId="047F1135" w14:textId="3BF913FA" w:rsidR="00661CAB" w:rsidRPr="00AC06B7" w:rsidRDefault="00661CAB" w:rsidP="00331654">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8D6737">
        <w:rPr>
          <w:rFonts w:eastAsiaTheme="majorEastAsia" w:cstheme="majorBidi"/>
          <w:b/>
          <w:color w:val="1E1544" w:themeColor="text1"/>
          <w:sz w:val="32"/>
          <w:szCs w:val="26"/>
        </w:rPr>
        <w:t>new or changing</w:t>
      </w:r>
      <w:r w:rsidRPr="00661CAB">
        <w:rPr>
          <w:rFonts w:eastAsiaTheme="majorEastAsia" w:cstheme="majorBidi"/>
          <w:bCs/>
          <w:color w:val="1E1544" w:themeColor="text1"/>
          <w:sz w:val="32"/>
          <w:szCs w:val="26"/>
        </w:rPr>
        <w:t xml:space="preserve"> for </w:t>
      </w:r>
      <w:r w:rsidR="008D6737">
        <w:rPr>
          <w:rFonts w:eastAsiaTheme="majorEastAsia" w:cstheme="majorBidi"/>
          <w:bCs/>
          <w:color w:val="1E1544" w:themeColor="text1"/>
          <w:sz w:val="32"/>
          <w:szCs w:val="26"/>
        </w:rPr>
        <w:t>aged care workers</w:t>
      </w:r>
      <w:r w:rsidRPr="00661CAB">
        <w:rPr>
          <w:rFonts w:eastAsiaTheme="majorEastAsia" w:cstheme="majorBidi"/>
          <w:bCs/>
          <w:color w:val="1E1544" w:themeColor="text1"/>
          <w:sz w:val="32"/>
          <w:szCs w:val="26"/>
        </w:rPr>
        <w:t>?</w:t>
      </w:r>
    </w:p>
    <w:tbl>
      <w:tblPr>
        <w:tblStyle w:val="GridTable1Light"/>
        <w:tblW w:w="15011" w:type="dxa"/>
        <w:tblLayout w:type="fixed"/>
        <w:tblLook w:val="04A0" w:firstRow="1" w:lastRow="0" w:firstColumn="1" w:lastColumn="0" w:noHBand="0" w:noVBand="1"/>
      </w:tblPr>
      <w:tblGrid>
        <w:gridCol w:w="784"/>
        <w:gridCol w:w="2371"/>
        <w:gridCol w:w="2371"/>
        <w:gridCol w:w="2256"/>
        <w:gridCol w:w="2409"/>
        <w:gridCol w:w="2448"/>
        <w:gridCol w:w="2372"/>
      </w:tblGrid>
      <w:tr w:rsidR="0041043F" w:rsidRPr="00716E4C" w14:paraId="0F6CD097"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19C3BE67" w14:textId="54A96A27" w:rsidR="00331654" w:rsidRPr="00716E4C" w:rsidRDefault="00331654">
            <w:pPr>
              <w:pStyle w:val="Introduction"/>
              <w:jc w:val="center"/>
            </w:pPr>
          </w:p>
        </w:tc>
        <w:tc>
          <w:tcPr>
            <w:tcW w:w="2371" w:type="dxa"/>
            <w:shd w:val="clear" w:color="auto" w:fill="E2DEF5" w:themeFill="text1" w:themeFillTint="1A"/>
          </w:tcPr>
          <w:p w14:paraId="056C25FA" w14:textId="17AB0435" w:rsidR="00331654" w:rsidRPr="00716E4C" w:rsidRDefault="00262DE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A skilled workforce</w:t>
            </w:r>
          </w:p>
        </w:tc>
        <w:tc>
          <w:tcPr>
            <w:tcW w:w="2371" w:type="dxa"/>
            <w:shd w:val="clear" w:color="auto" w:fill="E2DEF5" w:themeFill="text1" w:themeFillTint="1A"/>
          </w:tcPr>
          <w:p w14:paraId="20F98FE9" w14:textId="3028A37C" w:rsidR="00331654" w:rsidRPr="00716E4C" w:rsidRDefault="00262DE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Register and screening</w:t>
            </w:r>
          </w:p>
        </w:tc>
        <w:tc>
          <w:tcPr>
            <w:tcW w:w="2256" w:type="dxa"/>
            <w:shd w:val="clear" w:color="auto" w:fill="E2DEF5" w:themeFill="text1" w:themeFillTint="1A"/>
          </w:tcPr>
          <w:p w14:paraId="211297F1" w14:textId="7C885D57" w:rsidR="00331654" w:rsidRPr="00716E4C" w:rsidRDefault="00104A62">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Onboarding/ training</w:t>
            </w:r>
          </w:p>
        </w:tc>
        <w:tc>
          <w:tcPr>
            <w:tcW w:w="2409" w:type="dxa"/>
            <w:shd w:val="clear" w:color="auto" w:fill="E2DEF5" w:themeFill="text1" w:themeFillTint="1A"/>
          </w:tcPr>
          <w:p w14:paraId="615BB82A" w14:textId="60BD2975" w:rsidR="00331654" w:rsidRPr="00716E4C" w:rsidRDefault="00981CED">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Supporting and valuing expertise</w:t>
            </w:r>
          </w:p>
        </w:tc>
        <w:tc>
          <w:tcPr>
            <w:tcW w:w="2448" w:type="dxa"/>
            <w:shd w:val="clear" w:color="auto" w:fill="E2DEF5" w:themeFill="text1" w:themeFillTint="1A"/>
          </w:tcPr>
          <w:p w14:paraId="16B50544" w14:textId="7006C86D" w:rsidR="00331654" w:rsidRPr="00716E4C" w:rsidRDefault="00981CED">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Delivering/support high quality care</w:t>
            </w:r>
          </w:p>
        </w:tc>
        <w:tc>
          <w:tcPr>
            <w:tcW w:w="2372" w:type="dxa"/>
            <w:shd w:val="clear" w:color="auto" w:fill="E2DEF5" w:themeFill="text1" w:themeFillTint="1A"/>
          </w:tcPr>
          <w:p w14:paraId="3997CBA8" w14:textId="3CAE0B7B" w:rsidR="00331654" w:rsidRPr="00716E4C" w:rsidRDefault="00167A80">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Upskilling and ongoing training</w:t>
            </w:r>
          </w:p>
        </w:tc>
      </w:tr>
      <w:tr w:rsidR="00494DC0" w:rsidRPr="00716E4C" w14:paraId="54D82DB9"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25DCD" w:themeColor="text1" w:themeTint="80"/>
              <w:bottom w:val="nil"/>
            </w:tcBorders>
            <w:textDirection w:val="btLr"/>
          </w:tcPr>
          <w:p w14:paraId="5C8ADB30" w14:textId="08D6748E" w:rsidR="00494DC0" w:rsidRPr="00494DC0" w:rsidRDefault="00494DC0" w:rsidP="00494DC0">
            <w:pPr>
              <w:jc w:val="center"/>
              <w:rPr>
                <w:rFonts w:cs="Arial"/>
                <w:sz w:val="28"/>
                <w:szCs w:val="28"/>
              </w:rPr>
            </w:pPr>
            <w:r w:rsidRPr="00494DC0">
              <w:rPr>
                <w:sz w:val="28"/>
                <w:szCs w:val="28"/>
              </w:rPr>
              <w:t xml:space="preserve">What is new </w:t>
            </w:r>
            <w:r w:rsidRPr="00494DC0">
              <w:rPr>
                <w:b w:val="0"/>
                <w:bCs w:val="0"/>
                <w:sz w:val="28"/>
                <w:szCs w:val="28"/>
              </w:rPr>
              <w:t>or changing?</w:t>
            </w:r>
          </w:p>
        </w:tc>
        <w:tc>
          <w:tcPr>
            <w:tcW w:w="2371" w:type="dxa"/>
          </w:tcPr>
          <w:p w14:paraId="14104814" w14:textId="402736FB"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The Statement of Rights for the older person includes a right for individuals to have services delivered by aged care workers or registered providers who have appropriate qualifications, skills and experience.</w:t>
            </w:r>
          </w:p>
        </w:tc>
        <w:tc>
          <w:tcPr>
            <w:tcW w:w="2371" w:type="dxa"/>
          </w:tcPr>
          <w:p w14:paraId="1223E700" w14:textId="77777777" w:rsidR="00494DC0" w:rsidRPr="00104A62"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Nationally consistent screening requirements for aged care workers with a new Aged Care Worker Screening Check for risk assessed roles (from 2026).</w:t>
            </w:r>
          </w:p>
          <w:p w14:paraId="4FA9EF7F" w14:textId="4F58C7CD"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From 1 July 2025 the offences that will stop you from working for a CHSP provider will align to the same set of offences that stop you from working for a NATSIFAC</w:t>
            </w:r>
            <w:r w:rsidR="00260EBC">
              <w:rPr>
                <w:rFonts w:cs="Arial"/>
                <w:sz w:val="22"/>
                <w:szCs w:val="22"/>
              </w:rPr>
              <w:t>P</w:t>
            </w:r>
            <w:r w:rsidRPr="00104A62">
              <w:rPr>
                <w:rFonts w:cs="Arial"/>
                <w:sz w:val="22"/>
                <w:szCs w:val="22"/>
              </w:rPr>
              <w:t xml:space="preserve"> provider.</w:t>
            </w:r>
          </w:p>
        </w:tc>
        <w:tc>
          <w:tcPr>
            <w:tcW w:w="2256" w:type="dxa"/>
          </w:tcPr>
          <w:p w14:paraId="5B8FB97A" w14:textId="5720D61D"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Aged care workers can access updated learning modules to familiarise themselves with the new legislative changes.</w:t>
            </w:r>
          </w:p>
        </w:tc>
        <w:tc>
          <w:tcPr>
            <w:tcW w:w="2409" w:type="dxa"/>
          </w:tcPr>
          <w:p w14:paraId="10EF116F" w14:textId="77777777" w:rsidR="00494DC0" w:rsidRPr="00981CED"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Workers will have increased protections through expanded whistle blower protections.</w:t>
            </w:r>
          </w:p>
          <w:p w14:paraId="33CB5F07" w14:textId="3E7C8DE4"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Aged care workers have benefited from increases to their award wages – these wage increases will continue to be phased in across 2025 and 2026.</w:t>
            </w:r>
          </w:p>
        </w:tc>
        <w:tc>
          <w:tcPr>
            <w:tcW w:w="2448" w:type="dxa"/>
          </w:tcPr>
          <w:p w14:paraId="2B163B0A"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New Statement of Rights and Statement of Principles.</w:t>
            </w:r>
          </w:p>
          <w:p w14:paraId="0EE3B764"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Supporting change for diverse audiences and delivery of culturally, appropriate and safe care.</w:t>
            </w:r>
          </w:p>
          <w:p w14:paraId="50FF391D"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Strengthened Quality standards to ensure care and services are safe, high quality and tailored to meet the needs and preferences of people receiving care.</w:t>
            </w:r>
          </w:p>
          <w:p w14:paraId="6A3EF9CE"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New obligations to demonstrate a commitment and capability to continuous improvements towards high quality care.</w:t>
            </w:r>
          </w:p>
          <w:p w14:paraId="43004BEA" w14:textId="1ACE1BA2"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Understanding and respecting the new registered supporter role</w:t>
            </w:r>
            <w:r w:rsidRPr="001B3A17">
              <w:rPr>
                <w:rFonts w:cs="Arial"/>
                <w:sz w:val="22"/>
                <w:szCs w:val="22"/>
              </w:rPr>
              <w:t>.</w:t>
            </w:r>
          </w:p>
        </w:tc>
        <w:tc>
          <w:tcPr>
            <w:tcW w:w="2372" w:type="dxa"/>
          </w:tcPr>
          <w:p w14:paraId="4871E7D8" w14:textId="165C112A"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94911">
              <w:rPr>
                <w:rFonts w:cs="Arial"/>
                <w:sz w:val="22"/>
                <w:szCs w:val="22"/>
              </w:rPr>
              <w:t>Focus on the Statement or Rights and Statement of Principles to support workers to be empowered to support innovation, continuous improvement and the delivery of high-quality care.</w:t>
            </w:r>
          </w:p>
        </w:tc>
      </w:tr>
    </w:tbl>
    <w:p w14:paraId="57567C37" w14:textId="3ACA6F10" w:rsidR="00661CAB" w:rsidRPr="00AC06B7" w:rsidRDefault="0041043F" w:rsidP="0041043F">
      <w:pPr>
        <w:keepNext/>
        <w:keepLines/>
        <w:spacing w:before="240"/>
        <w:outlineLvl w:val="1"/>
        <w:rPr>
          <w:rStyle w:val="Heading2Char"/>
        </w:rPr>
      </w:pPr>
      <w:r>
        <w:br w:type="page"/>
      </w:r>
      <w:r w:rsidR="00661CAB" w:rsidRPr="00661CAB">
        <w:rPr>
          <w:rFonts w:eastAsiaTheme="majorEastAsia" w:cstheme="majorBidi"/>
          <w:color w:val="1E1544" w:themeColor="text1"/>
          <w:sz w:val="32"/>
          <w:szCs w:val="26"/>
        </w:rPr>
        <w:lastRenderedPageBreak/>
        <w:t xml:space="preserve">Aged Care Act – </w:t>
      </w:r>
      <w:r w:rsidR="00661CAB" w:rsidRPr="00661CAB">
        <w:rPr>
          <w:rFonts w:eastAsiaTheme="majorEastAsia" w:cstheme="majorBidi"/>
          <w:b/>
          <w:color w:val="1E1544" w:themeColor="text1"/>
          <w:sz w:val="32"/>
          <w:szCs w:val="26"/>
        </w:rPr>
        <w:t xml:space="preserve">What is </w:t>
      </w:r>
      <w:r w:rsidR="00390987">
        <w:rPr>
          <w:rFonts w:eastAsiaTheme="majorEastAsia" w:cstheme="majorBidi"/>
          <w:b/>
          <w:color w:val="1E1544" w:themeColor="text1"/>
          <w:sz w:val="32"/>
          <w:szCs w:val="26"/>
        </w:rPr>
        <w:t>staying the same</w:t>
      </w:r>
      <w:r w:rsidR="00661CAB" w:rsidRPr="00661CAB">
        <w:rPr>
          <w:rFonts w:eastAsiaTheme="majorEastAsia" w:cstheme="majorBidi"/>
          <w:bCs/>
          <w:color w:val="1E1544" w:themeColor="text1"/>
          <w:sz w:val="32"/>
          <w:szCs w:val="26"/>
        </w:rPr>
        <w:t xml:space="preserve"> for </w:t>
      </w:r>
      <w:r>
        <w:rPr>
          <w:rFonts w:eastAsiaTheme="majorEastAsia" w:cstheme="majorBidi"/>
          <w:bCs/>
          <w:color w:val="1E1544" w:themeColor="text1"/>
          <w:sz w:val="32"/>
          <w:szCs w:val="26"/>
        </w:rPr>
        <w:t>aged care workers</w:t>
      </w:r>
      <w:r w:rsidR="00661CAB" w:rsidRPr="00661CAB">
        <w:rPr>
          <w:rFonts w:eastAsiaTheme="majorEastAsia" w:cstheme="majorBidi"/>
          <w:bCs/>
          <w:color w:val="1E1544" w:themeColor="text1"/>
          <w:sz w:val="32"/>
          <w:szCs w:val="26"/>
        </w:rPr>
        <w:t>?</w:t>
      </w:r>
    </w:p>
    <w:tbl>
      <w:tblPr>
        <w:tblStyle w:val="GridTable1Light"/>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5B7369" w:rsidRPr="00716E4C" w14:paraId="1ABE34BF"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2BE840D1" w14:textId="7219F374" w:rsidR="0041043F" w:rsidRPr="00716E4C" w:rsidRDefault="0041043F">
            <w:pPr>
              <w:pStyle w:val="Introduction"/>
              <w:jc w:val="center"/>
            </w:pPr>
          </w:p>
        </w:tc>
        <w:tc>
          <w:tcPr>
            <w:tcW w:w="2371" w:type="dxa"/>
            <w:shd w:val="clear" w:color="auto" w:fill="E2DEF5" w:themeFill="text1" w:themeFillTint="1A"/>
          </w:tcPr>
          <w:p w14:paraId="080B6EEA"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A skilled workforce</w:t>
            </w:r>
          </w:p>
        </w:tc>
        <w:tc>
          <w:tcPr>
            <w:tcW w:w="2371" w:type="dxa"/>
            <w:shd w:val="clear" w:color="auto" w:fill="E2DEF5" w:themeFill="text1" w:themeFillTint="1A"/>
          </w:tcPr>
          <w:p w14:paraId="39AACA72"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Register and screening</w:t>
            </w:r>
          </w:p>
        </w:tc>
        <w:tc>
          <w:tcPr>
            <w:tcW w:w="2371" w:type="dxa"/>
            <w:shd w:val="clear" w:color="auto" w:fill="E2DEF5" w:themeFill="text1" w:themeFillTint="1A"/>
          </w:tcPr>
          <w:p w14:paraId="68253D2C"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Onboarding/ training</w:t>
            </w:r>
          </w:p>
        </w:tc>
        <w:tc>
          <w:tcPr>
            <w:tcW w:w="2371" w:type="dxa"/>
            <w:shd w:val="clear" w:color="auto" w:fill="E2DEF5" w:themeFill="text1" w:themeFillTint="1A"/>
          </w:tcPr>
          <w:p w14:paraId="77A89EF1"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Supporting and valuing expertise</w:t>
            </w:r>
          </w:p>
        </w:tc>
        <w:tc>
          <w:tcPr>
            <w:tcW w:w="2371" w:type="dxa"/>
            <w:shd w:val="clear" w:color="auto" w:fill="E2DEF5" w:themeFill="text1" w:themeFillTint="1A"/>
          </w:tcPr>
          <w:p w14:paraId="1AE67B37"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Delivering/support high quality care</w:t>
            </w:r>
          </w:p>
        </w:tc>
        <w:tc>
          <w:tcPr>
            <w:tcW w:w="2372" w:type="dxa"/>
            <w:shd w:val="clear" w:color="auto" w:fill="E2DEF5" w:themeFill="text1" w:themeFillTint="1A"/>
          </w:tcPr>
          <w:p w14:paraId="1711A39B"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Upskilling and ongoing training</w:t>
            </w:r>
          </w:p>
        </w:tc>
      </w:tr>
      <w:tr w:rsidR="005B7369" w:rsidRPr="00716E4C" w14:paraId="595447E0"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25DCD" w:themeColor="text1" w:themeTint="80"/>
              <w:bottom w:val="nil"/>
            </w:tcBorders>
            <w:textDirection w:val="btLr"/>
          </w:tcPr>
          <w:p w14:paraId="0DFA4926" w14:textId="16A76FA5" w:rsidR="005B7369" w:rsidRPr="005B7369" w:rsidRDefault="005B7369" w:rsidP="005B7369">
            <w:pPr>
              <w:jc w:val="center"/>
              <w:rPr>
                <w:rFonts w:cs="Arial"/>
                <w:sz w:val="28"/>
                <w:szCs w:val="28"/>
              </w:rPr>
            </w:pPr>
            <w:r w:rsidRPr="005B7369">
              <w:rPr>
                <w:sz w:val="28"/>
                <w:szCs w:val="28"/>
              </w:rPr>
              <w:t xml:space="preserve">What is staying </w:t>
            </w:r>
            <w:r w:rsidRPr="005B7369">
              <w:rPr>
                <w:b w:val="0"/>
                <w:bCs w:val="0"/>
                <w:sz w:val="28"/>
                <w:szCs w:val="28"/>
              </w:rPr>
              <w:t>the same?</w:t>
            </w:r>
          </w:p>
        </w:tc>
        <w:tc>
          <w:tcPr>
            <w:tcW w:w="2371" w:type="dxa"/>
          </w:tcPr>
          <w:p w14:paraId="32AB7633" w14:textId="77777777" w:rsidR="005B7369" w:rsidRPr="00DC63D5"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C63D5">
              <w:rPr>
                <w:rFonts w:cs="Arial"/>
                <w:sz w:val="22"/>
                <w:szCs w:val="22"/>
              </w:rPr>
              <w:t>The definition of an aged care worker continues to mean an individual employed or otherwise engaged, including as a volunteer.</w:t>
            </w:r>
          </w:p>
          <w:p w14:paraId="76E24330" w14:textId="77777777" w:rsidR="005B7369" w:rsidRPr="00DC63D5"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C63D5">
              <w:rPr>
                <w:rFonts w:cs="Arial"/>
                <w:sz w:val="22"/>
                <w:szCs w:val="22"/>
              </w:rPr>
              <w:t>Training for care and support workers including Fee-Free TAFE and subsidised training places.</w:t>
            </w:r>
          </w:p>
          <w:p w14:paraId="55D4EE67" w14:textId="61387F46"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C63D5">
              <w:rPr>
                <w:rFonts w:cs="Arial"/>
                <w:sz w:val="22"/>
                <w:szCs w:val="22"/>
              </w:rPr>
              <w:t>Providers ensure that staff have the right qualifications, skills and experience to provide the care and services.</w:t>
            </w:r>
          </w:p>
        </w:tc>
        <w:tc>
          <w:tcPr>
            <w:tcW w:w="2371" w:type="dxa"/>
          </w:tcPr>
          <w:p w14:paraId="3FE3DC0E" w14:textId="77777777" w:rsidR="005B7369" w:rsidRPr="001320E7"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320E7">
              <w:rPr>
                <w:rFonts w:cs="Arial"/>
                <w:sz w:val="22"/>
                <w:szCs w:val="22"/>
              </w:rPr>
              <w:t>Until worker screening commences workers will need either a police certificate (not older than 3 years) that does not record certain offences or a National Disability Insurance Scheme (NDIS) Worker Check.</w:t>
            </w:r>
          </w:p>
          <w:p w14:paraId="4FD06764" w14:textId="237DEAFE"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320E7">
              <w:rPr>
                <w:rFonts w:cs="Arial"/>
                <w:sz w:val="22"/>
                <w:szCs w:val="22"/>
              </w:rPr>
              <w:t>Notification of change in circumstances.</w:t>
            </w:r>
          </w:p>
        </w:tc>
        <w:tc>
          <w:tcPr>
            <w:tcW w:w="2371" w:type="dxa"/>
          </w:tcPr>
          <w:p w14:paraId="091B4A2A" w14:textId="1FF65918"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320E7">
              <w:rPr>
                <w:rFonts w:cs="Arial"/>
                <w:sz w:val="22"/>
                <w:szCs w:val="22"/>
              </w:rPr>
              <w:t>Education and training to ensure that workers understand their obligations and provide safe, high-quality care.</w:t>
            </w:r>
          </w:p>
        </w:tc>
        <w:tc>
          <w:tcPr>
            <w:tcW w:w="2371" w:type="dxa"/>
          </w:tcPr>
          <w:p w14:paraId="2FA93823" w14:textId="77777777" w:rsidR="005B7369" w:rsidRPr="008E44B8"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E44B8">
              <w:rPr>
                <w:rFonts w:cs="Arial"/>
                <w:sz w:val="22"/>
                <w:szCs w:val="22"/>
              </w:rPr>
              <w:t>​Delivery of care consistent with policies and procedures.</w:t>
            </w:r>
          </w:p>
          <w:p w14:paraId="09DB5A3B" w14:textId="77777777" w:rsidR="005B7369" w:rsidRPr="008E44B8"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E44B8">
              <w:rPr>
                <w:rFonts w:cs="Arial"/>
                <w:sz w:val="22"/>
                <w:szCs w:val="22"/>
              </w:rPr>
              <w:t>Workers are supported to provide feedback, without fear or retribution, to providers as outlined in strengthened Quality Standards.</w:t>
            </w:r>
          </w:p>
          <w:p w14:paraId="426E1984" w14:textId="3F212FCC"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E44B8">
              <w:rPr>
                <w:rFonts w:cs="Arial"/>
                <w:sz w:val="22"/>
                <w:szCs w:val="22"/>
              </w:rPr>
              <w:t>Your role in identifying and reducing any safety risks.</w:t>
            </w:r>
          </w:p>
        </w:tc>
        <w:tc>
          <w:tcPr>
            <w:tcW w:w="2371" w:type="dxa"/>
          </w:tcPr>
          <w:p w14:paraId="24251943"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Continued focus on person centred care.</w:t>
            </w:r>
          </w:p>
          <w:p w14:paraId="3E46DF1B"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Commitment to quality care.</w:t>
            </w:r>
          </w:p>
          <w:p w14:paraId="3FE9D863"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Continued compliance with the Code of Conduct.</w:t>
            </w:r>
          </w:p>
          <w:p w14:paraId="091F360B"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Compliance with regulatory requirements.</w:t>
            </w:r>
          </w:p>
          <w:p w14:paraId="30C2B113" w14:textId="0D6902F0"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Continue to presume capacity of older people to make their own decisions and use supported decision making principles and practices to continuously improve your service.</w:t>
            </w:r>
          </w:p>
        </w:tc>
        <w:tc>
          <w:tcPr>
            <w:tcW w:w="2372" w:type="dxa"/>
          </w:tcPr>
          <w:p w14:paraId="6FD004D0"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Access to Equip Aged Care learning Modules.</w:t>
            </w:r>
          </w:p>
          <w:p w14:paraId="3810031D" w14:textId="1A5599FF"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Access to Aged Care Learning Information Solutions (Alis) learning platform (ACQSC).</w:t>
            </w:r>
          </w:p>
        </w:tc>
      </w:tr>
    </w:tbl>
    <w:p w14:paraId="2C5189F4" w14:textId="77777777" w:rsidR="0014250A" w:rsidRPr="00AC06B7" w:rsidRDefault="0014250A" w:rsidP="00AC06B7">
      <w:r>
        <w:br w:type="page"/>
      </w:r>
    </w:p>
    <w:p w14:paraId="659816C5" w14:textId="6C340755" w:rsidR="00661CAB" w:rsidRPr="00AC06B7" w:rsidRDefault="00661CAB" w:rsidP="0014250A">
      <w:pPr>
        <w:keepNext/>
        <w:keepLines/>
        <w:spacing w:before="240"/>
        <w:outlineLvl w:val="1"/>
        <w:rPr>
          <w:rStyle w:val="Heading2Char"/>
        </w:rPr>
      </w:pPr>
      <w:bookmarkStart w:id="6" w:name="_Hlk196997212"/>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ED27FC">
        <w:rPr>
          <w:rFonts w:eastAsiaTheme="majorEastAsia" w:cstheme="majorBidi"/>
          <w:b/>
          <w:color w:val="1E1544" w:themeColor="text1"/>
          <w:sz w:val="32"/>
          <w:szCs w:val="26"/>
        </w:rPr>
        <w:t xml:space="preserve">new or changing </w:t>
      </w:r>
      <w:r w:rsidRPr="00661CAB">
        <w:rPr>
          <w:rFonts w:eastAsiaTheme="majorEastAsia" w:cstheme="majorBidi"/>
          <w:bCs/>
          <w:color w:val="1E1544" w:themeColor="text1"/>
          <w:sz w:val="32"/>
          <w:szCs w:val="26"/>
        </w:rPr>
        <w:t xml:space="preserve">for </w:t>
      </w:r>
      <w:r w:rsidR="00213C04">
        <w:rPr>
          <w:rFonts w:eastAsiaTheme="majorEastAsia" w:cstheme="majorBidi"/>
          <w:bCs/>
          <w:color w:val="1E1544" w:themeColor="text1"/>
          <w:sz w:val="32"/>
          <w:szCs w:val="26"/>
        </w:rPr>
        <w:t>assessors</w:t>
      </w:r>
      <w:r w:rsidRPr="00661CAB">
        <w:rPr>
          <w:rFonts w:eastAsiaTheme="majorEastAsia" w:cstheme="majorBidi"/>
          <w:bCs/>
          <w:color w:val="1E1544" w:themeColor="text1"/>
          <w:sz w:val="32"/>
          <w:szCs w:val="26"/>
        </w:rPr>
        <w:t>?</w:t>
      </w:r>
    </w:p>
    <w:tbl>
      <w:tblPr>
        <w:tblStyle w:val="GridTable1Light-Accent4"/>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E51A78" w:rsidRPr="00716E4C" w14:paraId="0145F0CC"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16AE79CE" w14:textId="18ECB82C" w:rsidR="0014250A" w:rsidRPr="00716E4C" w:rsidRDefault="0014250A">
            <w:pPr>
              <w:pStyle w:val="Introduction"/>
              <w:jc w:val="center"/>
            </w:pPr>
          </w:p>
        </w:tc>
        <w:tc>
          <w:tcPr>
            <w:tcW w:w="2371" w:type="dxa"/>
            <w:shd w:val="clear" w:color="auto" w:fill="F7DDE1" w:themeFill="accent4" w:themeFillTint="33"/>
          </w:tcPr>
          <w:p w14:paraId="3E839F70" w14:textId="6CAF3DE9" w:rsidR="0014250A" w:rsidRPr="00716E4C" w:rsidRDefault="006433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433A1">
              <w:rPr>
                <w:rFonts w:cs="Arial"/>
                <w:sz w:val="22"/>
                <w:szCs w:val="22"/>
              </w:rPr>
              <w:t>Client referral and triage</w:t>
            </w:r>
          </w:p>
        </w:tc>
        <w:tc>
          <w:tcPr>
            <w:tcW w:w="2371" w:type="dxa"/>
            <w:shd w:val="clear" w:color="auto" w:fill="F7DDE1" w:themeFill="accent4" w:themeFillTint="33"/>
          </w:tcPr>
          <w:p w14:paraId="5A887017" w14:textId="32BB51C9" w:rsidR="0014250A" w:rsidRPr="00716E4C" w:rsidRDefault="00AC0C2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C0C27">
              <w:rPr>
                <w:rFonts w:cs="Arial"/>
                <w:sz w:val="22"/>
                <w:szCs w:val="22"/>
              </w:rPr>
              <w:t>Needs assessment</w:t>
            </w:r>
          </w:p>
        </w:tc>
        <w:tc>
          <w:tcPr>
            <w:tcW w:w="2371" w:type="dxa"/>
            <w:shd w:val="clear" w:color="auto" w:fill="F7DDE1" w:themeFill="accent4" w:themeFillTint="33"/>
          </w:tcPr>
          <w:p w14:paraId="3F410B7B" w14:textId="69200281" w:rsidR="0014250A" w:rsidRPr="00716E4C" w:rsidRDefault="008C775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Support Plan completion</w:t>
            </w:r>
          </w:p>
        </w:tc>
        <w:tc>
          <w:tcPr>
            <w:tcW w:w="2371" w:type="dxa"/>
            <w:shd w:val="clear" w:color="auto" w:fill="F7DDE1" w:themeFill="accent4" w:themeFillTint="33"/>
          </w:tcPr>
          <w:p w14:paraId="3D624174" w14:textId="4827CC52" w:rsidR="0014250A" w:rsidRPr="00716E4C" w:rsidRDefault="008C775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Receiving quality care</w:t>
            </w:r>
          </w:p>
        </w:tc>
        <w:tc>
          <w:tcPr>
            <w:tcW w:w="2371" w:type="dxa"/>
            <w:shd w:val="clear" w:color="auto" w:fill="F7DDE1" w:themeFill="accent4" w:themeFillTint="33"/>
          </w:tcPr>
          <w:p w14:paraId="7D75DBD3" w14:textId="78829CEE" w:rsidR="0014250A" w:rsidRPr="00716E4C" w:rsidRDefault="008C775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Connecting to care</w:t>
            </w:r>
          </w:p>
        </w:tc>
        <w:tc>
          <w:tcPr>
            <w:tcW w:w="2372" w:type="dxa"/>
            <w:shd w:val="clear" w:color="auto" w:fill="F7DDE1" w:themeFill="accent4" w:themeFillTint="33"/>
          </w:tcPr>
          <w:p w14:paraId="2D7F21F1" w14:textId="7D22845B" w:rsidR="0014250A" w:rsidRPr="00716E4C" w:rsidRDefault="00657052">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Reviewing and reassessing</w:t>
            </w:r>
          </w:p>
        </w:tc>
      </w:tr>
      <w:tr w:rsidR="005B7369" w:rsidRPr="00716E4C" w14:paraId="252410F9" w14:textId="77777777" w:rsidTr="0018742A">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DA576C" w:themeColor="accent4"/>
              <w:bottom w:val="nil"/>
              <w:right w:val="nil"/>
            </w:tcBorders>
            <w:textDirection w:val="btLr"/>
            <w:vAlign w:val="center"/>
          </w:tcPr>
          <w:p w14:paraId="73337834" w14:textId="2317B807" w:rsidR="005B7369" w:rsidRPr="00122505" w:rsidRDefault="005B7369" w:rsidP="005B7369">
            <w:pPr>
              <w:jc w:val="center"/>
              <w:rPr>
                <w:rFonts w:cs="Arial"/>
                <w:sz w:val="28"/>
                <w:szCs w:val="28"/>
              </w:rPr>
            </w:pPr>
            <w:r w:rsidRPr="00122505">
              <w:rPr>
                <w:sz w:val="28"/>
                <w:szCs w:val="28"/>
              </w:rPr>
              <w:t xml:space="preserve">What is new </w:t>
            </w:r>
            <w:r w:rsidRPr="00122505">
              <w:rPr>
                <w:b w:val="0"/>
                <w:bCs w:val="0"/>
                <w:sz w:val="28"/>
                <w:szCs w:val="28"/>
              </w:rPr>
              <w:t>or changing?</w:t>
            </w:r>
          </w:p>
        </w:tc>
        <w:tc>
          <w:tcPr>
            <w:tcW w:w="2371" w:type="dxa"/>
            <w:tcBorders>
              <w:top w:val="single" w:sz="12" w:space="0" w:color="E89AA6" w:themeColor="accent4" w:themeTint="99"/>
              <w:left w:val="nil"/>
              <w:right w:val="nil"/>
            </w:tcBorders>
          </w:tcPr>
          <w:p w14:paraId="5BAD6B69"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First Nations Assessment Pathway.</w:t>
            </w:r>
          </w:p>
          <w:p w14:paraId="26FE8A7D"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New eligibility criteria to be applied.</w:t>
            </w:r>
          </w:p>
          <w:p w14:paraId="0E13B41B"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Eligibility assessment moves from My Aged Care to assessment organisation at triage.</w:t>
            </w:r>
          </w:p>
          <w:p w14:paraId="24F1295B"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Triage delegates will hold legally delegated powers and act on behalf of the System Governor.</w:t>
            </w:r>
          </w:p>
          <w:p w14:paraId="52CC4EB7"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Requests to register a supporter can be recorded but approvals sit with System Governor.</w:t>
            </w:r>
          </w:p>
          <w:p w14:paraId="31DA3A95" w14:textId="02F4A757"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Alternative entry arrangements such as urgent and GP referrals.</w:t>
            </w:r>
          </w:p>
        </w:tc>
        <w:tc>
          <w:tcPr>
            <w:tcW w:w="2371" w:type="dxa"/>
            <w:tcBorders>
              <w:top w:val="single" w:sz="12" w:space="0" w:color="E89AA6" w:themeColor="accent4" w:themeTint="99"/>
              <w:left w:val="nil"/>
              <w:right w:val="nil"/>
            </w:tcBorders>
          </w:tcPr>
          <w:p w14:paraId="3809462F" w14:textId="3E8E6B13"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Older people will be assessed to access all government funded aged care services, or can access services before an assessment under alternative entry.</w:t>
            </w:r>
          </w:p>
          <w:p w14:paraId="56D63AB6" w14:textId="1FBB23E6"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Assessors will now also conduct assessments for NATSIFAC</w:t>
            </w:r>
            <w:r w:rsidR="00994A27">
              <w:rPr>
                <w:rFonts w:cs="Arial"/>
                <w:sz w:val="22"/>
                <w:szCs w:val="22"/>
              </w:rPr>
              <w:t>P</w:t>
            </w:r>
            <w:r w:rsidRPr="000F4259">
              <w:rPr>
                <w:rFonts w:cs="Arial"/>
                <w:sz w:val="22"/>
                <w:szCs w:val="22"/>
              </w:rPr>
              <w:t xml:space="preserve"> and MPS</w:t>
            </w:r>
            <w:r w:rsidR="00994A27">
              <w:rPr>
                <w:rFonts w:cs="Arial"/>
                <w:sz w:val="22"/>
                <w:szCs w:val="22"/>
              </w:rPr>
              <w:t>P</w:t>
            </w:r>
            <w:r w:rsidRPr="000F4259">
              <w:rPr>
                <w:rFonts w:cs="Arial"/>
                <w:sz w:val="22"/>
                <w:szCs w:val="22"/>
              </w:rPr>
              <w:t>.</w:t>
            </w:r>
          </w:p>
          <w:p w14:paraId="73973673" w14:textId="23509653"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New service list.</w:t>
            </w:r>
          </w:p>
          <w:p w14:paraId="0B10CDEB"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Approvals shift from programs to service groups/classifications.</w:t>
            </w:r>
          </w:p>
          <w:p w14:paraId="357DAE07" w14:textId="1EB878D4"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Limited entry of younger people.</w:t>
            </w:r>
          </w:p>
        </w:tc>
        <w:tc>
          <w:tcPr>
            <w:tcW w:w="2371" w:type="dxa"/>
            <w:tcBorders>
              <w:top w:val="single" w:sz="12" w:space="0" w:color="E89AA6" w:themeColor="accent4" w:themeTint="99"/>
              <w:left w:val="nil"/>
              <w:right w:val="nil"/>
            </w:tcBorders>
          </w:tcPr>
          <w:p w14:paraId="3B71A870" w14:textId="77777777" w:rsidR="005B7369" w:rsidRPr="005E43D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Working with an older person's registered supporter/s.</w:t>
            </w:r>
          </w:p>
          <w:p w14:paraId="318A0F7F" w14:textId="1257AB94"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Service recommendations consider the entire service list (rather than services aligned to specific packages.</w:t>
            </w:r>
          </w:p>
        </w:tc>
        <w:tc>
          <w:tcPr>
            <w:tcW w:w="2371" w:type="dxa"/>
            <w:tcBorders>
              <w:top w:val="single" w:sz="12" w:space="0" w:color="E89AA6" w:themeColor="accent4" w:themeTint="99"/>
              <w:left w:val="nil"/>
              <w:right w:val="nil"/>
            </w:tcBorders>
          </w:tcPr>
          <w:p w14:paraId="3722A8D0" w14:textId="46BD6746" w:rsidR="005B7369" w:rsidRPr="00657052"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Delegate responsibility formally delegated via the Act.</w:t>
            </w:r>
          </w:p>
          <w:p w14:paraId="47B311E6" w14:textId="77777777" w:rsidR="005B7369" w:rsidRPr="00657052"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Changed process for Notice of Decision, which changes the way people are informed of the assessment outcome.</w:t>
            </w:r>
          </w:p>
          <w:p w14:paraId="3BC27255" w14:textId="77777777" w:rsidR="005B7369" w:rsidRPr="00657052"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Increase in scope of reviewable decisions.</w:t>
            </w:r>
          </w:p>
          <w:p w14:paraId="798C76A3" w14:textId="2E351D9A"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Formal decisions are now made and approved by assessment delegate for CHSP, MPS</w:t>
            </w:r>
            <w:r w:rsidR="00994A27">
              <w:rPr>
                <w:rFonts w:cs="Arial"/>
                <w:sz w:val="22"/>
                <w:szCs w:val="22"/>
              </w:rPr>
              <w:t>P</w:t>
            </w:r>
            <w:r w:rsidRPr="00657052">
              <w:rPr>
                <w:rFonts w:cs="Arial"/>
                <w:sz w:val="22"/>
                <w:szCs w:val="22"/>
              </w:rPr>
              <w:t xml:space="preserve"> and NATSIFAC</w:t>
            </w:r>
            <w:r w:rsidR="00994A27">
              <w:rPr>
                <w:rFonts w:cs="Arial"/>
                <w:sz w:val="22"/>
                <w:szCs w:val="22"/>
              </w:rPr>
              <w:t>P</w:t>
            </w:r>
            <w:r w:rsidRPr="00657052">
              <w:rPr>
                <w:rFonts w:cs="Arial"/>
                <w:sz w:val="22"/>
                <w:szCs w:val="22"/>
              </w:rPr>
              <w:t xml:space="preserve"> services.</w:t>
            </w:r>
          </w:p>
        </w:tc>
        <w:tc>
          <w:tcPr>
            <w:tcW w:w="2371" w:type="dxa"/>
            <w:tcBorders>
              <w:top w:val="single" w:sz="12" w:space="0" w:color="E89AA6" w:themeColor="accent4" w:themeTint="99"/>
              <w:left w:val="nil"/>
              <w:right w:val="nil"/>
            </w:tcBorders>
          </w:tcPr>
          <w:p w14:paraId="5FBC26B4" w14:textId="77777777"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No new responsibilities for Assessors.</w:t>
            </w:r>
          </w:p>
          <w:p w14:paraId="5025B10A" w14:textId="77777777"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Provider registration arrangements, including new registration categories.</w:t>
            </w:r>
          </w:p>
          <w:p w14:paraId="7ECD3908" w14:textId="5105AAD1"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Residential places are allocated to people directly.</w:t>
            </w:r>
          </w:p>
        </w:tc>
        <w:tc>
          <w:tcPr>
            <w:tcW w:w="2372" w:type="dxa"/>
            <w:tcBorders>
              <w:top w:val="single" w:sz="12" w:space="0" w:color="E89AA6" w:themeColor="accent4" w:themeTint="99"/>
              <w:left w:val="nil"/>
              <w:right w:val="nil"/>
            </w:tcBorders>
          </w:tcPr>
          <w:p w14:paraId="3E2BC741" w14:textId="6B2FC976"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Broader reconsideration decisions available under the Act.</w:t>
            </w:r>
          </w:p>
          <w:p w14:paraId="3087E8F9" w14:textId="77777777"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Information management including protected information arrangements.</w:t>
            </w:r>
          </w:p>
          <w:p w14:paraId="21506AF6" w14:textId="19B952A6"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Support Plan reviews to include access to end-of-life pathways for existing clients and adjustments to existing AT-HM funding tiers. Changes to the Support Plan are within the existing classification level.</w:t>
            </w:r>
          </w:p>
        </w:tc>
      </w:tr>
      <w:bookmarkEnd w:id="6"/>
    </w:tbl>
    <w:p w14:paraId="324884BE" w14:textId="77777777" w:rsidR="0081336A" w:rsidRPr="00AC06B7" w:rsidRDefault="0081336A" w:rsidP="00AC06B7">
      <w:r>
        <w:br w:type="page"/>
      </w:r>
    </w:p>
    <w:p w14:paraId="6D786CA5" w14:textId="0E59109D" w:rsidR="00661CAB" w:rsidRPr="00AC06B7" w:rsidRDefault="00661CAB" w:rsidP="0081336A">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81336A">
        <w:rPr>
          <w:rFonts w:eastAsiaTheme="majorEastAsia" w:cstheme="majorBidi"/>
          <w:b/>
          <w:color w:val="1E1544" w:themeColor="text1"/>
          <w:sz w:val="32"/>
          <w:szCs w:val="26"/>
        </w:rPr>
        <w:t>staying the same</w:t>
      </w:r>
      <w:r w:rsidRPr="00661CAB">
        <w:rPr>
          <w:rFonts w:eastAsiaTheme="majorEastAsia" w:cstheme="majorBidi"/>
          <w:bCs/>
          <w:color w:val="1E1544" w:themeColor="text1"/>
          <w:sz w:val="32"/>
          <w:szCs w:val="26"/>
        </w:rPr>
        <w:t xml:space="preserve"> for </w:t>
      </w:r>
      <w:r w:rsidR="0081336A">
        <w:rPr>
          <w:rFonts w:eastAsiaTheme="majorEastAsia" w:cstheme="majorBidi"/>
          <w:bCs/>
          <w:color w:val="1E1544" w:themeColor="text1"/>
          <w:sz w:val="32"/>
          <w:szCs w:val="26"/>
        </w:rPr>
        <w:t>assessors</w:t>
      </w:r>
      <w:r w:rsidRPr="00661CAB">
        <w:rPr>
          <w:rFonts w:eastAsiaTheme="majorEastAsia" w:cstheme="majorBidi"/>
          <w:bCs/>
          <w:color w:val="1E1544" w:themeColor="text1"/>
          <w:sz w:val="32"/>
          <w:szCs w:val="26"/>
        </w:rPr>
        <w:t>?</w:t>
      </w:r>
    </w:p>
    <w:tbl>
      <w:tblPr>
        <w:tblStyle w:val="GridTable1Light-Accent4"/>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DD537B" w:rsidRPr="00716E4C" w14:paraId="66EF3914"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right w:val="nil"/>
            </w:tcBorders>
            <w:textDirection w:val="btLr"/>
          </w:tcPr>
          <w:p w14:paraId="3FECFA6A" w14:textId="71BEF976" w:rsidR="0081336A" w:rsidRPr="00716E4C" w:rsidRDefault="0081336A">
            <w:pPr>
              <w:pStyle w:val="Introduction"/>
              <w:jc w:val="center"/>
            </w:pPr>
          </w:p>
        </w:tc>
        <w:tc>
          <w:tcPr>
            <w:tcW w:w="2371" w:type="dxa"/>
            <w:tcBorders>
              <w:left w:val="nil"/>
              <w:right w:val="nil"/>
            </w:tcBorders>
            <w:shd w:val="clear" w:color="auto" w:fill="F7DDE1" w:themeFill="accent4" w:themeFillTint="33"/>
          </w:tcPr>
          <w:p w14:paraId="014F93BF"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433A1">
              <w:rPr>
                <w:rFonts w:cs="Arial"/>
                <w:sz w:val="22"/>
                <w:szCs w:val="22"/>
              </w:rPr>
              <w:t>Client referral and triage</w:t>
            </w:r>
          </w:p>
        </w:tc>
        <w:tc>
          <w:tcPr>
            <w:tcW w:w="2371" w:type="dxa"/>
            <w:tcBorders>
              <w:left w:val="nil"/>
              <w:right w:val="nil"/>
            </w:tcBorders>
            <w:shd w:val="clear" w:color="auto" w:fill="F7DDE1" w:themeFill="accent4" w:themeFillTint="33"/>
          </w:tcPr>
          <w:p w14:paraId="64E3B4B1"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C0C27">
              <w:rPr>
                <w:rFonts w:cs="Arial"/>
                <w:sz w:val="22"/>
                <w:szCs w:val="22"/>
              </w:rPr>
              <w:t>Needs assessment</w:t>
            </w:r>
          </w:p>
        </w:tc>
        <w:tc>
          <w:tcPr>
            <w:tcW w:w="2371" w:type="dxa"/>
            <w:tcBorders>
              <w:left w:val="nil"/>
              <w:right w:val="nil"/>
            </w:tcBorders>
            <w:shd w:val="clear" w:color="auto" w:fill="F7DDE1" w:themeFill="accent4" w:themeFillTint="33"/>
          </w:tcPr>
          <w:p w14:paraId="0E97CDE3"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Support Plan completion</w:t>
            </w:r>
          </w:p>
        </w:tc>
        <w:tc>
          <w:tcPr>
            <w:tcW w:w="2371" w:type="dxa"/>
            <w:tcBorders>
              <w:left w:val="nil"/>
              <w:right w:val="nil"/>
            </w:tcBorders>
            <w:shd w:val="clear" w:color="auto" w:fill="F7DDE1" w:themeFill="accent4" w:themeFillTint="33"/>
          </w:tcPr>
          <w:p w14:paraId="70C22566"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Receiving quality care</w:t>
            </w:r>
          </w:p>
        </w:tc>
        <w:tc>
          <w:tcPr>
            <w:tcW w:w="2371" w:type="dxa"/>
            <w:tcBorders>
              <w:left w:val="nil"/>
              <w:right w:val="nil"/>
            </w:tcBorders>
            <w:shd w:val="clear" w:color="auto" w:fill="F7DDE1" w:themeFill="accent4" w:themeFillTint="33"/>
          </w:tcPr>
          <w:p w14:paraId="6321B323"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Connecting to care</w:t>
            </w:r>
          </w:p>
        </w:tc>
        <w:tc>
          <w:tcPr>
            <w:tcW w:w="2372" w:type="dxa"/>
            <w:tcBorders>
              <w:left w:val="nil"/>
              <w:right w:val="nil"/>
            </w:tcBorders>
            <w:shd w:val="clear" w:color="auto" w:fill="F7DDE1" w:themeFill="accent4" w:themeFillTint="33"/>
          </w:tcPr>
          <w:p w14:paraId="1EE233F0"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Reviewing and reassessing</w:t>
            </w:r>
          </w:p>
        </w:tc>
      </w:tr>
      <w:tr w:rsidR="00FE4E53" w:rsidRPr="00716E4C" w14:paraId="7D966978" w14:textId="77777777" w:rsidTr="00FE4E53">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DA576C" w:themeColor="accent4"/>
              <w:bottom w:val="nil"/>
              <w:right w:val="nil"/>
            </w:tcBorders>
            <w:textDirection w:val="btLr"/>
          </w:tcPr>
          <w:p w14:paraId="026DABA1" w14:textId="77BEDA63" w:rsidR="00FE4E53" w:rsidRPr="00FE4E53" w:rsidRDefault="00FE4E53" w:rsidP="00FE4E53">
            <w:pPr>
              <w:jc w:val="center"/>
              <w:rPr>
                <w:rFonts w:cs="Arial"/>
                <w:sz w:val="28"/>
                <w:szCs w:val="28"/>
              </w:rPr>
            </w:pPr>
            <w:r w:rsidRPr="00FE4E53">
              <w:rPr>
                <w:sz w:val="28"/>
                <w:szCs w:val="28"/>
              </w:rPr>
              <w:t xml:space="preserve">What is staying </w:t>
            </w:r>
            <w:r w:rsidRPr="00FE4E53">
              <w:rPr>
                <w:b w:val="0"/>
                <w:bCs w:val="0"/>
                <w:sz w:val="28"/>
                <w:szCs w:val="28"/>
              </w:rPr>
              <w:t>the same?</w:t>
            </w:r>
          </w:p>
        </w:tc>
        <w:tc>
          <w:tcPr>
            <w:tcW w:w="2371" w:type="dxa"/>
            <w:tcBorders>
              <w:top w:val="single" w:sz="12" w:space="0" w:color="E89AA6" w:themeColor="accent4" w:themeTint="99"/>
              <w:left w:val="nil"/>
              <w:right w:val="nil"/>
            </w:tcBorders>
          </w:tcPr>
          <w:p w14:paraId="434359E4" w14:textId="77777777" w:rsidR="00FE4E53" w:rsidRPr="00B873C1"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Single Assessment System workforce (started December 2024).</w:t>
            </w:r>
          </w:p>
          <w:p w14:paraId="09DC52C7" w14:textId="77777777" w:rsidR="00FE4E53" w:rsidRPr="00B873C1"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Referral channels and registration for aged care assessment remain the same.</w:t>
            </w:r>
          </w:p>
          <w:p w14:paraId="2676C3FD" w14:textId="646052B0"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Triage and allocation is based on urgency, priority and eligibility.</w:t>
            </w:r>
          </w:p>
        </w:tc>
        <w:tc>
          <w:tcPr>
            <w:tcW w:w="2371" w:type="dxa"/>
            <w:tcBorders>
              <w:top w:val="single" w:sz="12" w:space="0" w:color="E89AA6" w:themeColor="accent4" w:themeTint="99"/>
              <w:left w:val="nil"/>
              <w:right w:val="nil"/>
            </w:tcBorders>
          </w:tcPr>
          <w:p w14:paraId="58BA0E5B" w14:textId="77777777" w:rsidR="00FE4E53" w:rsidRPr="00B873C1"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Person centred care and rights-based approach maintained in line with Statement of Rights.</w:t>
            </w:r>
          </w:p>
          <w:p w14:paraId="5729E930" w14:textId="74C59957"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Continue to presume capacity of older people to make their own decisions and use supported decision making principles and practices to continuously improve your service.</w:t>
            </w:r>
          </w:p>
        </w:tc>
        <w:tc>
          <w:tcPr>
            <w:tcW w:w="2371" w:type="dxa"/>
            <w:tcBorders>
              <w:top w:val="single" w:sz="12" w:space="0" w:color="E89AA6" w:themeColor="accent4" w:themeTint="99"/>
              <w:left w:val="nil"/>
              <w:right w:val="nil"/>
            </w:tcBorders>
          </w:tcPr>
          <w:p w14:paraId="26D99855" w14:textId="051AF3F4"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Person centred care and rights-based approach maintained in line with Statement of Rights.</w:t>
            </w:r>
          </w:p>
        </w:tc>
        <w:tc>
          <w:tcPr>
            <w:tcW w:w="2371" w:type="dxa"/>
            <w:tcBorders>
              <w:top w:val="single" w:sz="12" w:space="0" w:color="E89AA6" w:themeColor="accent4" w:themeTint="99"/>
              <w:left w:val="nil"/>
              <w:right w:val="nil"/>
            </w:tcBorders>
          </w:tcPr>
          <w:p w14:paraId="2C91D14A" w14:textId="213EA167"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DF6">
              <w:rPr>
                <w:rFonts w:cs="Arial"/>
                <w:sz w:val="22"/>
                <w:szCs w:val="22"/>
              </w:rPr>
              <w:t>If approved, the older person receives a Notice of Decision (approval letter) with notification of funding and referral code(s) (if available), and support plan.</w:t>
            </w:r>
          </w:p>
        </w:tc>
        <w:tc>
          <w:tcPr>
            <w:tcW w:w="2371" w:type="dxa"/>
            <w:tcBorders>
              <w:top w:val="single" w:sz="12" w:space="0" w:color="E89AA6" w:themeColor="accent4" w:themeTint="99"/>
              <w:left w:val="nil"/>
              <w:right w:val="nil"/>
            </w:tcBorders>
          </w:tcPr>
          <w:p w14:paraId="2119E317" w14:textId="77777777" w:rsidR="00FE4E53" w:rsidRPr="00981FD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FDC">
              <w:rPr>
                <w:rFonts w:cs="Arial"/>
                <w:sz w:val="22"/>
                <w:szCs w:val="22"/>
              </w:rPr>
              <w:t>Older people continue to find, or be referred to, the right provider for them.</w:t>
            </w:r>
          </w:p>
          <w:p w14:paraId="4A6190D3" w14:textId="7929AB70"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FDC">
              <w:rPr>
                <w:rFonts w:cs="Arial"/>
                <w:sz w:val="22"/>
                <w:szCs w:val="22"/>
              </w:rPr>
              <w:t>Assessors will continue to refer older people to linking support programs if identified they require assistance.</w:t>
            </w:r>
          </w:p>
        </w:tc>
        <w:tc>
          <w:tcPr>
            <w:tcW w:w="2372" w:type="dxa"/>
            <w:tcBorders>
              <w:top w:val="single" w:sz="12" w:space="0" w:color="E89AA6" w:themeColor="accent4" w:themeTint="99"/>
              <w:left w:val="nil"/>
              <w:right w:val="nil"/>
            </w:tcBorders>
          </w:tcPr>
          <w:p w14:paraId="010ABF66" w14:textId="77777777" w:rsidR="00FE4E53" w:rsidRPr="00EA14CE"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EA14CE">
              <w:rPr>
                <w:rFonts w:cs="Arial"/>
                <w:sz w:val="22"/>
                <w:szCs w:val="22"/>
              </w:rPr>
              <w:t>Support Plan Reviews continue to check-in on whether an older person’s needs have changed.</w:t>
            </w:r>
          </w:p>
          <w:p w14:paraId="7C55AB37" w14:textId="24CD9619"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EA14CE">
              <w:rPr>
                <w:rFonts w:cs="Arial"/>
                <w:sz w:val="22"/>
                <w:szCs w:val="22"/>
              </w:rPr>
              <w:t>Reassessment is required if the older person's needs have changed, or if beyond current funding.</w:t>
            </w:r>
          </w:p>
        </w:tc>
      </w:tr>
    </w:tbl>
    <w:p w14:paraId="6DFCE498" w14:textId="77777777" w:rsidR="002858C0" w:rsidRPr="00AC06B7" w:rsidRDefault="002858C0" w:rsidP="00AC06B7">
      <w:r>
        <w:br w:type="page"/>
      </w:r>
    </w:p>
    <w:p w14:paraId="6E72BFF6" w14:textId="138167EB" w:rsidR="00661CAB" w:rsidRPr="00AC06B7" w:rsidRDefault="00661CAB" w:rsidP="002858C0">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2858C0">
        <w:rPr>
          <w:rFonts w:eastAsiaTheme="majorEastAsia" w:cstheme="majorBidi"/>
          <w:b/>
          <w:color w:val="1E1544" w:themeColor="text1"/>
          <w:sz w:val="32"/>
          <w:szCs w:val="26"/>
        </w:rPr>
        <w:t>new or changin</w:t>
      </w:r>
      <w:r w:rsidR="0035595A">
        <w:rPr>
          <w:rFonts w:eastAsiaTheme="majorEastAsia" w:cstheme="majorBidi"/>
          <w:b/>
          <w:color w:val="1E1544" w:themeColor="text1"/>
          <w:sz w:val="32"/>
          <w:szCs w:val="26"/>
        </w:rPr>
        <w:t>g and what is staying the same</w:t>
      </w:r>
      <w:r w:rsidR="002858C0">
        <w:rPr>
          <w:rFonts w:eastAsiaTheme="majorEastAsia" w:cstheme="majorBidi"/>
          <w:b/>
          <w:color w:val="1E1544" w:themeColor="text1"/>
          <w:sz w:val="32"/>
          <w:szCs w:val="26"/>
        </w:rPr>
        <w:t xml:space="preserve"> </w:t>
      </w:r>
      <w:r w:rsidRPr="00661CAB">
        <w:rPr>
          <w:rFonts w:eastAsiaTheme="majorEastAsia" w:cstheme="majorBidi"/>
          <w:bCs/>
          <w:color w:val="1E1544" w:themeColor="text1"/>
          <w:sz w:val="32"/>
          <w:szCs w:val="26"/>
        </w:rPr>
        <w:t xml:space="preserve">for </w:t>
      </w:r>
      <w:r w:rsidR="0035595A">
        <w:rPr>
          <w:rFonts w:eastAsiaTheme="majorEastAsia" w:cstheme="majorBidi"/>
          <w:bCs/>
          <w:color w:val="1E1544" w:themeColor="text1"/>
          <w:sz w:val="32"/>
          <w:szCs w:val="26"/>
        </w:rPr>
        <w:t>primary care and allied health</w:t>
      </w:r>
      <w:r w:rsidRPr="00661CAB">
        <w:rPr>
          <w:rFonts w:eastAsiaTheme="majorEastAsia" w:cstheme="majorBidi"/>
          <w:bCs/>
          <w:color w:val="1E1544" w:themeColor="text1"/>
          <w:sz w:val="32"/>
          <w:szCs w:val="26"/>
        </w:rPr>
        <w:t>?</w:t>
      </w:r>
    </w:p>
    <w:tbl>
      <w:tblPr>
        <w:tblStyle w:val="GridTable1Light-Accent6"/>
        <w:tblW w:w="15153" w:type="dxa"/>
        <w:tblLayout w:type="fixed"/>
        <w:tblLook w:val="04A0" w:firstRow="1" w:lastRow="0" w:firstColumn="1" w:lastColumn="0" w:noHBand="0" w:noVBand="1"/>
      </w:tblPr>
      <w:tblGrid>
        <w:gridCol w:w="784"/>
        <w:gridCol w:w="5155"/>
        <w:gridCol w:w="4961"/>
        <w:gridCol w:w="4253"/>
      </w:tblGrid>
      <w:tr w:rsidR="00100E0C" w:rsidRPr="00716E4C" w14:paraId="64A3F3FC"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right w:val="nil"/>
            </w:tcBorders>
            <w:textDirection w:val="btLr"/>
          </w:tcPr>
          <w:p w14:paraId="433B2CCA" w14:textId="3089A0E1" w:rsidR="00100E0C" w:rsidRPr="00716E4C" w:rsidRDefault="00100E0C">
            <w:pPr>
              <w:pStyle w:val="Introduction"/>
              <w:jc w:val="center"/>
            </w:pPr>
          </w:p>
        </w:tc>
        <w:tc>
          <w:tcPr>
            <w:tcW w:w="5155" w:type="dxa"/>
            <w:tcBorders>
              <w:left w:val="nil"/>
              <w:bottom w:val="single" w:sz="12" w:space="0" w:color="F3B223" w:themeColor="accent6"/>
              <w:right w:val="nil"/>
            </w:tcBorders>
            <w:shd w:val="clear" w:color="auto" w:fill="FCEFD2" w:themeFill="accent6" w:themeFillTint="33"/>
          </w:tcPr>
          <w:p w14:paraId="503214ED" w14:textId="77777777" w:rsidR="00100E0C" w:rsidRPr="00716E4C" w:rsidRDefault="00100E0C">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433A1">
              <w:rPr>
                <w:rFonts w:cs="Arial"/>
                <w:sz w:val="22"/>
                <w:szCs w:val="22"/>
              </w:rPr>
              <w:t>Client referral and triage</w:t>
            </w:r>
          </w:p>
        </w:tc>
        <w:tc>
          <w:tcPr>
            <w:tcW w:w="4961" w:type="dxa"/>
            <w:tcBorders>
              <w:left w:val="nil"/>
              <w:bottom w:val="single" w:sz="12" w:space="0" w:color="F3B223" w:themeColor="accent6"/>
              <w:right w:val="nil"/>
            </w:tcBorders>
            <w:shd w:val="clear" w:color="auto" w:fill="FCEFD2" w:themeFill="accent6" w:themeFillTint="33"/>
          </w:tcPr>
          <w:p w14:paraId="2C59B63E" w14:textId="77777777" w:rsidR="00100E0C" w:rsidRPr="00716E4C" w:rsidRDefault="00100E0C">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C0C27">
              <w:rPr>
                <w:rFonts w:cs="Arial"/>
                <w:sz w:val="22"/>
                <w:szCs w:val="22"/>
              </w:rPr>
              <w:t>Needs assessment</w:t>
            </w:r>
          </w:p>
        </w:tc>
        <w:tc>
          <w:tcPr>
            <w:tcW w:w="4253" w:type="dxa"/>
            <w:tcBorders>
              <w:left w:val="nil"/>
              <w:bottom w:val="single" w:sz="12" w:space="0" w:color="F3B223" w:themeColor="accent6"/>
              <w:right w:val="nil"/>
            </w:tcBorders>
            <w:shd w:val="clear" w:color="auto" w:fill="FCEFD2" w:themeFill="accent6" w:themeFillTint="33"/>
          </w:tcPr>
          <w:p w14:paraId="08B142D1" w14:textId="77777777" w:rsidR="00100E0C" w:rsidRPr="00716E4C" w:rsidRDefault="00100E0C">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Support Plan completion</w:t>
            </w:r>
          </w:p>
        </w:tc>
      </w:tr>
      <w:tr w:rsidR="002D6EF8" w:rsidRPr="00716E4C" w14:paraId="5758F56E" w14:textId="77777777" w:rsidTr="009B5795">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3B223" w:themeColor="accent6"/>
              <w:bottom w:val="nil"/>
              <w:right w:val="nil"/>
            </w:tcBorders>
            <w:textDirection w:val="btLr"/>
            <w:vAlign w:val="center"/>
          </w:tcPr>
          <w:p w14:paraId="00D40249" w14:textId="704EBF56" w:rsidR="002D6EF8" w:rsidRPr="002D6EF8" w:rsidRDefault="002D6EF8" w:rsidP="009B5795">
            <w:pPr>
              <w:jc w:val="center"/>
              <w:rPr>
                <w:rFonts w:cs="Arial"/>
                <w:sz w:val="28"/>
                <w:szCs w:val="28"/>
              </w:rPr>
            </w:pPr>
            <w:r w:rsidRPr="002D6EF8">
              <w:rPr>
                <w:sz w:val="28"/>
                <w:szCs w:val="28"/>
              </w:rPr>
              <w:t xml:space="preserve">What is new </w:t>
            </w:r>
            <w:r w:rsidRPr="002D6EF8">
              <w:rPr>
                <w:b w:val="0"/>
                <w:bCs w:val="0"/>
                <w:sz w:val="28"/>
                <w:szCs w:val="28"/>
              </w:rPr>
              <w:t>or changing?</w:t>
            </w:r>
          </w:p>
        </w:tc>
        <w:tc>
          <w:tcPr>
            <w:tcW w:w="5155" w:type="dxa"/>
            <w:tcBorders>
              <w:top w:val="single" w:sz="12" w:space="0" w:color="F3B223" w:themeColor="accent6"/>
              <w:left w:val="nil"/>
              <w:bottom w:val="single" w:sz="12" w:space="0" w:color="F3B223" w:themeColor="accent6"/>
              <w:right w:val="nil"/>
            </w:tcBorders>
          </w:tcPr>
          <w:p w14:paraId="60686809"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First Nations Assessment Pathway.</w:t>
            </w:r>
          </w:p>
          <w:p w14:paraId="206BFFFB"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New eligibility criteria to be applied.</w:t>
            </w:r>
          </w:p>
          <w:p w14:paraId="6A4815E6"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Eligibility assessment moves from My Aged Care to assessment organisation at triage.</w:t>
            </w:r>
          </w:p>
          <w:p w14:paraId="6A7D10F6"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Triage delegates will hold legally delegated powers and act on behalf of the System Governor.</w:t>
            </w:r>
          </w:p>
          <w:p w14:paraId="5B00A999"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Requests to register a supporter can be recorded but approvals sit with System Governor.</w:t>
            </w:r>
          </w:p>
          <w:p w14:paraId="43773291" w14:textId="77777777" w:rsidR="002D6EF8" w:rsidRPr="00716E4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Alternative entry arrangements such as urgent and GP referrals.</w:t>
            </w:r>
          </w:p>
        </w:tc>
        <w:tc>
          <w:tcPr>
            <w:tcW w:w="4961" w:type="dxa"/>
            <w:tcBorders>
              <w:top w:val="single" w:sz="12" w:space="0" w:color="F3B223" w:themeColor="accent6"/>
              <w:left w:val="nil"/>
              <w:bottom w:val="single" w:sz="12" w:space="0" w:color="F3B223" w:themeColor="accent6"/>
              <w:right w:val="nil"/>
            </w:tcBorders>
          </w:tcPr>
          <w:p w14:paraId="4EDBB24D"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Older people will be assessed to access all government funded aged care services, or can access services before an assessment under alternative entry.</w:t>
            </w:r>
          </w:p>
          <w:p w14:paraId="5D5414B4" w14:textId="5564C22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Assessors will now also conduct assessments for NATSIFAC</w:t>
            </w:r>
            <w:r w:rsidR="00994A27">
              <w:rPr>
                <w:rFonts w:cs="Arial"/>
                <w:sz w:val="22"/>
                <w:szCs w:val="22"/>
              </w:rPr>
              <w:t>P</w:t>
            </w:r>
            <w:r w:rsidRPr="000F4259">
              <w:rPr>
                <w:rFonts w:cs="Arial"/>
                <w:sz w:val="22"/>
                <w:szCs w:val="22"/>
              </w:rPr>
              <w:t xml:space="preserve"> and MPS</w:t>
            </w:r>
            <w:r w:rsidR="00994A27">
              <w:rPr>
                <w:rFonts w:cs="Arial"/>
                <w:sz w:val="22"/>
                <w:szCs w:val="22"/>
              </w:rPr>
              <w:t>P</w:t>
            </w:r>
            <w:r w:rsidRPr="000F4259">
              <w:rPr>
                <w:rFonts w:cs="Arial"/>
                <w:sz w:val="22"/>
                <w:szCs w:val="22"/>
              </w:rPr>
              <w:t>.</w:t>
            </w:r>
          </w:p>
          <w:p w14:paraId="7DAB2A55"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 xml:space="preserve">New service list. </w:t>
            </w:r>
          </w:p>
          <w:p w14:paraId="2A840321"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Approvals shift from programs to service groups/classifications.</w:t>
            </w:r>
          </w:p>
          <w:p w14:paraId="2578D365" w14:textId="77777777" w:rsidR="002D6EF8" w:rsidRPr="00716E4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Limited entry of younger people.</w:t>
            </w:r>
          </w:p>
        </w:tc>
        <w:tc>
          <w:tcPr>
            <w:tcW w:w="4253" w:type="dxa"/>
            <w:tcBorders>
              <w:top w:val="single" w:sz="12" w:space="0" w:color="F3B223" w:themeColor="accent6"/>
              <w:left w:val="nil"/>
              <w:bottom w:val="single" w:sz="12" w:space="0" w:color="F3B223" w:themeColor="accent6"/>
              <w:right w:val="nil"/>
            </w:tcBorders>
          </w:tcPr>
          <w:p w14:paraId="27528B55" w14:textId="77777777" w:rsidR="002D6EF8" w:rsidRPr="005E43D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Working with an older person's registered supporter/s.</w:t>
            </w:r>
          </w:p>
          <w:p w14:paraId="24B7F3DA" w14:textId="77777777" w:rsidR="002D6EF8" w:rsidRPr="00716E4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Service recommendations consider the entire service list (rather than services aligned to specific packages.</w:t>
            </w:r>
          </w:p>
        </w:tc>
      </w:tr>
      <w:tr w:rsidR="002D6EF8" w:rsidRPr="00716E4C" w14:paraId="113D58AA" w14:textId="77777777" w:rsidTr="009B5795">
        <w:trPr>
          <w:cantSplit/>
          <w:trHeight w:val="1134"/>
        </w:trPr>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3B223" w:themeColor="accent6"/>
              <w:bottom w:val="nil"/>
              <w:right w:val="nil"/>
            </w:tcBorders>
            <w:textDirection w:val="btLr"/>
            <w:vAlign w:val="center"/>
          </w:tcPr>
          <w:p w14:paraId="4B000F91" w14:textId="194D83AE" w:rsidR="002D6EF8" w:rsidRPr="008A6067" w:rsidRDefault="002D6EF8" w:rsidP="009B5795">
            <w:pPr>
              <w:ind w:left="113" w:right="113"/>
              <w:jc w:val="center"/>
              <w:rPr>
                <w:rFonts w:cs="Arial"/>
                <w:sz w:val="28"/>
                <w:szCs w:val="28"/>
              </w:rPr>
            </w:pPr>
            <w:r w:rsidRPr="008A6067">
              <w:rPr>
                <w:sz w:val="28"/>
                <w:szCs w:val="28"/>
              </w:rPr>
              <w:t xml:space="preserve">What is </w:t>
            </w:r>
            <w:r>
              <w:rPr>
                <w:sz w:val="28"/>
                <w:szCs w:val="28"/>
              </w:rPr>
              <w:t>staying</w:t>
            </w:r>
            <w:r w:rsidRPr="008A6067">
              <w:rPr>
                <w:sz w:val="28"/>
                <w:szCs w:val="28"/>
              </w:rPr>
              <w:t xml:space="preserve"> </w:t>
            </w:r>
            <w:r>
              <w:rPr>
                <w:b w:val="0"/>
                <w:bCs w:val="0"/>
                <w:sz w:val="28"/>
                <w:szCs w:val="28"/>
              </w:rPr>
              <w:t>the same</w:t>
            </w:r>
            <w:r w:rsidRPr="008A6067">
              <w:rPr>
                <w:b w:val="0"/>
                <w:bCs w:val="0"/>
                <w:sz w:val="28"/>
                <w:szCs w:val="28"/>
              </w:rPr>
              <w:t>?</w:t>
            </w:r>
          </w:p>
        </w:tc>
        <w:tc>
          <w:tcPr>
            <w:tcW w:w="5155" w:type="dxa"/>
            <w:tcBorders>
              <w:top w:val="single" w:sz="12" w:space="0" w:color="F3B223" w:themeColor="accent6"/>
              <w:left w:val="nil"/>
              <w:right w:val="nil"/>
            </w:tcBorders>
          </w:tcPr>
          <w:p w14:paraId="62ED3DAE" w14:textId="77777777" w:rsidR="002D6EF8" w:rsidRPr="00595C31"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95C31">
              <w:rPr>
                <w:rFonts w:cs="Arial"/>
                <w:sz w:val="22"/>
                <w:szCs w:val="22"/>
              </w:rPr>
              <w:t>Health professionals continue to consider the aged care needs of their patients to determine if they would benefit from aged care services.</w:t>
            </w:r>
          </w:p>
          <w:p w14:paraId="42642603" w14:textId="77777777" w:rsidR="002D6EF8" w:rsidRPr="00595C31"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95C31">
              <w:rPr>
                <w:rFonts w:cs="Arial"/>
                <w:sz w:val="22"/>
                <w:szCs w:val="22"/>
              </w:rPr>
              <w:t>Health professionals continue to deliver services to older people in hospitals, general practices, through telehealth within residential aged care homes and other health care settings.</w:t>
            </w:r>
          </w:p>
          <w:p w14:paraId="5C62045E" w14:textId="171306DA"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95C31">
              <w:rPr>
                <w:rFonts w:cs="Arial"/>
                <w:sz w:val="22"/>
                <w:szCs w:val="22"/>
              </w:rPr>
              <w:t>Continue to presume capacity of older people to make their own decisions and use supported decision making principles and practices to continuously improve your service.</w:t>
            </w:r>
          </w:p>
        </w:tc>
        <w:tc>
          <w:tcPr>
            <w:tcW w:w="4961" w:type="dxa"/>
            <w:tcBorders>
              <w:top w:val="single" w:sz="12" w:space="0" w:color="F3B223" w:themeColor="accent6"/>
              <w:left w:val="nil"/>
              <w:right w:val="nil"/>
            </w:tcBorders>
          </w:tcPr>
          <w:p w14:paraId="5AD8C715"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Making referrals for needs assessments to My Aged Care or other specific support services e.g. Dementia Australia.</w:t>
            </w:r>
          </w:p>
          <w:p w14:paraId="495A545C"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Hospital discharge assessments.</w:t>
            </w:r>
          </w:p>
          <w:p w14:paraId="29631E32"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Health professional may determine that a patient requires access to aged care services or if patient is already accessing aged care, they may require a reassessment.</w:t>
            </w:r>
          </w:p>
          <w:p w14:paraId="374E6A0F" w14:textId="5A8A36A9"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Obtaining client’s consent to make a referral or current access.</w:t>
            </w:r>
          </w:p>
        </w:tc>
        <w:tc>
          <w:tcPr>
            <w:tcW w:w="4253" w:type="dxa"/>
            <w:tcBorders>
              <w:top w:val="single" w:sz="12" w:space="0" w:color="F3B223" w:themeColor="accent6"/>
              <w:left w:val="nil"/>
              <w:right w:val="nil"/>
            </w:tcBorders>
          </w:tcPr>
          <w:p w14:paraId="65EBF488"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Contacting My Aged Care Service Provider and Assessor Helpline to access patient referral for service information.</w:t>
            </w:r>
          </w:p>
          <w:p w14:paraId="2810E684"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Health professionals can access and contribute to patient information in My Health Record.</w:t>
            </w:r>
          </w:p>
          <w:p w14:paraId="5647881B" w14:textId="2B681904" w:rsidR="002D6EF8" w:rsidRPr="005E43D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My Health Record  is used to coordinate care and improve health outcomes for older people.</w:t>
            </w:r>
          </w:p>
        </w:tc>
      </w:tr>
    </w:tbl>
    <w:p w14:paraId="03357AB1" w14:textId="77777777" w:rsidR="009339FF" w:rsidRPr="00AC06B7" w:rsidRDefault="009339FF" w:rsidP="00AC06B7">
      <w:r>
        <w:br w:type="page"/>
      </w:r>
    </w:p>
    <w:p w14:paraId="072855BD" w14:textId="1B34EC37" w:rsidR="00661CAB" w:rsidRPr="00AC06B7" w:rsidRDefault="00661CAB" w:rsidP="00B5307F">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B5307F">
        <w:rPr>
          <w:rFonts w:eastAsiaTheme="majorEastAsia" w:cstheme="majorBidi"/>
          <w:b/>
          <w:color w:val="1E1544" w:themeColor="text1"/>
          <w:sz w:val="32"/>
          <w:szCs w:val="26"/>
        </w:rPr>
        <w:t xml:space="preserve">new or changing and what is staying the same </w:t>
      </w:r>
      <w:r w:rsidRPr="00661CAB">
        <w:rPr>
          <w:rFonts w:eastAsiaTheme="majorEastAsia" w:cstheme="majorBidi"/>
          <w:bCs/>
          <w:color w:val="1E1544" w:themeColor="text1"/>
          <w:sz w:val="32"/>
          <w:szCs w:val="26"/>
        </w:rPr>
        <w:t xml:space="preserve">for </w:t>
      </w:r>
      <w:r w:rsidR="00CB01D0">
        <w:rPr>
          <w:rFonts w:eastAsiaTheme="majorEastAsia" w:cstheme="majorBidi"/>
          <w:bCs/>
          <w:color w:val="1E1544" w:themeColor="text1"/>
          <w:sz w:val="32"/>
          <w:szCs w:val="26"/>
        </w:rPr>
        <w:t>software vendors</w:t>
      </w:r>
      <w:r w:rsidRPr="00661CAB">
        <w:rPr>
          <w:rFonts w:eastAsiaTheme="majorEastAsia" w:cstheme="majorBidi"/>
          <w:bCs/>
          <w:color w:val="1E1544" w:themeColor="text1"/>
          <w:sz w:val="32"/>
          <w:szCs w:val="26"/>
        </w:rPr>
        <w:t>?</w:t>
      </w:r>
    </w:p>
    <w:tbl>
      <w:tblPr>
        <w:tblStyle w:val="GridTable1Light-Accent2"/>
        <w:tblW w:w="15012" w:type="dxa"/>
        <w:tblLayout w:type="fixed"/>
        <w:tblLook w:val="04A0" w:firstRow="1" w:lastRow="0" w:firstColumn="1" w:lastColumn="0" w:noHBand="0" w:noVBand="1"/>
      </w:tblPr>
      <w:tblGrid>
        <w:gridCol w:w="1119"/>
        <w:gridCol w:w="3473"/>
        <w:gridCol w:w="3473"/>
        <w:gridCol w:w="3473"/>
        <w:gridCol w:w="3474"/>
      </w:tblGrid>
      <w:tr w:rsidR="00CB01D0" w:rsidRPr="00716E4C" w14:paraId="07506CC7" w14:textId="47635EBA"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9" w:type="dxa"/>
            <w:tcBorders>
              <w:top w:val="nil"/>
              <w:left w:val="nil"/>
              <w:bottom w:val="nil"/>
              <w:right w:val="nil"/>
            </w:tcBorders>
            <w:textDirection w:val="btLr"/>
          </w:tcPr>
          <w:p w14:paraId="316DEA49" w14:textId="2F13C438" w:rsidR="00CB01D0" w:rsidRPr="00716E4C" w:rsidRDefault="00CB01D0">
            <w:pPr>
              <w:pStyle w:val="Introduction"/>
              <w:jc w:val="center"/>
            </w:pPr>
          </w:p>
        </w:tc>
        <w:tc>
          <w:tcPr>
            <w:tcW w:w="3473" w:type="dxa"/>
            <w:tcBorders>
              <w:left w:val="nil"/>
              <w:right w:val="nil"/>
            </w:tcBorders>
            <w:shd w:val="clear" w:color="auto" w:fill="E3F2D9" w:themeFill="accent2" w:themeFillTint="33"/>
          </w:tcPr>
          <w:p w14:paraId="60C1B5F4" w14:textId="6716B286" w:rsidR="00CB01D0" w:rsidRPr="00716E4C" w:rsidRDefault="00564F74">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64F74">
              <w:rPr>
                <w:rFonts w:cs="Arial"/>
                <w:sz w:val="22"/>
                <w:szCs w:val="22"/>
              </w:rPr>
              <w:t xml:space="preserve">Ensure better technology connections between providers </w:t>
            </w:r>
            <w:r>
              <w:rPr>
                <w:rFonts w:cs="Arial"/>
                <w:sz w:val="22"/>
                <w:szCs w:val="22"/>
              </w:rPr>
              <w:t>and</w:t>
            </w:r>
            <w:r w:rsidRPr="00564F74">
              <w:rPr>
                <w:rFonts w:cs="Arial"/>
                <w:sz w:val="22"/>
                <w:szCs w:val="22"/>
              </w:rPr>
              <w:t xml:space="preserve"> government</w:t>
            </w:r>
          </w:p>
        </w:tc>
        <w:tc>
          <w:tcPr>
            <w:tcW w:w="3473" w:type="dxa"/>
            <w:tcBorders>
              <w:left w:val="nil"/>
              <w:right w:val="nil"/>
            </w:tcBorders>
            <w:shd w:val="clear" w:color="auto" w:fill="E3F2D9" w:themeFill="accent2" w:themeFillTint="33"/>
          </w:tcPr>
          <w:p w14:paraId="026E3DC4" w14:textId="16FB7A41" w:rsidR="00CB01D0" w:rsidRPr="00716E4C" w:rsidRDefault="00564F74">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64F74">
              <w:rPr>
                <w:rFonts w:cs="Arial"/>
                <w:sz w:val="22"/>
                <w:szCs w:val="22"/>
              </w:rPr>
              <w:t>Streamline reporting and data exchange</w:t>
            </w:r>
          </w:p>
        </w:tc>
        <w:tc>
          <w:tcPr>
            <w:tcW w:w="3473" w:type="dxa"/>
            <w:tcBorders>
              <w:left w:val="nil"/>
              <w:right w:val="nil"/>
            </w:tcBorders>
            <w:shd w:val="clear" w:color="auto" w:fill="E3F2D9" w:themeFill="accent2" w:themeFillTint="33"/>
          </w:tcPr>
          <w:p w14:paraId="5A443FCC" w14:textId="5F2C9285" w:rsidR="00CB01D0" w:rsidRPr="00716E4C" w:rsidRDefault="00564F74">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64F74">
              <w:rPr>
                <w:rFonts w:cs="Arial"/>
                <w:sz w:val="22"/>
                <w:szCs w:val="22"/>
              </w:rPr>
              <w:t>Conformance</w:t>
            </w:r>
          </w:p>
        </w:tc>
        <w:tc>
          <w:tcPr>
            <w:tcW w:w="3474" w:type="dxa"/>
            <w:tcBorders>
              <w:left w:val="nil"/>
              <w:right w:val="nil"/>
            </w:tcBorders>
            <w:shd w:val="clear" w:color="auto" w:fill="E3F2D9" w:themeFill="accent2" w:themeFillTint="33"/>
          </w:tcPr>
          <w:p w14:paraId="4A35D0B9" w14:textId="40EF3BCC" w:rsidR="00CB01D0" w:rsidRPr="008C7755" w:rsidRDefault="0061490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14907">
              <w:rPr>
                <w:rFonts w:cs="Arial"/>
                <w:sz w:val="22"/>
                <w:szCs w:val="22"/>
              </w:rPr>
              <w:t>Improvement and innovation</w:t>
            </w:r>
          </w:p>
        </w:tc>
      </w:tr>
      <w:tr w:rsidR="006876E1" w:rsidRPr="00716E4C" w14:paraId="7E04C3AF" w14:textId="68E238E8" w:rsidTr="009B5795">
        <w:tc>
          <w:tcPr>
            <w:cnfStyle w:val="001000000000" w:firstRow="0" w:lastRow="0" w:firstColumn="1" w:lastColumn="0" w:oddVBand="0" w:evenVBand="0" w:oddHBand="0" w:evenHBand="0" w:firstRowFirstColumn="0" w:firstRowLastColumn="0" w:lastRowFirstColumn="0" w:lastRowLastColumn="0"/>
            <w:tcW w:w="1119" w:type="dxa"/>
            <w:tcBorders>
              <w:top w:val="nil"/>
              <w:left w:val="single" w:sz="12" w:space="0" w:color="78BE43" w:themeColor="accent2"/>
              <w:bottom w:val="nil"/>
              <w:right w:val="nil"/>
            </w:tcBorders>
            <w:textDirection w:val="btLr"/>
            <w:vAlign w:val="center"/>
          </w:tcPr>
          <w:p w14:paraId="3369B57B" w14:textId="487C8FA8" w:rsidR="006876E1" w:rsidRPr="006876E1" w:rsidRDefault="006876E1" w:rsidP="009B5795">
            <w:pPr>
              <w:jc w:val="center"/>
              <w:rPr>
                <w:rFonts w:cs="Arial"/>
                <w:sz w:val="28"/>
                <w:szCs w:val="28"/>
              </w:rPr>
            </w:pPr>
            <w:r w:rsidRPr="006876E1">
              <w:rPr>
                <w:sz w:val="28"/>
                <w:szCs w:val="28"/>
              </w:rPr>
              <w:t xml:space="preserve">What is new </w:t>
            </w:r>
            <w:r w:rsidRPr="006876E1">
              <w:rPr>
                <w:b w:val="0"/>
                <w:bCs w:val="0"/>
                <w:sz w:val="28"/>
                <w:szCs w:val="28"/>
              </w:rPr>
              <w:t>or changing?</w:t>
            </w:r>
          </w:p>
        </w:tc>
        <w:tc>
          <w:tcPr>
            <w:tcW w:w="3473" w:type="dxa"/>
            <w:tcBorders>
              <w:top w:val="single" w:sz="12" w:space="0" w:color="ADD88E" w:themeColor="accent2" w:themeTint="99"/>
              <w:left w:val="nil"/>
              <w:bottom w:val="single" w:sz="12" w:space="0" w:color="78BE43" w:themeColor="accent2"/>
              <w:right w:val="nil"/>
            </w:tcBorders>
          </w:tcPr>
          <w:p w14:paraId="644545EC" w14:textId="77777777" w:rsidR="006876E1" w:rsidRPr="00C656CE"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656CE">
              <w:rPr>
                <w:rFonts w:cs="Arial"/>
                <w:sz w:val="22"/>
                <w:szCs w:val="22"/>
              </w:rPr>
              <w:t>System changes will be required to enable Services Australia to manage and process payment claims.</w:t>
            </w:r>
          </w:p>
          <w:p w14:paraId="509864D2" w14:textId="77777777" w:rsidR="006876E1" w:rsidRPr="00C656CE"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656CE">
              <w:rPr>
                <w:rFonts w:cs="Arial"/>
                <w:sz w:val="22"/>
                <w:szCs w:val="22"/>
              </w:rPr>
              <w:t xml:space="preserve">If using Business to Government (B2G), the APIs available for developers to build software solutions: Authentication API, Provider Management API, Quality Indicators API, Registered Nurses API. </w:t>
            </w:r>
          </w:p>
          <w:p w14:paraId="6FF13B6E" w14:textId="0160B053" w:rsidR="006876E1" w:rsidRPr="00716E4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656CE">
              <w:rPr>
                <w:rFonts w:cs="Arial"/>
                <w:sz w:val="22"/>
                <w:szCs w:val="22"/>
              </w:rPr>
              <w:t>Further APIs will be introduced in 2026.</w:t>
            </w:r>
          </w:p>
        </w:tc>
        <w:tc>
          <w:tcPr>
            <w:tcW w:w="3473" w:type="dxa"/>
            <w:tcBorders>
              <w:top w:val="single" w:sz="12" w:space="0" w:color="ADD88E" w:themeColor="accent2" w:themeTint="99"/>
              <w:left w:val="nil"/>
              <w:bottom w:val="single" w:sz="12" w:space="0" w:color="78BE43" w:themeColor="accent2"/>
              <w:right w:val="nil"/>
            </w:tcBorders>
          </w:tcPr>
          <w:p w14:paraId="1A1294DD" w14:textId="77777777"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products that use B2G APIs will need to be updated to support the new changes to remain conformant and to access department systems.</w:t>
            </w:r>
          </w:p>
          <w:p w14:paraId="55E5B3E2" w14:textId="77777777"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developers (and aged care providers who use software products) must transition to the current API version within 12 months to maintain software conformance.</w:t>
            </w:r>
          </w:p>
          <w:p w14:paraId="4D6DD4E7" w14:textId="6832B785" w:rsidR="006876E1" w:rsidRPr="00716E4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MPS and NATSIFAC will also commence QFR reporting in Q1 2024-25.</w:t>
            </w:r>
          </w:p>
        </w:tc>
        <w:tc>
          <w:tcPr>
            <w:tcW w:w="3473" w:type="dxa"/>
            <w:tcBorders>
              <w:top w:val="single" w:sz="12" w:space="0" w:color="ADD88E" w:themeColor="accent2" w:themeTint="99"/>
              <w:left w:val="nil"/>
              <w:bottom w:val="single" w:sz="12" w:space="0" w:color="78BE43" w:themeColor="accent2"/>
              <w:right w:val="nil"/>
            </w:tcBorders>
          </w:tcPr>
          <w:p w14:paraId="43C25BCC" w14:textId="1C1E4BC8"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products must meet set standards for secure use and to minimise clinical safety, privacy, policy architecture, cyber security and legal risks.</w:t>
            </w:r>
          </w:p>
          <w:p w14:paraId="1205A7D8" w14:textId="1248739C" w:rsidR="006876E1" w:rsidRPr="00716E4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Conformance assessment and certification.</w:t>
            </w:r>
          </w:p>
        </w:tc>
        <w:tc>
          <w:tcPr>
            <w:tcW w:w="3474" w:type="dxa"/>
            <w:tcBorders>
              <w:top w:val="single" w:sz="12" w:space="0" w:color="ADD88E" w:themeColor="accent2" w:themeTint="99"/>
              <w:left w:val="nil"/>
              <w:bottom w:val="single" w:sz="12" w:space="0" w:color="78BE43" w:themeColor="accent2"/>
              <w:right w:val="nil"/>
            </w:tcBorders>
          </w:tcPr>
          <w:p w14:paraId="706B3C95" w14:textId="77777777" w:rsidR="006876E1" w:rsidRPr="00303B3A"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03B3A">
              <w:rPr>
                <w:rFonts w:cs="Arial"/>
                <w:sz w:val="22"/>
                <w:szCs w:val="22"/>
              </w:rPr>
              <w:t>Innovate with digital support provided through B2G initiatives. Quality Indicator (QI) and 24/7 RN API streamline provider reporting reducing administrative burden. These APIs are being expanded to further support providers in managing data efficiently and focusing on care delivery.</w:t>
            </w:r>
          </w:p>
          <w:p w14:paraId="49AE0E19" w14:textId="5D001970" w:rsidR="006876E1" w:rsidRPr="005E43D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03B3A">
              <w:rPr>
                <w:rFonts w:cs="Arial"/>
                <w:sz w:val="22"/>
                <w:szCs w:val="22"/>
              </w:rPr>
              <w:t>There will be changes to QFR from Q1 2025-26.</w:t>
            </w:r>
          </w:p>
        </w:tc>
      </w:tr>
      <w:tr w:rsidR="006876E1" w:rsidRPr="00716E4C" w14:paraId="6969C001" w14:textId="1DCC8318" w:rsidTr="009B5795">
        <w:trPr>
          <w:trHeight w:val="1134"/>
        </w:trPr>
        <w:tc>
          <w:tcPr>
            <w:cnfStyle w:val="001000000000" w:firstRow="0" w:lastRow="0" w:firstColumn="1" w:lastColumn="0" w:oddVBand="0" w:evenVBand="0" w:oddHBand="0" w:evenHBand="0" w:firstRowFirstColumn="0" w:firstRowLastColumn="0" w:lastRowFirstColumn="0" w:lastRowLastColumn="0"/>
            <w:tcW w:w="1119" w:type="dxa"/>
            <w:tcBorders>
              <w:top w:val="nil"/>
              <w:left w:val="single" w:sz="12" w:space="0" w:color="78BE43" w:themeColor="accent2"/>
              <w:bottom w:val="nil"/>
              <w:right w:val="nil"/>
            </w:tcBorders>
            <w:textDirection w:val="btLr"/>
            <w:vAlign w:val="center"/>
          </w:tcPr>
          <w:p w14:paraId="17D415F3" w14:textId="77777777" w:rsidR="006876E1" w:rsidRPr="008A6067" w:rsidRDefault="006876E1" w:rsidP="009B5795">
            <w:pPr>
              <w:ind w:left="113" w:right="113"/>
              <w:jc w:val="center"/>
              <w:rPr>
                <w:rFonts w:cs="Arial"/>
                <w:sz w:val="28"/>
                <w:szCs w:val="28"/>
              </w:rPr>
            </w:pPr>
            <w:r w:rsidRPr="008A6067">
              <w:rPr>
                <w:sz w:val="28"/>
                <w:szCs w:val="28"/>
              </w:rPr>
              <w:t xml:space="preserve">What is </w:t>
            </w:r>
            <w:r>
              <w:rPr>
                <w:sz w:val="28"/>
                <w:szCs w:val="28"/>
              </w:rPr>
              <w:t>staying</w:t>
            </w:r>
            <w:r w:rsidRPr="008A6067">
              <w:rPr>
                <w:sz w:val="28"/>
                <w:szCs w:val="28"/>
              </w:rPr>
              <w:t xml:space="preserve"> </w:t>
            </w:r>
            <w:r>
              <w:rPr>
                <w:b w:val="0"/>
                <w:bCs w:val="0"/>
                <w:sz w:val="28"/>
                <w:szCs w:val="28"/>
              </w:rPr>
              <w:t>the same</w:t>
            </w:r>
            <w:r w:rsidRPr="008A6067">
              <w:rPr>
                <w:b w:val="0"/>
                <w:bCs w:val="0"/>
                <w:sz w:val="28"/>
                <w:szCs w:val="28"/>
              </w:rPr>
              <w:t>?</w:t>
            </w:r>
          </w:p>
        </w:tc>
        <w:tc>
          <w:tcPr>
            <w:tcW w:w="3473" w:type="dxa"/>
            <w:tcBorders>
              <w:top w:val="single" w:sz="12" w:space="0" w:color="78BE43" w:themeColor="accent2"/>
              <w:left w:val="nil"/>
              <w:right w:val="nil"/>
            </w:tcBorders>
          </w:tcPr>
          <w:p w14:paraId="2D84ADE0" w14:textId="514DEAAF" w:rsidR="006876E1" w:rsidRPr="001E32A0"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E32A0">
              <w:rPr>
                <w:rFonts w:cs="Arial"/>
                <w:sz w:val="22"/>
                <w:szCs w:val="22"/>
              </w:rPr>
              <w:t>Digital systems will continue to deliver services to more than 1.5 million older people.</w:t>
            </w:r>
          </w:p>
          <w:p w14:paraId="560F3E12" w14:textId="77777777" w:rsidR="006876E1" w:rsidRPr="001E32A0"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E32A0">
              <w:rPr>
                <w:rFonts w:cs="Arial"/>
                <w:sz w:val="22"/>
                <w:szCs w:val="22"/>
              </w:rPr>
              <w:t>Digital support to manage data efficiency and a focus on care delivery.</w:t>
            </w:r>
          </w:p>
          <w:p w14:paraId="0603A57B" w14:textId="21CD0E42" w:rsidR="006876E1" w:rsidRPr="000F4259"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E32A0">
              <w:rPr>
                <w:rFonts w:cs="Arial"/>
                <w:sz w:val="22"/>
                <w:szCs w:val="22"/>
              </w:rPr>
              <w:t>Services Australia will continue to calculate participant contributions using the income and asset assessment.</w:t>
            </w:r>
          </w:p>
        </w:tc>
        <w:tc>
          <w:tcPr>
            <w:tcW w:w="3473" w:type="dxa"/>
            <w:tcBorders>
              <w:top w:val="single" w:sz="12" w:space="0" w:color="78BE43" w:themeColor="accent2"/>
              <w:left w:val="nil"/>
              <w:right w:val="nil"/>
            </w:tcBorders>
          </w:tcPr>
          <w:p w14:paraId="3D3C926D" w14:textId="06B3D285" w:rsidR="006876E1" w:rsidRPr="000F4259"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473" w:type="dxa"/>
            <w:tcBorders>
              <w:top w:val="single" w:sz="12" w:space="0" w:color="78BE43" w:themeColor="accent2"/>
              <w:left w:val="nil"/>
              <w:right w:val="nil"/>
            </w:tcBorders>
          </w:tcPr>
          <w:p w14:paraId="487A19F8" w14:textId="77777777"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Operational continuity is maintained.</w:t>
            </w:r>
          </w:p>
          <w:p w14:paraId="368A0EE2" w14:textId="0F430DEC" w:rsidR="006876E1" w:rsidRPr="005E43D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remaining compliant.</w:t>
            </w:r>
          </w:p>
        </w:tc>
        <w:tc>
          <w:tcPr>
            <w:tcW w:w="3474" w:type="dxa"/>
            <w:tcBorders>
              <w:top w:val="single" w:sz="12" w:space="0" w:color="78BE43" w:themeColor="accent2"/>
              <w:left w:val="nil"/>
              <w:right w:val="nil"/>
            </w:tcBorders>
          </w:tcPr>
          <w:p w14:paraId="49CDED16" w14:textId="60AFF5EF" w:rsidR="006876E1" w:rsidRPr="008A6067"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03B3A">
              <w:rPr>
                <w:rFonts w:cs="Arial"/>
                <w:sz w:val="22"/>
                <w:szCs w:val="22"/>
              </w:rPr>
              <w:t>Continue to improve and innovate products for care delivery.</w:t>
            </w:r>
          </w:p>
        </w:tc>
      </w:tr>
    </w:tbl>
    <w:p w14:paraId="3F39BFC4" w14:textId="77777777" w:rsidR="007839A3" w:rsidRPr="00AC06B7" w:rsidRDefault="007839A3" w:rsidP="00AC06B7"/>
    <w:sectPr w:rsidR="007839A3" w:rsidRPr="00AC06B7" w:rsidSect="00B710A2">
      <w:footerReference w:type="default" r:id="rId11"/>
      <w:headerReference w:type="first" r:id="rId12"/>
      <w:footerReference w:type="first" r:id="rId13"/>
      <w:pgSz w:w="16838" w:h="11906" w:orient="landscape" w:code="9"/>
      <w:pgMar w:top="851"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1D98" w14:textId="77777777" w:rsidR="00C64831" w:rsidRDefault="00C64831" w:rsidP="0076491B">
      <w:pPr>
        <w:spacing w:before="0" w:after="0" w:line="240" w:lineRule="auto"/>
      </w:pPr>
      <w:r>
        <w:separator/>
      </w:r>
    </w:p>
  </w:endnote>
  <w:endnote w:type="continuationSeparator" w:id="0">
    <w:p w14:paraId="77378F5C" w14:textId="77777777" w:rsidR="00C64831" w:rsidRDefault="00C64831" w:rsidP="0076491B">
      <w:pPr>
        <w:spacing w:before="0" w:after="0" w:line="240" w:lineRule="auto"/>
      </w:pPr>
      <w:r>
        <w:continuationSeparator/>
      </w:r>
    </w:p>
  </w:endnote>
  <w:endnote w:type="continuationNotice" w:id="1">
    <w:p w14:paraId="3E3B740C" w14:textId="77777777" w:rsidR="00C64831" w:rsidRDefault="00C648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FBD6" w14:textId="018F7EC0" w:rsidR="00B649E1" w:rsidRPr="00402C65" w:rsidRDefault="00B649E1" w:rsidP="00AC06B7">
    <w:pPr>
      <w:pStyle w:val="Footer"/>
      <w:tabs>
        <w:tab w:val="clear" w:pos="9026"/>
        <w:tab w:val="right" w:pos="15026"/>
      </w:tabs>
      <w:rPr>
        <w:sz w:val="22"/>
        <w:szCs w:val="22"/>
      </w:rPr>
    </w:pPr>
    <w:r w:rsidRPr="00402C65">
      <w:rPr>
        <w:sz w:val="22"/>
        <w:szCs w:val="22"/>
      </w:rPr>
      <w:t>New Aged Care Act – What is new or changing?</w:t>
    </w:r>
    <w:r w:rsidR="00AC06B7">
      <w:rPr>
        <w:sz w:val="22"/>
        <w:szCs w:val="22"/>
      </w:rPr>
      <w:tab/>
    </w:r>
    <w:sdt>
      <w:sdtPr>
        <w:rPr>
          <w:sz w:val="22"/>
          <w:szCs w:val="22"/>
        </w:rPr>
        <w:id w:val="-486778904"/>
        <w:docPartObj>
          <w:docPartGallery w:val="Page Numbers (Bottom of Page)"/>
          <w:docPartUnique/>
        </w:docPartObj>
      </w:sdtPr>
      <w:sdtEndPr>
        <w:rPr>
          <w:noProof/>
        </w:rPr>
      </w:sdtEndPr>
      <w:sdtContent>
        <w:r w:rsidRPr="00402C65">
          <w:rPr>
            <w:sz w:val="22"/>
            <w:szCs w:val="22"/>
          </w:rPr>
          <w:fldChar w:fldCharType="begin"/>
        </w:r>
        <w:r w:rsidRPr="00402C65">
          <w:rPr>
            <w:sz w:val="22"/>
            <w:szCs w:val="22"/>
          </w:rPr>
          <w:instrText xml:space="preserve"> PAGE   \* MERGEFORMAT </w:instrText>
        </w:r>
        <w:r w:rsidRPr="00402C65">
          <w:rPr>
            <w:sz w:val="22"/>
            <w:szCs w:val="22"/>
          </w:rPr>
          <w:fldChar w:fldCharType="separate"/>
        </w:r>
        <w:r w:rsidRPr="00402C65">
          <w:rPr>
            <w:noProof/>
            <w:sz w:val="22"/>
            <w:szCs w:val="22"/>
          </w:rPr>
          <w:t>2</w:t>
        </w:r>
        <w:r w:rsidRPr="00402C65">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B98D" w14:textId="1C15443C" w:rsidR="00157547" w:rsidRPr="00157547" w:rsidRDefault="00157547">
    <w:pPr>
      <w:pStyle w:val="Footer"/>
      <w:rPr>
        <w:sz w:val="22"/>
        <w:szCs w:val="22"/>
      </w:rPr>
    </w:pPr>
    <w:r w:rsidRPr="00157547">
      <w:rPr>
        <w:sz w:val="22"/>
        <w:szCs w:val="22"/>
      </w:rPr>
      <w:t>health.gov.au/aged-care-act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734F" w14:textId="77777777" w:rsidR="00C64831" w:rsidRDefault="00C64831" w:rsidP="0076491B">
      <w:pPr>
        <w:spacing w:before="0" w:after="0" w:line="240" w:lineRule="auto"/>
      </w:pPr>
      <w:r>
        <w:separator/>
      </w:r>
    </w:p>
  </w:footnote>
  <w:footnote w:type="continuationSeparator" w:id="0">
    <w:p w14:paraId="69C9E22D" w14:textId="77777777" w:rsidR="00C64831" w:rsidRDefault="00C64831" w:rsidP="0076491B">
      <w:pPr>
        <w:spacing w:before="0" w:after="0" w:line="240" w:lineRule="auto"/>
      </w:pPr>
      <w:r>
        <w:continuationSeparator/>
      </w:r>
    </w:p>
  </w:footnote>
  <w:footnote w:type="continuationNotice" w:id="1">
    <w:p w14:paraId="13C285BE" w14:textId="77777777" w:rsidR="00C64831" w:rsidRDefault="00C648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14F3" w14:textId="4758DD98" w:rsidR="0076491B" w:rsidRDefault="00AC06B7" w:rsidP="00144466">
    <w:pPr>
      <w:pStyle w:val="Header"/>
    </w:pPr>
    <w:r>
      <w:rPr>
        <w:noProof/>
      </w:rPr>
      <w:drawing>
        <wp:anchor distT="0" distB="0" distL="114300" distR="114300" simplePos="0" relativeHeight="251659265" behindDoc="0" locked="0" layoutInCell="1" allowOverlap="1" wp14:anchorId="3739E843" wp14:editId="779021D6">
          <wp:simplePos x="0" y="0"/>
          <wp:positionH relativeFrom="column">
            <wp:posOffset>-559435</wp:posOffset>
          </wp:positionH>
          <wp:positionV relativeFrom="paragraph">
            <wp:posOffset>-1071245</wp:posOffset>
          </wp:positionV>
          <wp:extent cx="3272155" cy="714375"/>
          <wp:effectExtent l="0" t="0" r="4445" b="9525"/>
          <wp:wrapSquare wrapText="bothSides"/>
          <wp:docPr id="1470766851" name="Picture 2"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66851" name="Picture 2" descr="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3272155" cy="714375"/>
                  </a:xfrm>
                  <a:prstGeom prst="rect">
                    <a:avLst/>
                  </a:prstGeom>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6FB9ABD2" wp14:editId="57952A78">
          <wp:simplePos x="0" y="0"/>
          <wp:positionH relativeFrom="page">
            <wp:posOffset>8392886</wp:posOffset>
          </wp:positionH>
          <wp:positionV relativeFrom="page">
            <wp:posOffset>9525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CB2263"/>
    <w:multiLevelType w:val="hybridMultilevel"/>
    <w:tmpl w:val="E5521024"/>
    <w:lvl w:ilvl="0" w:tplc="ABE6155A">
      <w:start w:val="1"/>
      <w:numFmt w:val="bullet"/>
      <w:lvlText w:val="•"/>
      <w:lvlJc w:val="left"/>
      <w:pPr>
        <w:tabs>
          <w:tab w:val="num" w:pos="720"/>
        </w:tabs>
        <w:ind w:left="720" w:hanging="360"/>
      </w:pPr>
      <w:rPr>
        <w:rFonts w:ascii="Arial" w:hAnsi="Arial" w:hint="default"/>
      </w:rPr>
    </w:lvl>
    <w:lvl w:ilvl="1" w:tplc="93A49D3E" w:tentative="1">
      <w:start w:val="1"/>
      <w:numFmt w:val="bullet"/>
      <w:lvlText w:val="•"/>
      <w:lvlJc w:val="left"/>
      <w:pPr>
        <w:tabs>
          <w:tab w:val="num" w:pos="1440"/>
        </w:tabs>
        <w:ind w:left="1440" w:hanging="360"/>
      </w:pPr>
      <w:rPr>
        <w:rFonts w:ascii="Arial" w:hAnsi="Arial" w:hint="default"/>
      </w:rPr>
    </w:lvl>
    <w:lvl w:ilvl="2" w:tplc="DD000016" w:tentative="1">
      <w:start w:val="1"/>
      <w:numFmt w:val="bullet"/>
      <w:lvlText w:val="•"/>
      <w:lvlJc w:val="left"/>
      <w:pPr>
        <w:tabs>
          <w:tab w:val="num" w:pos="2160"/>
        </w:tabs>
        <w:ind w:left="2160" w:hanging="360"/>
      </w:pPr>
      <w:rPr>
        <w:rFonts w:ascii="Arial" w:hAnsi="Arial" w:hint="default"/>
      </w:rPr>
    </w:lvl>
    <w:lvl w:ilvl="3" w:tplc="9FF4CD8E" w:tentative="1">
      <w:start w:val="1"/>
      <w:numFmt w:val="bullet"/>
      <w:lvlText w:val="•"/>
      <w:lvlJc w:val="left"/>
      <w:pPr>
        <w:tabs>
          <w:tab w:val="num" w:pos="2880"/>
        </w:tabs>
        <w:ind w:left="2880" w:hanging="360"/>
      </w:pPr>
      <w:rPr>
        <w:rFonts w:ascii="Arial" w:hAnsi="Arial" w:hint="default"/>
      </w:rPr>
    </w:lvl>
    <w:lvl w:ilvl="4" w:tplc="5CF6E71C" w:tentative="1">
      <w:start w:val="1"/>
      <w:numFmt w:val="bullet"/>
      <w:lvlText w:val="•"/>
      <w:lvlJc w:val="left"/>
      <w:pPr>
        <w:tabs>
          <w:tab w:val="num" w:pos="3600"/>
        </w:tabs>
        <w:ind w:left="3600" w:hanging="360"/>
      </w:pPr>
      <w:rPr>
        <w:rFonts w:ascii="Arial" w:hAnsi="Arial" w:hint="default"/>
      </w:rPr>
    </w:lvl>
    <w:lvl w:ilvl="5" w:tplc="B53659F6" w:tentative="1">
      <w:start w:val="1"/>
      <w:numFmt w:val="bullet"/>
      <w:lvlText w:val="•"/>
      <w:lvlJc w:val="left"/>
      <w:pPr>
        <w:tabs>
          <w:tab w:val="num" w:pos="4320"/>
        </w:tabs>
        <w:ind w:left="4320" w:hanging="360"/>
      </w:pPr>
      <w:rPr>
        <w:rFonts w:ascii="Arial" w:hAnsi="Arial" w:hint="default"/>
      </w:rPr>
    </w:lvl>
    <w:lvl w:ilvl="6" w:tplc="95FA09A0" w:tentative="1">
      <w:start w:val="1"/>
      <w:numFmt w:val="bullet"/>
      <w:lvlText w:val="•"/>
      <w:lvlJc w:val="left"/>
      <w:pPr>
        <w:tabs>
          <w:tab w:val="num" w:pos="5040"/>
        </w:tabs>
        <w:ind w:left="5040" w:hanging="360"/>
      </w:pPr>
      <w:rPr>
        <w:rFonts w:ascii="Arial" w:hAnsi="Arial" w:hint="default"/>
      </w:rPr>
    </w:lvl>
    <w:lvl w:ilvl="7" w:tplc="8642221A" w:tentative="1">
      <w:start w:val="1"/>
      <w:numFmt w:val="bullet"/>
      <w:lvlText w:val="•"/>
      <w:lvlJc w:val="left"/>
      <w:pPr>
        <w:tabs>
          <w:tab w:val="num" w:pos="5760"/>
        </w:tabs>
        <w:ind w:left="5760" w:hanging="360"/>
      </w:pPr>
      <w:rPr>
        <w:rFonts w:ascii="Arial" w:hAnsi="Arial" w:hint="default"/>
      </w:rPr>
    </w:lvl>
    <w:lvl w:ilvl="8" w:tplc="9F32B3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1D50D4"/>
    <w:multiLevelType w:val="hybridMultilevel"/>
    <w:tmpl w:val="20FCB788"/>
    <w:lvl w:ilvl="0" w:tplc="8202FA00">
      <w:start w:val="1"/>
      <w:numFmt w:val="bullet"/>
      <w:lvlText w:val="•"/>
      <w:lvlJc w:val="left"/>
      <w:pPr>
        <w:tabs>
          <w:tab w:val="num" w:pos="720"/>
        </w:tabs>
        <w:ind w:left="720" w:hanging="360"/>
      </w:pPr>
      <w:rPr>
        <w:rFonts w:ascii="Arial" w:hAnsi="Arial" w:hint="default"/>
      </w:rPr>
    </w:lvl>
    <w:lvl w:ilvl="1" w:tplc="816EC5EC" w:tentative="1">
      <w:start w:val="1"/>
      <w:numFmt w:val="bullet"/>
      <w:lvlText w:val="•"/>
      <w:lvlJc w:val="left"/>
      <w:pPr>
        <w:tabs>
          <w:tab w:val="num" w:pos="1440"/>
        </w:tabs>
        <w:ind w:left="1440" w:hanging="360"/>
      </w:pPr>
      <w:rPr>
        <w:rFonts w:ascii="Arial" w:hAnsi="Arial" w:hint="default"/>
      </w:rPr>
    </w:lvl>
    <w:lvl w:ilvl="2" w:tplc="7EBA0DA8" w:tentative="1">
      <w:start w:val="1"/>
      <w:numFmt w:val="bullet"/>
      <w:lvlText w:val="•"/>
      <w:lvlJc w:val="left"/>
      <w:pPr>
        <w:tabs>
          <w:tab w:val="num" w:pos="2160"/>
        </w:tabs>
        <w:ind w:left="2160" w:hanging="360"/>
      </w:pPr>
      <w:rPr>
        <w:rFonts w:ascii="Arial" w:hAnsi="Arial" w:hint="default"/>
      </w:rPr>
    </w:lvl>
    <w:lvl w:ilvl="3" w:tplc="5A5E4E66" w:tentative="1">
      <w:start w:val="1"/>
      <w:numFmt w:val="bullet"/>
      <w:lvlText w:val="•"/>
      <w:lvlJc w:val="left"/>
      <w:pPr>
        <w:tabs>
          <w:tab w:val="num" w:pos="2880"/>
        </w:tabs>
        <w:ind w:left="2880" w:hanging="360"/>
      </w:pPr>
      <w:rPr>
        <w:rFonts w:ascii="Arial" w:hAnsi="Arial" w:hint="default"/>
      </w:rPr>
    </w:lvl>
    <w:lvl w:ilvl="4" w:tplc="1AAC99C8" w:tentative="1">
      <w:start w:val="1"/>
      <w:numFmt w:val="bullet"/>
      <w:lvlText w:val="•"/>
      <w:lvlJc w:val="left"/>
      <w:pPr>
        <w:tabs>
          <w:tab w:val="num" w:pos="3600"/>
        </w:tabs>
        <w:ind w:left="3600" w:hanging="360"/>
      </w:pPr>
      <w:rPr>
        <w:rFonts w:ascii="Arial" w:hAnsi="Arial" w:hint="default"/>
      </w:rPr>
    </w:lvl>
    <w:lvl w:ilvl="5" w:tplc="05B8B4DC" w:tentative="1">
      <w:start w:val="1"/>
      <w:numFmt w:val="bullet"/>
      <w:lvlText w:val="•"/>
      <w:lvlJc w:val="left"/>
      <w:pPr>
        <w:tabs>
          <w:tab w:val="num" w:pos="4320"/>
        </w:tabs>
        <w:ind w:left="4320" w:hanging="360"/>
      </w:pPr>
      <w:rPr>
        <w:rFonts w:ascii="Arial" w:hAnsi="Arial" w:hint="default"/>
      </w:rPr>
    </w:lvl>
    <w:lvl w:ilvl="6" w:tplc="F60CC4DE" w:tentative="1">
      <w:start w:val="1"/>
      <w:numFmt w:val="bullet"/>
      <w:lvlText w:val="•"/>
      <w:lvlJc w:val="left"/>
      <w:pPr>
        <w:tabs>
          <w:tab w:val="num" w:pos="5040"/>
        </w:tabs>
        <w:ind w:left="5040" w:hanging="360"/>
      </w:pPr>
      <w:rPr>
        <w:rFonts w:ascii="Arial" w:hAnsi="Arial" w:hint="default"/>
      </w:rPr>
    </w:lvl>
    <w:lvl w:ilvl="7" w:tplc="070CB490" w:tentative="1">
      <w:start w:val="1"/>
      <w:numFmt w:val="bullet"/>
      <w:lvlText w:val="•"/>
      <w:lvlJc w:val="left"/>
      <w:pPr>
        <w:tabs>
          <w:tab w:val="num" w:pos="5760"/>
        </w:tabs>
        <w:ind w:left="5760" w:hanging="360"/>
      </w:pPr>
      <w:rPr>
        <w:rFonts w:ascii="Arial" w:hAnsi="Arial" w:hint="default"/>
      </w:rPr>
    </w:lvl>
    <w:lvl w:ilvl="8" w:tplc="7DBE7F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2"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5FD12B9E"/>
    <w:multiLevelType w:val="hybridMultilevel"/>
    <w:tmpl w:val="28BC1814"/>
    <w:lvl w:ilvl="0" w:tplc="12F8F394">
      <w:start w:val="1"/>
      <w:numFmt w:val="bullet"/>
      <w:lvlText w:val="•"/>
      <w:lvlJc w:val="left"/>
      <w:pPr>
        <w:tabs>
          <w:tab w:val="num" w:pos="720"/>
        </w:tabs>
        <w:ind w:left="720" w:hanging="360"/>
      </w:pPr>
      <w:rPr>
        <w:rFonts w:ascii="Arial,Sans-Serif" w:hAnsi="Arial,Sans-Serif" w:hint="default"/>
      </w:rPr>
    </w:lvl>
    <w:lvl w:ilvl="1" w:tplc="FC46CE4E" w:tentative="1">
      <w:start w:val="1"/>
      <w:numFmt w:val="bullet"/>
      <w:lvlText w:val="•"/>
      <w:lvlJc w:val="left"/>
      <w:pPr>
        <w:tabs>
          <w:tab w:val="num" w:pos="1440"/>
        </w:tabs>
        <w:ind w:left="1440" w:hanging="360"/>
      </w:pPr>
      <w:rPr>
        <w:rFonts w:ascii="Arial,Sans-Serif" w:hAnsi="Arial,Sans-Serif" w:hint="default"/>
      </w:rPr>
    </w:lvl>
    <w:lvl w:ilvl="2" w:tplc="151400EC" w:tentative="1">
      <w:start w:val="1"/>
      <w:numFmt w:val="bullet"/>
      <w:lvlText w:val="•"/>
      <w:lvlJc w:val="left"/>
      <w:pPr>
        <w:tabs>
          <w:tab w:val="num" w:pos="2160"/>
        </w:tabs>
        <w:ind w:left="2160" w:hanging="360"/>
      </w:pPr>
      <w:rPr>
        <w:rFonts w:ascii="Arial,Sans-Serif" w:hAnsi="Arial,Sans-Serif" w:hint="default"/>
      </w:rPr>
    </w:lvl>
    <w:lvl w:ilvl="3" w:tplc="BB2AB212" w:tentative="1">
      <w:start w:val="1"/>
      <w:numFmt w:val="bullet"/>
      <w:lvlText w:val="•"/>
      <w:lvlJc w:val="left"/>
      <w:pPr>
        <w:tabs>
          <w:tab w:val="num" w:pos="2880"/>
        </w:tabs>
        <w:ind w:left="2880" w:hanging="360"/>
      </w:pPr>
      <w:rPr>
        <w:rFonts w:ascii="Arial,Sans-Serif" w:hAnsi="Arial,Sans-Serif" w:hint="default"/>
      </w:rPr>
    </w:lvl>
    <w:lvl w:ilvl="4" w:tplc="F08CD9AA" w:tentative="1">
      <w:start w:val="1"/>
      <w:numFmt w:val="bullet"/>
      <w:lvlText w:val="•"/>
      <w:lvlJc w:val="left"/>
      <w:pPr>
        <w:tabs>
          <w:tab w:val="num" w:pos="3600"/>
        </w:tabs>
        <w:ind w:left="3600" w:hanging="360"/>
      </w:pPr>
      <w:rPr>
        <w:rFonts w:ascii="Arial,Sans-Serif" w:hAnsi="Arial,Sans-Serif" w:hint="default"/>
      </w:rPr>
    </w:lvl>
    <w:lvl w:ilvl="5" w:tplc="0FA0BF24" w:tentative="1">
      <w:start w:val="1"/>
      <w:numFmt w:val="bullet"/>
      <w:lvlText w:val="•"/>
      <w:lvlJc w:val="left"/>
      <w:pPr>
        <w:tabs>
          <w:tab w:val="num" w:pos="4320"/>
        </w:tabs>
        <w:ind w:left="4320" w:hanging="360"/>
      </w:pPr>
      <w:rPr>
        <w:rFonts w:ascii="Arial,Sans-Serif" w:hAnsi="Arial,Sans-Serif" w:hint="default"/>
      </w:rPr>
    </w:lvl>
    <w:lvl w:ilvl="6" w:tplc="3FE0DC9E" w:tentative="1">
      <w:start w:val="1"/>
      <w:numFmt w:val="bullet"/>
      <w:lvlText w:val="•"/>
      <w:lvlJc w:val="left"/>
      <w:pPr>
        <w:tabs>
          <w:tab w:val="num" w:pos="5040"/>
        </w:tabs>
        <w:ind w:left="5040" w:hanging="360"/>
      </w:pPr>
      <w:rPr>
        <w:rFonts w:ascii="Arial,Sans-Serif" w:hAnsi="Arial,Sans-Serif" w:hint="default"/>
      </w:rPr>
    </w:lvl>
    <w:lvl w:ilvl="7" w:tplc="5316CCBE" w:tentative="1">
      <w:start w:val="1"/>
      <w:numFmt w:val="bullet"/>
      <w:lvlText w:val="•"/>
      <w:lvlJc w:val="left"/>
      <w:pPr>
        <w:tabs>
          <w:tab w:val="num" w:pos="5760"/>
        </w:tabs>
        <w:ind w:left="5760" w:hanging="360"/>
      </w:pPr>
      <w:rPr>
        <w:rFonts w:ascii="Arial,Sans-Serif" w:hAnsi="Arial,Sans-Serif" w:hint="default"/>
      </w:rPr>
    </w:lvl>
    <w:lvl w:ilvl="8" w:tplc="5120B25E" w:tentative="1">
      <w:start w:val="1"/>
      <w:numFmt w:val="bullet"/>
      <w:lvlText w:val="•"/>
      <w:lvlJc w:val="left"/>
      <w:pPr>
        <w:tabs>
          <w:tab w:val="num" w:pos="6480"/>
        </w:tabs>
        <w:ind w:left="6480" w:hanging="360"/>
      </w:pPr>
      <w:rPr>
        <w:rFonts w:ascii="Arial,Sans-Serif" w:hAnsi="Arial,Sans-Serif"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C40016"/>
    <w:multiLevelType w:val="hybridMultilevel"/>
    <w:tmpl w:val="EB1AFF24"/>
    <w:lvl w:ilvl="0" w:tplc="C6FE8A68">
      <w:start w:val="1"/>
      <w:numFmt w:val="bullet"/>
      <w:lvlText w:val="•"/>
      <w:lvlJc w:val="left"/>
      <w:pPr>
        <w:tabs>
          <w:tab w:val="num" w:pos="720"/>
        </w:tabs>
        <w:ind w:left="720" w:hanging="360"/>
      </w:pPr>
      <w:rPr>
        <w:rFonts w:ascii="Arial" w:hAnsi="Arial" w:hint="default"/>
      </w:rPr>
    </w:lvl>
    <w:lvl w:ilvl="1" w:tplc="5172DC02" w:tentative="1">
      <w:start w:val="1"/>
      <w:numFmt w:val="bullet"/>
      <w:lvlText w:val="•"/>
      <w:lvlJc w:val="left"/>
      <w:pPr>
        <w:tabs>
          <w:tab w:val="num" w:pos="1440"/>
        </w:tabs>
        <w:ind w:left="1440" w:hanging="360"/>
      </w:pPr>
      <w:rPr>
        <w:rFonts w:ascii="Arial" w:hAnsi="Arial" w:hint="default"/>
      </w:rPr>
    </w:lvl>
    <w:lvl w:ilvl="2" w:tplc="C39A6E74" w:tentative="1">
      <w:start w:val="1"/>
      <w:numFmt w:val="bullet"/>
      <w:lvlText w:val="•"/>
      <w:lvlJc w:val="left"/>
      <w:pPr>
        <w:tabs>
          <w:tab w:val="num" w:pos="2160"/>
        </w:tabs>
        <w:ind w:left="2160" w:hanging="360"/>
      </w:pPr>
      <w:rPr>
        <w:rFonts w:ascii="Arial" w:hAnsi="Arial" w:hint="default"/>
      </w:rPr>
    </w:lvl>
    <w:lvl w:ilvl="3" w:tplc="EBFA72EA" w:tentative="1">
      <w:start w:val="1"/>
      <w:numFmt w:val="bullet"/>
      <w:lvlText w:val="•"/>
      <w:lvlJc w:val="left"/>
      <w:pPr>
        <w:tabs>
          <w:tab w:val="num" w:pos="2880"/>
        </w:tabs>
        <w:ind w:left="2880" w:hanging="360"/>
      </w:pPr>
      <w:rPr>
        <w:rFonts w:ascii="Arial" w:hAnsi="Arial" w:hint="default"/>
      </w:rPr>
    </w:lvl>
    <w:lvl w:ilvl="4" w:tplc="1EBEE98E" w:tentative="1">
      <w:start w:val="1"/>
      <w:numFmt w:val="bullet"/>
      <w:lvlText w:val="•"/>
      <w:lvlJc w:val="left"/>
      <w:pPr>
        <w:tabs>
          <w:tab w:val="num" w:pos="3600"/>
        </w:tabs>
        <w:ind w:left="3600" w:hanging="360"/>
      </w:pPr>
      <w:rPr>
        <w:rFonts w:ascii="Arial" w:hAnsi="Arial" w:hint="default"/>
      </w:rPr>
    </w:lvl>
    <w:lvl w:ilvl="5" w:tplc="74DEDCB6" w:tentative="1">
      <w:start w:val="1"/>
      <w:numFmt w:val="bullet"/>
      <w:lvlText w:val="•"/>
      <w:lvlJc w:val="left"/>
      <w:pPr>
        <w:tabs>
          <w:tab w:val="num" w:pos="4320"/>
        </w:tabs>
        <w:ind w:left="4320" w:hanging="360"/>
      </w:pPr>
      <w:rPr>
        <w:rFonts w:ascii="Arial" w:hAnsi="Arial" w:hint="default"/>
      </w:rPr>
    </w:lvl>
    <w:lvl w:ilvl="6" w:tplc="D95423FE" w:tentative="1">
      <w:start w:val="1"/>
      <w:numFmt w:val="bullet"/>
      <w:lvlText w:val="•"/>
      <w:lvlJc w:val="left"/>
      <w:pPr>
        <w:tabs>
          <w:tab w:val="num" w:pos="5040"/>
        </w:tabs>
        <w:ind w:left="5040" w:hanging="360"/>
      </w:pPr>
      <w:rPr>
        <w:rFonts w:ascii="Arial" w:hAnsi="Arial" w:hint="default"/>
      </w:rPr>
    </w:lvl>
    <w:lvl w:ilvl="7" w:tplc="3E3AA646" w:tentative="1">
      <w:start w:val="1"/>
      <w:numFmt w:val="bullet"/>
      <w:lvlText w:val="•"/>
      <w:lvlJc w:val="left"/>
      <w:pPr>
        <w:tabs>
          <w:tab w:val="num" w:pos="5760"/>
        </w:tabs>
        <w:ind w:left="5760" w:hanging="360"/>
      </w:pPr>
      <w:rPr>
        <w:rFonts w:ascii="Arial" w:hAnsi="Arial" w:hint="default"/>
      </w:rPr>
    </w:lvl>
    <w:lvl w:ilvl="8" w:tplc="686A36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19825">
    <w:abstractNumId w:val="20"/>
  </w:num>
  <w:num w:numId="2" w16cid:durableId="269701155">
    <w:abstractNumId w:val="5"/>
  </w:num>
  <w:num w:numId="3" w16cid:durableId="359284389">
    <w:abstractNumId w:val="18"/>
  </w:num>
  <w:num w:numId="4" w16cid:durableId="536047442">
    <w:abstractNumId w:val="19"/>
  </w:num>
  <w:num w:numId="5" w16cid:durableId="187640903">
    <w:abstractNumId w:val="9"/>
  </w:num>
  <w:num w:numId="6" w16cid:durableId="906113265">
    <w:abstractNumId w:val="3"/>
  </w:num>
  <w:num w:numId="7" w16cid:durableId="1473136367">
    <w:abstractNumId w:val="14"/>
  </w:num>
  <w:num w:numId="8" w16cid:durableId="1500580954">
    <w:abstractNumId w:val="13"/>
  </w:num>
  <w:num w:numId="9" w16cid:durableId="1351106613">
    <w:abstractNumId w:val="17"/>
  </w:num>
  <w:num w:numId="10" w16cid:durableId="2007316462">
    <w:abstractNumId w:val="0"/>
  </w:num>
  <w:num w:numId="11" w16cid:durableId="1654680249">
    <w:abstractNumId w:val="22"/>
  </w:num>
  <w:num w:numId="12" w16cid:durableId="1100221140">
    <w:abstractNumId w:val="7"/>
  </w:num>
  <w:num w:numId="13" w16cid:durableId="879709685">
    <w:abstractNumId w:val="12"/>
  </w:num>
  <w:num w:numId="14" w16cid:durableId="611667388">
    <w:abstractNumId w:val="2"/>
  </w:num>
  <w:num w:numId="15" w16cid:durableId="1730878248">
    <w:abstractNumId w:val="8"/>
  </w:num>
  <w:num w:numId="16" w16cid:durableId="1629815321">
    <w:abstractNumId w:val="10"/>
  </w:num>
  <w:num w:numId="17" w16cid:durableId="1537428403">
    <w:abstractNumId w:val="15"/>
  </w:num>
  <w:num w:numId="18" w16cid:durableId="1107121566">
    <w:abstractNumId w:val="11"/>
  </w:num>
  <w:num w:numId="19" w16cid:durableId="2035449686">
    <w:abstractNumId w:val="6"/>
  </w:num>
  <w:num w:numId="20" w16cid:durableId="184710222">
    <w:abstractNumId w:val="21"/>
  </w:num>
  <w:num w:numId="21" w16cid:durableId="2011325996">
    <w:abstractNumId w:val="1"/>
  </w:num>
  <w:num w:numId="22" w16cid:durableId="847795349">
    <w:abstractNumId w:val="16"/>
  </w:num>
  <w:num w:numId="23" w16cid:durableId="786892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11CFA"/>
    <w:rsid w:val="0001790A"/>
    <w:rsid w:val="000407C0"/>
    <w:rsid w:val="00047E75"/>
    <w:rsid w:val="000725B9"/>
    <w:rsid w:val="00094911"/>
    <w:rsid w:val="000A1969"/>
    <w:rsid w:val="000F4259"/>
    <w:rsid w:val="00100E0C"/>
    <w:rsid w:val="00104144"/>
    <w:rsid w:val="00104A62"/>
    <w:rsid w:val="00120EE2"/>
    <w:rsid w:val="00122505"/>
    <w:rsid w:val="001320E7"/>
    <w:rsid w:val="0013294F"/>
    <w:rsid w:val="0014250A"/>
    <w:rsid w:val="00144466"/>
    <w:rsid w:val="0015264F"/>
    <w:rsid w:val="00157547"/>
    <w:rsid w:val="00167A80"/>
    <w:rsid w:val="00184901"/>
    <w:rsid w:val="0018537B"/>
    <w:rsid w:val="0018742A"/>
    <w:rsid w:val="00194035"/>
    <w:rsid w:val="001A3758"/>
    <w:rsid w:val="001A3D43"/>
    <w:rsid w:val="001A4CFA"/>
    <w:rsid w:val="001B3A17"/>
    <w:rsid w:val="001B472E"/>
    <w:rsid w:val="001E0110"/>
    <w:rsid w:val="001E32A0"/>
    <w:rsid w:val="00203B35"/>
    <w:rsid w:val="002138F8"/>
    <w:rsid w:val="00213C04"/>
    <w:rsid w:val="002304C4"/>
    <w:rsid w:val="0024742F"/>
    <w:rsid w:val="00260EBC"/>
    <w:rsid w:val="00262DEA"/>
    <w:rsid w:val="00263826"/>
    <w:rsid w:val="00274ECE"/>
    <w:rsid w:val="002858C0"/>
    <w:rsid w:val="002A5E73"/>
    <w:rsid w:val="002B0CE8"/>
    <w:rsid w:val="002C2D46"/>
    <w:rsid w:val="002D613E"/>
    <w:rsid w:val="002D6EF8"/>
    <w:rsid w:val="002E03F6"/>
    <w:rsid w:val="00303B3A"/>
    <w:rsid w:val="003272EB"/>
    <w:rsid w:val="00331654"/>
    <w:rsid w:val="00353161"/>
    <w:rsid w:val="0035595A"/>
    <w:rsid w:val="00360B34"/>
    <w:rsid w:val="003619F4"/>
    <w:rsid w:val="00371CD7"/>
    <w:rsid w:val="00390987"/>
    <w:rsid w:val="003C193B"/>
    <w:rsid w:val="003E2EDD"/>
    <w:rsid w:val="003E7AE8"/>
    <w:rsid w:val="00402C65"/>
    <w:rsid w:val="00404968"/>
    <w:rsid w:val="0041043F"/>
    <w:rsid w:val="00422631"/>
    <w:rsid w:val="00424856"/>
    <w:rsid w:val="004557A0"/>
    <w:rsid w:val="00494DC0"/>
    <w:rsid w:val="004B1BB5"/>
    <w:rsid w:val="004C11EB"/>
    <w:rsid w:val="004D370D"/>
    <w:rsid w:val="004D56C0"/>
    <w:rsid w:val="004D7C5F"/>
    <w:rsid w:val="004F338D"/>
    <w:rsid w:val="004F3DDF"/>
    <w:rsid w:val="004F559C"/>
    <w:rsid w:val="004F7E50"/>
    <w:rsid w:val="00502777"/>
    <w:rsid w:val="005035B6"/>
    <w:rsid w:val="00510A04"/>
    <w:rsid w:val="005139D7"/>
    <w:rsid w:val="00513DF6"/>
    <w:rsid w:val="00525A38"/>
    <w:rsid w:val="00552EC3"/>
    <w:rsid w:val="00563046"/>
    <w:rsid w:val="00564F74"/>
    <w:rsid w:val="00587AF6"/>
    <w:rsid w:val="00595C31"/>
    <w:rsid w:val="005B0CD2"/>
    <w:rsid w:val="005B7369"/>
    <w:rsid w:val="005C0D4E"/>
    <w:rsid w:val="005C4E52"/>
    <w:rsid w:val="005D7D7A"/>
    <w:rsid w:val="005E43DC"/>
    <w:rsid w:val="005E4EA0"/>
    <w:rsid w:val="005E4EE0"/>
    <w:rsid w:val="006079DD"/>
    <w:rsid w:val="00614907"/>
    <w:rsid w:val="00633DB4"/>
    <w:rsid w:val="0063722C"/>
    <w:rsid w:val="006433A1"/>
    <w:rsid w:val="00653DF0"/>
    <w:rsid w:val="00657052"/>
    <w:rsid w:val="00661CAB"/>
    <w:rsid w:val="006876E1"/>
    <w:rsid w:val="006A28F9"/>
    <w:rsid w:val="006C07D3"/>
    <w:rsid w:val="006C4E14"/>
    <w:rsid w:val="006D1CF8"/>
    <w:rsid w:val="006D3218"/>
    <w:rsid w:val="006D5586"/>
    <w:rsid w:val="006E4E1D"/>
    <w:rsid w:val="006F0701"/>
    <w:rsid w:val="007061C4"/>
    <w:rsid w:val="00716E4C"/>
    <w:rsid w:val="00726939"/>
    <w:rsid w:val="007420E3"/>
    <w:rsid w:val="0076363E"/>
    <w:rsid w:val="0076491B"/>
    <w:rsid w:val="007715BF"/>
    <w:rsid w:val="007839A3"/>
    <w:rsid w:val="007B75AF"/>
    <w:rsid w:val="007E1527"/>
    <w:rsid w:val="007E2458"/>
    <w:rsid w:val="007E444A"/>
    <w:rsid w:val="00801F80"/>
    <w:rsid w:val="00805E3F"/>
    <w:rsid w:val="0081336A"/>
    <w:rsid w:val="008137BA"/>
    <w:rsid w:val="0083279A"/>
    <w:rsid w:val="008407CD"/>
    <w:rsid w:val="008873C3"/>
    <w:rsid w:val="008A6067"/>
    <w:rsid w:val="008A68BA"/>
    <w:rsid w:val="008C0B41"/>
    <w:rsid w:val="008C3288"/>
    <w:rsid w:val="008C7755"/>
    <w:rsid w:val="008D6737"/>
    <w:rsid w:val="008E44B8"/>
    <w:rsid w:val="008E7332"/>
    <w:rsid w:val="008F467F"/>
    <w:rsid w:val="00925B67"/>
    <w:rsid w:val="009339FF"/>
    <w:rsid w:val="009346B6"/>
    <w:rsid w:val="00981CED"/>
    <w:rsid w:val="00981FDC"/>
    <w:rsid w:val="00994A27"/>
    <w:rsid w:val="009B11F7"/>
    <w:rsid w:val="009B2828"/>
    <w:rsid w:val="009B5795"/>
    <w:rsid w:val="009D12A2"/>
    <w:rsid w:val="00A01902"/>
    <w:rsid w:val="00A349F1"/>
    <w:rsid w:val="00A36981"/>
    <w:rsid w:val="00A410EB"/>
    <w:rsid w:val="00A5684C"/>
    <w:rsid w:val="00A60BFF"/>
    <w:rsid w:val="00A71A57"/>
    <w:rsid w:val="00AC04A6"/>
    <w:rsid w:val="00AC06B7"/>
    <w:rsid w:val="00AC0C27"/>
    <w:rsid w:val="00AE2DB6"/>
    <w:rsid w:val="00AF1B20"/>
    <w:rsid w:val="00AF3EEB"/>
    <w:rsid w:val="00AF6760"/>
    <w:rsid w:val="00B05263"/>
    <w:rsid w:val="00B052CC"/>
    <w:rsid w:val="00B23E95"/>
    <w:rsid w:val="00B40A20"/>
    <w:rsid w:val="00B5307F"/>
    <w:rsid w:val="00B649E1"/>
    <w:rsid w:val="00B70035"/>
    <w:rsid w:val="00B710A2"/>
    <w:rsid w:val="00B86BF4"/>
    <w:rsid w:val="00B873C1"/>
    <w:rsid w:val="00BA1484"/>
    <w:rsid w:val="00BB1E5D"/>
    <w:rsid w:val="00BD577C"/>
    <w:rsid w:val="00C074CB"/>
    <w:rsid w:val="00C142FE"/>
    <w:rsid w:val="00C44071"/>
    <w:rsid w:val="00C46331"/>
    <w:rsid w:val="00C5172C"/>
    <w:rsid w:val="00C5562A"/>
    <w:rsid w:val="00C6270E"/>
    <w:rsid w:val="00C64831"/>
    <w:rsid w:val="00C656CE"/>
    <w:rsid w:val="00C6717E"/>
    <w:rsid w:val="00C76B54"/>
    <w:rsid w:val="00C85FC5"/>
    <w:rsid w:val="00C8654A"/>
    <w:rsid w:val="00C9187A"/>
    <w:rsid w:val="00CA0CFC"/>
    <w:rsid w:val="00CA48E0"/>
    <w:rsid w:val="00CB01D0"/>
    <w:rsid w:val="00CC5C16"/>
    <w:rsid w:val="00CD0931"/>
    <w:rsid w:val="00CD2381"/>
    <w:rsid w:val="00CE5136"/>
    <w:rsid w:val="00D01836"/>
    <w:rsid w:val="00D10A62"/>
    <w:rsid w:val="00D200A6"/>
    <w:rsid w:val="00D443CE"/>
    <w:rsid w:val="00D64077"/>
    <w:rsid w:val="00D7675E"/>
    <w:rsid w:val="00D875A9"/>
    <w:rsid w:val="00D94893"/>
    <w:rsid w:val="00DB5661"/>
    <w:rsid w:val="00DC63D5"/>
    <w:rsid w:val="00DD537B"/>
    <w:rsid w:val="00DE73FA"/>
    <w:rsid w:val="00E34556"/>
    <w:rsid w:val="00E51A78"/>
    <w:rsid w:val="00E624F4"/>
    <w:rsid w:val="00E72109"/>
    <w:rsid w:val="00E80F1B"/>
    <w:rsid w:val="00E91CEE"/>
    <w:rsid w:val="00E9788D"/>
    <w:rsid w:val="00EA14CE"/>
    <w:rsid w:val="00ED27FC"/>
    <w:rsid w:val="00EF1942"/>
    <w:rsid w:val="00F61E36"/>
    <w:rsid w:val="00F716A1"/>
    <w:rsid w:val="00F72B1E"/>
    <w:rsid w:val="00F920CA"/>
    <w:rsid w:val="00F94324"/>
    <w:rsid w:val="00FA3765"/>
    <w:rsid w:val="00FC2F35"/>
    <w:rsid w:val="00FD394F"/>
    <w:rsid w:val="00FD70B8"/>
    <w:rsid w:val="00FE4E53"/>
    <w:rsid w:val="00FE50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B9DE5050-6A63-4544-A861-1138BE27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GridTable1Light-Accent5">
    <w:name w:val="Grid Table 1 Light Accent 5"/>
    <w:basedOn w:val="TableNormal"/>
    <w:uiPriority w:val="46"/>
    <w:rsid w:val="00E9788D"/>
    <w:tblPr>
      <w:tblStyleRowBandSize w:val="1"/>
      <w:tblStyleColBandSize w:val="1"/>
      <w:tblBorders>
        <w:top w:val="single" w:sz="4" w:space="0" w:color="F9C2AA" w:themeColor="accent5" w:themeTint="66"/>
        <w:left w:val="single" w:sz="4" w:space="0" w:color="F9C2AA" w:themeColor="accent5" w:themeTint="66"/>
        <w:bottom w:val="single" w:sz="4" w:space="0" w:color="F9C2AA" w:themeColor="accent5" w:themeTint="66"/>
        <w:right w:val="single" w:sz="4" w:space="0" w:color="F9C2AA" w:themeColor="accent5" w:themeTint="66"/>
        <w:insideH w:val="single" w:sz="4" w:space="0" w:color="F9C2AA" w:themeColor="accent5" w:themeTint="66"/>
        <w:insideV w:val="single" w:sz="4" w:space="0" w:color="F9C2AA" w:themeColor="accent5" w:themeTint="66"/>
      </w:tblBorders>
    </w:tblPr>
    <w:tblStylePr w:type="firstRow">
      <w:rPr>
        <w:b/>
        <w:bCs/>
      </w:rPr>
      <w:tblPr/>
      <w:tcPr>
        <w:tcBorders>
          <w:bottom w:val="single" w:sz="12" w:space="0" w:color="F7A47F" w:themeColor="accent5" w:themeTint="99"/>
        </w:tcBorders>
      </w:tcPr>
    </w:tblStylePr>
    <w:tblStylePr w:type="lastRow">
      <w:rPr>
        <w:b/>
        <w:bCs/>
      </w:rPr>
      <w:tblPr/>
      <w:tcPr>
        <w:tcBorders>
          <w:top w:val="double" w:sz="2" w:space="0" w:color="F7A47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B0CE8"/>
    <w:rPr>
      <w:sz w:val="16"/>
      <w:szCs w:val="16"/>
    </w:rPr>
  </w:style>
  <w:style w:type="paragraph" w:styleId="CommentText">
    <w:name w:val="annotation text"/>
    <w:basedOn w:val="Normal"/>
    <w:link w:val="CommentTextChar"/>
    <w:uiPriority w:val="99"/>
    <w:unhideWhenUsed/>
    <w:rsid w:val="002B0CE8"/>
    <w:pPr>
      <w:spacing w:line="240" w:lineRule="auto"/>
    </w:pPr>
    <w:rPr>
      <w:sz w:val="20"/>
      <w:szCs w:val="20"/>
    </w:rPr>
  </w:style>
  <w:style w:type="character" w:customStyle="1" w:styleId="CommentTextChar">
    <w:name w:val="Comment Text Char"/>
    <w:basedOn w:val="DefaultParagraphFont"/>
    <w:link w:val="CommentText"/>
    <w:uiPriority w:val="99"/>
    <w:rsid w:val="002B0C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0CE8"/>
    <w:rPr>
      <w:b/>
      <w:bCs/>
    </w:rPr>
  </w:style>
  <w:style w:type="character" w:customStyle="1" w:styleId="CommentSubjectChar">
    <w:name w:val="Comment Subject Char"/>
    <w:basedOn w:val="CommentTextChar"/>
    <w:link w:val="CommentSubject"/>
    <w:uiPriority w:val="99"/>
    <w:semiHidden/>
    <w:rsid w:val="002B0CE8"/>
    <w:rPr>
      <w:rFonts w:ascii="Arial" w:hAnsi="Arial"/>
      <w:b/>
      <w:bCs/>
      <w:sz w:val="20"/>
      <w:szCs w:val="20"/>
    </w:rPr>
  </w:style>
  <w:style w:type="table" w:styleId="GridTable1Light-Accent4">
    <w:name w:val="Grid Table 1 Light Accent 4"/>
    <w:basedOn w:val="TableNormal"/>
    <w:uiPriority w:val="46"/>
    <w:rsid w:val="001E0110"/>
    <w:tblPr>
      <w:tblStyleRowBandSize w:val="1"/>
      <w:tblStyleColBandSize w:val="1"/>
      <w:tblBorders>
        <w:top w:val="single" w:sz="4" w:space="0" w:color="F0BBC3" w:themeColor="accent4" w:themeTint="66"/>
        <w:left w:val="single" w:sz="4" w:space="0" w:color="F0BBC3" w:themeColor="accent4" w:themeTint="66"/>
        <w:bottom w:val="single" w:sz="4" w:space="0" w:color="F0BBC3" w:themeColor="accent4" w:themeTint="66"/>
        <w:right w:val="single" w:sz="4" w:space="0" w:color="F0BBC3" w:themeColor="accent4" w:themeTint="66"/>
        <w:insideH w:val="single" w:sz="4" w:space="0" w:color="F0BBC3" w:themeColor="accent4" w:themeTint="66"/>
        <w:insideV w:val="single" w:sz="4" w:space="0" w:color="F0BBC3" w:themeColor="accent4" w:themeTint="66"/>
      </w:tblBorders>
    </w:tblPr>
    <w:tblStylePr w:type="firstRow">
      <w:rPr>
        <w:b/>
        <w:bCs/>
      </w:rPr>
      <w:tblPr/>
      <w:tcPr>
        <w:tcBorders>
          <w:bottom w:val="single" w:sz="12" w:space="0" w:color="E89AA6" w:themeColor="accent4" w:themeTint="99"/>
        </w:tcBorders>
      </w:tcPr>
    </w:tblStylePr>
    <w:tblStylePr w:type="lastRow">
      <w:rPr>
        <w:b/>
        <w:bCs/>
      </w:rPr>
      <w:tblPr/>
      <w:tcPr>
        <w:tcBorders>
          <w:top w:val="double" w:sz="2" w:space="0" w:color="E89AA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0F1B"/>
    <w:tblPr>
      <w:tblStyleRowBandSize w:val="1"/>
      <w:tblStyleColBandSize w:val="1"/>
      <w:tblBorders>
        <w:top w:val="single" w:sz="4" w:space="0" w:color="FAE0A6" w:themeColor="accent6" w:themeTint="66"/>
        <w:left w:val="single" w:sz="4" w:space="0" w:color="FAE0A6" w:themeColor="accent6" w:themeTint="66"/>
        <w:bottom w:val="single" w:sz="4" w:space="0" w:color="FAE0A6" w:themeColor="accent6" w:themeTint="66"/>
        <w:right w:val="single" w:sz="4" w:space="0" w:color="FAE0A6" w:themeColor="accent6" w:themeTint="66"/>
        <w:insideH w:val="single" w:sz="4" w:space="0" w:color="FAE0A6" w:themeColor="accent6" w:themeTint="66"/>
        <w:insideV w:val="single" w:sz="4" w:space="0" w:color="FAE0A6" w:themeColor="accent6" w:themeTint="66"/>
      </w:tblBorders>
    </w:tblPr>
    <w:tblStylePr w:type="firstRow">
      <w:rPr>
        <w:b/>
        <w:bCs/>
      </w:rPr>
      <w:tblPr/>
      <w:tcPr>
        <w:tcBorders>
          <w:bottom w:val="single" w:sz="12" w:space="0" w:color="F7D07A" w:themeColor="accent6" w:themeTint="99"/>
        </w:tcBorders>
      </w:tcPr>
    </w:tblStylePr>
    <w:tblStylePr w:type="lastRow">
      <w:rPr>
        <w:b/>
        <w:bCs/>
      </w:rPr>
      <w:tblPr/>
      <w:tcPr>
        <w:tcBorders>
          <w:top w:val="double" w:sz="2" w:space="0" w:color="F7D07A"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01D0"/>
    <w:tblPr>
      <w:tblStyleRowBandSize w:val="1"/>
      <w:tblStyleColBandSize w:val="1"/>
      <w:tblBorders>
        <w:top w:val="single" w:sz="4" w:space="0" w:color="C8E5B3" w:themeColor="accent2" w:themeTint="66"/>
        <w:left w:val="single" w:sz="4" w:space="0" w:color="C8E5B3" w:themeColor="accent2" w:themeTint="66"/>
        <w:bottom w:val="single" w:sz="4" w:space="0" w:color="C8E5B3" w:themeColor="accent2" w:themeTint="66"/>
        <w:right w:val="single" w:sz="4" w:space="0" w:color="C8E5B3" w:themeColor="accent2" w:themeTint="66"/>
        <w:insideH w:val="single" w:sz="4" w:space="0" w:color="C8E5B3" w:themeColor="accent2" w:themeTint="66"/>
        <w:insideV w:val="single" w:sz="4" w:space="0" w:color="C8E5B3" w:themeColor="accent2" w:themeTint="66"/>
      </w:tblBorders>
    </w:tblPr>
    <w:tblStylePr w:type="firstRow">
      <w:rPr>
        <w:b/>
        <w:bCs/>
      </w:rPr>
      <w:tblPr/>
      <w:tcPr>
        <w:tcBorders>
          <w:bottom w:val="single" w:sz="12" w:space="0" w:color="ADD88E" w:themeColor="accent2" w:themeTint="99"/>
        </w:tcBorders>
      </w:tcPr>
    </w:tblStylePr>
    <w:tblStylePr w:type="lastRow">
      <w:rPr>
        <w:b/>
        <w:bCs/>
      </w:rPr>
      <w:tblPr/>
      <w:tcPr>
        <w:tcBorders>
          <w:top w:val="double" w:sz="2" w:space="0" w:color="ADD88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8731">
      <w:bodyDiv w:val="1"/>
      <w:marLeft w:val="0"/>
      <w:marRight w:val="0"/>
      <w:marTop w:val="0"/>
      <w:marBottom w:val="0"/>
      <w:divBdr>
        <w:top w:val="none" w:sz="0" w:space="0" w:color="auto"/>
        <w:left w:val="none" w:sz="0" w:space="0" w:color="auto"/>
        <w:bottom w:val="none" w:sz="0" w:space="0" w:color="auto"/>
        <w:right w:val="none" w:sz="0" w:space="0" w:color="auto"/>
      </w:divBdr>
      <w:divsChild>
        <w:div w:id="945575669">
          <w:marLeft w:val="274"/>
          <w:marRight w:val="0"/>
          <w:marTop w:val="0"/>
          <w:marBottom w:val="0"/>
          <w:divBdr>
            <w:top w:val="none" w:sz="0" w:space="0" w:color="auto"/>
            <w:left w:val="none" w:sz="0" w:space="0" w:color="auto"/>
            <w:bottom w:val="none" w:sz="0" w:space="0" w:color="auto"/>
            <w:right w:val="none" w:sz="0" w:space="0" w:color="auto"/>
          </w:divBdr>
        </w:div>
        <w:div w:id="1799644119">
          <w:marLeft w:val="274"/>
          <w:marRight w:val="0"/>
          <w:marTop w:val="0"/>
          <w:marBottom w:val="0"/>
          <w:divBdr>
            <w:top w:val="none" w:sz="0" w:space="0" w:color="auto"/>
            <w:left w:val="none" w:sz="0" w:space="0" w:color="auto"/>
            <w:bottom w:val="none" w:sz="0" w:space="0" w:color="auto"/>
            <w:right w:val="none" w:sz="0" w:space="0" w:color="auto"/>
          </w:divBdr>
        </w:div>
        <w:div w:id="1921333422">
          <w:marLeft w:val="274"/>
          <w:marRight w:val="0"/>
          <w:marTop w:val="0"/>
          <w:marBottom w:val="0"/>
          <w:divBdr>
            <w:top w:val="none" w:sz="0" w:space="0" w:color="auto"/>
            <w:left w:val="none" w:sz="0" w:space="0" w:color="auto"/>
            <w:bottom w:val="none" w:sz="0" w:space="0" w:color="auto"/>
            <w:right w:val="none" w:sz="0" w:space="0" w:color="auto"/>
          </w:divBdr>
        </w:div>
      </w:divsChild>
    </w:div>
    <w:div w:id="162665638">
      <w:bodyDiv w:val="1"/>
      <w:marLeft w:val="0"/>
      <w:marRight w:val="0"/>
      <w:marTop w:val="0"/>
      <w:marBottom w:val="0"/>
      <w:divBdr>
        <w:top w:val="none" w:sz="0" w:space="0" w:color="auto"/>
        <w:left w:val="none" w:sz="0" w:space="0" w:color="auto"/>
        <w:bottom w:val="none" w:sz="0" w:space="0" w:color="auto"/>
        <w:right w:val="none" w:sz="0" w:space="0" w:color="auto"/>
      </w:divBdr>
      <w:divsChild>
        <w:div w:id="201133946">
          <w:marLeft w:val="274"/>
          <w:marRight w:val="0"/>
          <w:marTop w:val="0"/>
          <w:marBottom w:val="0"/>
          <w:divBdr>
            <w:top w:val="none" w:sz="0" w:space="0" w:color="auto"/>
            <w:left w:val="none" w:sz="0" w:space="0" w:color="auto"/>
            <w:bottom w:val="none" w:sz="0" w:space="0" w:color="auto"/>
            <w:right w:val="none" w:sz="0" w:space="0" w:color="auto"/>
          </w:divBdr>
        </w:div>
        <w:div w:id="1015810366">
          <w:marLeft w:val="274"/>
          <w:marRight w:val="0"/>
          <w:marTop w:val="0"/>
          <w:marBottom w:val="0"/>
          <w:divBdr>
            <w:top w:val="none" w:sz="0" w:space="0" w:color="auto"/>
            <w:left w:val="none" w:sz="0" w:space="0" w:color="auto"/>
            <w:bottom w:val="none" w:sz="0" w:space="0" w:color="auto"/>
            <w:right w:val="none" w:sz="0" w:space="0" w:color="auto"/>
          </w:divBdr>
        </w:div>
        <w:div w:id="1799641134">
          <w:marLeft w:val="274"/>
          <w:marRight w:val="0"/>
          <w:marTop w:val="0"/>
          <w:marBottom w:val="0"/>
          <w:divBdr>
            <w:top w:val="none" w:sz="0" w:space="0" w:color="auto"/>
            <w:left w:val="none" w:sz="0" w:space="0" w:color="auto"/>
            <w:bottom w:val="none" w:sz="0" w:space="0" w:color="auto"/>
            <w:right w:val="none" w:sz="0" w:space="0" w:color="auto"/>
          </w:divBdr>
        </w:div>
        <w:div w:id="2092386970">
          <w:marLeft w:val="274"/>
          <w:marRight w:val="0"/>
          <w:marTop w:val="0"/>
          <w:marBottom w:val="0"/>
          <w:divBdr>
            <w:top w:val="none" w:sz="0" w:space="0" w:color="auto"/>
            <w:left w:val="none" w:sz="0" w:space="0" w:color="auto"/>
            <w:bottom w:val="none" w:sz="0" w:space="0" w:color="auto"/>
            <w:right w:val="none" w:sz="0" w:space="0" w:color="auto"/>
          </w:divBdr>
        </w:div>
      </w:divsChild>
    </w:div>
    <w:div w:id="237979918">
      <w:bodyDiv w:val="1"/>
      <w:marLeft w:val="0"/>
      <w:marRight w:val="0"/>
      <w:marTop w:val="0"/>
      <w:marBottom w:val="0"/>
      <w:divBdr>
        <w:top w:val="none" w:sz="0" w:space="0" w:color="auto"/>
        <w:left w:val="none" w:sz="0" w:space="0" w:color="auto"/>
        <w:bottom w:val="none" w:sz="0" w:space="0" w:color="auto"/>
        <w:right w:val="none" w:sz="0" w:space="0" w:color="auto"/>
      </w:divBdr>
      <w:divsChild>
        <w:div w:id="1472746432">
          <w:marLeft w:val="274"/>
          <w:marRight w:val="0"/>
          <w:marTop w:val="0"/>
          <w:marBottom w:val="0"/>
          <w:divBdr>
            <w:top w:val="none" w:sz="0" w:space="0" w:color="auto"/>
            <w:left w:val="none" w:sz="0" w:space="0" w:color="auto"/>
            <w:bottom w:val="none" w:sz="0" w:space="0" w:color="auto"/>
            <w:right w:val="none" w:sz="0" w:space="0" w:color="auto"/>
          </w:divBdr>
        </w:div>
      </w:divsChild>
    </w:div>
    <w:div w:id="249974198">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24959535">
      <w:bodyDiv w:val="1"/>
      <w:marLeft w:val="0"/>
      <w:marRight w:val="0"/>
      <w:marTop w:val="0"/>
      <w:marBottom w:val="0"/>
      <w:divBdr>
        <w:top w:val="none" w:sz="0" w:space="0" w:color="auto"/>
        <w:left w:val="none" w:sz="0" w:space="0" w:color="auto"/>
        <w:bottom w:val="none" w:sz="0" w:space="0" w:color="auto"/>
        <w:right w:val="none" w:sz="0" w:space="0" w:color="auto"/>
      </w:divBdr>
      <w:divsChild>
        <w:div w:id="100876823">
          <w:marLeft w:val="274"/>
          <w:marRight w:val="0"/>
          <w:marTop w:val="0"/>
          <w:marBottom w:val="0"/>
          <w:divBdr>
            <w:top w:val="none" w:sz="0" w:space="0" w:color="auto"/>
            <w:left w:val="none" w:sz="0" w:space="0" w:color="auto"/>
            <w:bottom w:val="none" w:sz="0" w:space="0" w:color="auto"/>
            <w:right w:val="none" w:sz="0" w:space="0" w:color="auto"/>
          </w:divBdr>
        </w:div>
        <w:div w:id="550459228">
          <w:marLeft w:val="274"/>
          <w:marRight w:val="0"/>
          <w:marTop w:val="0"/>
          <w:marBottom w:val="0"/>
          <w:divBdr>
            <w:top w:val="none" w:sz="0" w:space="0" w:color="auto"/>
            <w:left w:val="none" w:sz="0" w:space="0" w:color="auto"/>
            <w:bottom w:val="none" w:sz="0" w:space="0" w:color="auto"/>
            <w:right w:val="none" w:sz="0" w:space="0" w:color="auto"/>
          </w:divBdr>
        </w:div>
        <w:div w:id="600799664">
          <w:marLeft w:val="274"/>
          <w:marRight w:val="0"/>
          <w:marTop w:val="0"/>
          <w:marBottom w:val="0"/>
          <w:divBdr>
            <w:top w:val="none" w:sz="0" w:space="0" w:color="auto"/>
            <w:left w:val="none" w:sz="0" w:space="0" w:color="auto"/>
            <w:bottom w:val="none" w:sz="0" w:space="0" w:color="auto"/>
            <w:right w:val="none" w:sz="0" w:space="0" w:color="auto"/>
          </w:divBdr>
        </w:div>
        <w:div w:id="1723289647">
          <w:marLeft w:val="274"/>
          <w:marRight w:val="0"/>
          <w:marTop w:val="0"/>
          <w:marBottom w:val="0"/>
          <w:divBdr>
            <w:top w:val="none" w:sz="0" w:space="0" w:color="auto"/>
            <w:left w:val="none" w:sz="0" w:space="0" w:color="auto"/>
            <w:bottom w:val="none" w:sz="0" w:space="0" w:color="auto"/>
            <w:right w:val="none" w:sz="0" w:space="0" w:color="auto"/>
          </w:divBdr>
        </w:div>
        <w:div w:id="1999070319">
          <w:marLeft w:val="274"/>
          <w:marRight w:val="0"/>
          <w:marTop w:val="0"/>
          <w:marBottom w:val="0"/>
          <w:divBdr>
            <w:top w:val="none" w:sz="0" w:space="0" w:color="auto"/>
            <w:left w:val="none" w:sz="0" w:space="0" w:color="auto"/>
            <w:bottom w:val="none" w:sz="0" w:space="0" w:color="auto"/>
            <w:right w:val="none" w:sz="0" w:space="0" w:color="auto"/>
          </w:divBdr>
        </w:div>
        <w:div w:id="2055763291">
          <w:marLeft w:val="274"/>
          <w:marRight w:val="0"/>
          <w:marTop w:val="0"/>
          <w:marBottom w:val="0"/>
          <w:divBdr>
            <w:top w:val="none" w:sz="0" w:space="0" w:color="auto"/>
            <w:left w:val="none" w:sz="0" w:space="0" w:color="auto"/>
            <w:bottom w:val="none" w:sz="0" w:space="0" w:color="auto"/>
            <w:right w:val="none" w:sz="0" w:space="0" w:color="auto"/>
          </w:divBdr>
        </w:div>
      </w:divsChild>
    </w:div>
    <w:div w:id="492336411">
      <w:bodyDiv w:val="1"/>
      <w:marLeft w:val="0"/>
      <w:marRight w:val="0"/>
      <w:marTop w:val="0"/>
      <w:marBottom w:val="0"/>
      <w:divBdr>
        <w:top w:val="none" w:sz="0" w:space="0" w:color="auto"/>
        <w:left w:val="none" w:sz="0" w:space="0" w:color="auto"/>
        <w:bottom w:val="none" w:sz="0" w:space="0" w:color="auto"/>
        <w:right w:val="none" w:sz="0" w:space="0" w:color="auto"/>
      </w:divBdr>
    </w:div>
    <w:div w:id="545265703">
      <w:bodyDiv w:val="1"/>
      <w:marLeft w:val="0"/>
      <w:marRight w:val="0"/>
      <w:marTop w:val="0"/>
      <w:marBottom w:val="0"/>
      <w:divBdr>
        <w:top w:val="none" w:sz="0" w:space="0" w:color="auto"/>
        <w:left w:val="none" w:sz="0" w:space="0" w:color="auto"/>
        <w:bottom w:val="none" w:sz="0" w:space="0" w:color="auto"/>
        <w:right w:val="none" w:sz="0" w:space="0" w:color="auto"/>
      </w:divBdr>
    </w:div>
    <w:div w:id="588122459">
      <w:bodyDiv w:val="1"/>
      <w:marLeft w:val="0"/>
      <w:marRight w:val="0"/>
      <w:marTop w:val="0"/>
      <w:marBottom w:val="0"/>
      <w:divBdr>
        <w:top w:val="none" w:sz="0" w:space="0" w:color="auto"/>
        <w:left w:val="none" w:sz="0" w:space="0" w:color="auto"/>
        <w:bottom w:val="none" w:sz="0" w:space="0" w:color="auto"/>
        <w:right w:val="none" w:sz="0" w:space="0" w:color="auto"/>
      </w:divBdr>
    </w:div>
    <w:div w:id="624654905">
      <w:bodyDiv w:val="1"/>
      <w:marLeft w:val="0"/>
      <w:marRight w:val="0"/>
      <w:marTop w:val="0"/>
      <w:marBottom w:val="0"/>
      <w:divBdr>
        <w:top w:val="none" w:sz="0" w:space="0" w:color="auto"/>
        <w:left w:val="none" w:sz="0" w:space="0" w:color="auto"/>
        <w:bottom w:val="none" w:sz="0" w:space="0" w:color="auto"/>
        <w:right w:val="none" w:sz="0" w:space="0" w:color="auto"/>
      </w:divBdr>
    </w:div>
    <w:div w:id="876238818">
      <w:bodyDiv w:val="1"/>
      <w:marLeft w:val="0"/>
      <w:marRight w:val="0"/>
      <w:marTop w:val="0"/>
      <w:marBottom w:val="0"/>
      <w:divBdr>
        <w:top w:val="none" w:sz="0" w:space="0" w:color="auto"/>
        <w:left w:val="none" w:sz="0" w:space="0" w:color="auto"/>
        <w:bottom w:val="none" w:sz="0" w:space="0" w:color="auto"/>
        <w:right w:val="none" w:sz="0" w:space="0" w:color="auto"/>
      </w:divBdr>
      <w:divsChild>
        <w:div w:id="66151817">
          <w:marLeft w:val="274"/>
          <w:marRight w:val="0"/>
          <w:marTop w:val="0"/>
          <w:marBottom w:val="0"/>
          <w:divBdr>
            <w:top w:val="none" w:sz="0" w:space="0" w:color="auto"/>
            <w:left w:val="none" w:sz="0" w:space="0" w:color="auto"/>
            <w:bottom w:val="none" w:sz="0" w:space="0" w:color="auto"/>
            <w:right w:val="none" w:sz="0" w:space="0" w:color="auto"/>
          </w:divBdr>
        </w:div>
        <w:div w:id="343557720">
          <w:marLeft w:val="274"/>
          <w:marRight w:val="0"/>
          <w:marTop w:val="0"/>
          <w:marBottom w:val="0"/>
          <w:divBdr>
            <w:top w:val="none" w:sz="0" w:space="0" w:color="auto"/>
            <w:left w:val="none" w:sz="0" w:space="0" w:color="auto"/>
            <w:bottom w:val="none" w:sz="0" w:space="0" w:color="auto"/>
            <w:right w:val="none" w:sz="0" w:space="0" w:color="auto"/>
          </w:divBdr>
        </w:div>
        <w:div w:id="1864249132">
          <w:marLeft w:val="274"/>
          <w:marRight w:val="0"/>
          <w:marTop w:val="0"/>
          <w:marBottom w:val="0"/>
          <w:divBdr>
            <w:top w:val="none" w:sz="0" w:space="0" w:color="auto"/>
            <w:left w:val="none" w:sz="0" w:space="0" w:color="auto"/>
            <w:bottom w:val="none" w:sz="0" w:space="0" w:color="auto"/>
            <w:right w:val="none" w:sz="0" w:space="0" w:color="auto"/>
          </w:divBdr>
        </w:div>
      </w:divsChild>
    </w:div>
    <w:div w:id="956761318">
      <w:bodyDiv w:val="1"/>
      <w:marLeft w:val="0"/>
      <w:marRight w:val="0"/>
      <w:marTop w:val="0"/>
      <w:marBottom w:val="0"/>
      <w:divBdr>
        <w:top w:val="none" w:sz="0" w:space="0" w:color="auto"/>
        <w:left w:val="none" w:sz="0" w:space="0" w:color="auto"/>
        <w:bottom w:val="none" w:sz="0" w:space="0" w:color="auto"/>
        <w:right w:val="none" w:sz="0" w:space="0" w:color="auto"/>
      </w:divBdr>
      <w:divsChild>
        <w:div w:id="477917392">
          <w:marLeft w:val="274"/>
          <w:marRight w:val="0"/>
          <w:marTop w:val="0"/>
          <w:marBottom w:val="0"/>
          <w:divBdr>
            <w:top w:val="none" w:sz="0" w:space="0" w:color="auto"/>
            <w:left w:val="none" w:sz="0" w:space="0" w:color="auto"/>
            <w:bottom w:val="none" w:sz="0" w:space="0" w:color="auto"/>
            <w:right w:val="none" w:sz="0" w:space="0" w:color="auto"/>
          </w:divBdr>
        </w:div>
        <w:div w:id="1245148833">
          <w:marLeft w:val="274"/>
          <w:marRight w:val="0"/>
          <w:marTop w:val="0"/>
          <w:marBottom w:val="0"/>
          <w:divBdr>
            <w:top w:val="none" w:sz="0" w:space="0" w:color="auto"/>
            <w:left w:val="none" w:sz="0" w:space="0" w:color="auto"/>
            <w:bottom w:val="none" w:sz="0" w:space="0" w:color="auto"/>
            <w:right w:val="none" w:sz="0" w:space="0" w:color="auto"/>
          </w:divBdr>
        </w:div>
        <w:div w:id="1267497831">
          <w:marLeft w:val="274"/>
          <w:marRight w:val="0"/>
          <w:marTop w:val="0"/>
          <w:marBottom w:val="0"/>
          <w:divBdr>
            <w:top w:val="none" w:sz="0" w:space="0" w:color="auto"/>
            <w:left w:val="none" w:sz="0" w:space="0" w:color="auto"/>
            <w:bottom w:val="none" w:sz="0" w:space="0" w:color="auto"/>
            <w:right w:val="none" w:sz="0" w:space="0" w:color="auto"/>
          </w:divBdr>
        </w:div>
        <w:div w:id="1636136032">
          <w:marLeft w:val="274"/>
          <w:marRight w:val="0"/>
          <w:marTop w:val="0"/>
          <w:marBottom w:val="0"/>
          <w:divBdr>
            <w:top w:val="none" w:sz="0" w:space="0" w:color="auto"/>
            <w:left w:val="none" w:sz="0" w:space="0" w:color="auto"/>
            <w:bottom w:val="none" w:sz="0" w:space="0" w:color="auto"/>
            <w:right w:val="none" w:sz="0" w:space="0" w:color="auto"/>
          </w:divBdr>
        </w:div>
        <w:div w:id="2017608981">
          <w:marLeft w:val="274"/>
          <w:marRight w:val="0"/>
          <w:marTop w:val="0"/>
          <w:marBottom w:val="0"/>
          <w:divBdr>
            <w:top w:val="none" w:sz="0" w:space="0" w:color="auto"/>
            <w:left w:val="none" w:sz="0" w:space="0" w:color="auto"/>
            <w:bottom w:val="none" w:sz="0" w:space="0" w:color="auto"/>
            <w:right w:val="none" w:sz="0" w:space="0" w:color="auto"/>
          </w:divBdr>
        </w:div>
      </w:divsChild>
    </w:div>
    <w:div w:id="988441982">
      <w:bodyDiv w:val="1"/>
      <w:marLeft w:val="0"/>
      <w:marRight w:val="0"/>
      <w:marTop w:val="0"/>
      <w:marBottom w:val="0"/>
      <w:divBdr>
        <w:top w:val="none" w:sz="0" w:space="0" w:color="auto"/>
        <w:left w:val="none" w:sz="0" w:space="0" w:color="auto"/>
        <w:bottom w:val="none" w:sz="0" w:space="0" w:color="auto"/>
        <w:right w:val="none" w:sz="0" w:space="0" w:color="auto"/>
      </w:divBdr>
    </w:div>
    <w:div w:id="1081096667">
      <w:bodyDiv w:val="1"/>
      <w:marLeft w:val="0"/>
      <w:marRight w:val="0"/>
      <w:marTop w:val="0"/>
      <w:marBottom w:val="0"/>
      <w:divBdr>
        <w:top w:val="none" w:sz="0" w:space="0" w:color="auto"/>
        <w:left w:val="none" w:sz="0" w:space="0" w:color="auto"/>
        <w:bottom w:val="none" w:sz="0" w:space="0" w:color="auto"/>
        <w:right w:val="none" w:sz="0" w:space="0" w:color="auto"/>
      </w:divBdr>
    </w:div>
    <w:div w:id="1197037822">
      <w:bodyDiv w:val="1"/>
      <w:marLeft w:val="0"/>
      <w:marRight w:val="0"/>
      <w:marTop w:val="0"/>
      <w:marBottom w:val="0"/>
      <w:divBdr>
        <w:top w:val="none" w:sz="0" w:space="0" w:color="auto"/>
        <w:left w:val="none" w:sz="0" w:space="0" w:color="auto"/>
        <w:bottom w:val="none" w:sz="0" w:space="0" w:color="auto"/>
        <w:right w:val="none" w:sz="0" w:space="0" w:color="auto"/>
      </w:divBdr>
      <w:divsChild>
        <w:div w:id="210112922">
          <w:marLeft w:val="274"/>
          <w:marRight w:val="0"/>
          <w:marTop w:val="0"/>
          <w:marBottom w:val="0"/>
          <w:divBdr>
            <w:top w:val="none" w:sz="0" w:space="0" w:color="auto"/>
            <w:left w:val="none" w:sz="0" w:space="0" w:color="auto"/>
            <w:bottom w:val="none" w:sz="0" w:space="0" w:color="auto"/>
            <w:right w:val="none" w:sz="0" w:space="0" w:color="auto"/>
          </w:divBdr>
        </w:div>
        <w:div w:id="1567839319">
          <w:marLeft w:val="274"/>
          <w:marRight w:val="0"/>
          <w:marTop w:val="0"/>
          <w:marBottom w:val="0"/>
          <w:divBdr>
            <w:top w:val="none" w:sz="0" w:space="0" w:color="auto"/>
            <w:left w:val="none" w:sz="0" w:space="0" w:color="auto"/>
            <w:bottom w:val="none" w:sz="0" w:space="0" w:color="auto"/>
            <w:right w:val="none" w:sz="0" w:space="0" w:color="auto"/>
          </w:divBdr>
        </w:div>
        <w:div w:id="1978604253">
          <w:marLeft w:val="274"/>
          <w:marRight w:val="0"/>
          <w:marTop w:val="0"/>
          <w:marBottom w:val="0"/>
          <w:divBdr>
            <w:top w:val="none" w:sz="0" w:space="0" w:color="auto"/>
            <w:left w:val="none" w:sz="0" w:space="0" w:color="auto"/>
            <w:bottom w:val="none" w:sz="0" w:space="0" w:color="auto"/>
            <w:right w:val="none" w:sz="0" w:space="0" w:color="auto"/>
          </w:divBdr>
        </w:div>
      </w:divsChild>
    </w:div>
    <w:div w:id="1264922386">
      <w:bodyDiv w:val="1"/>
      <w:marLeft w:val="0"/>
      <w:marRight w:val="0"/>
      <w:marTop w:val="0"/>
      <w:marBottom w:val="0"/>
      <w:divBdr>
        <w:top w:val="none" w:sz="0" w:space="0" w:color="auto"/>
        <w:left w:val="none" w:sz="0" w:space="0" w:color="auto"/>
        <w:bottom w:val="none" w:sz="0" w:space="0" w:color="auto"/>
        <w:right w:val="none" w:sz="0" w:space="0" w:color="auto"/>
      </w:divBdr>
      <w:divsChild>
        <w:div w:id="236549924">
          <w:marLeft w:val="274"/>
          <w:marRight w:val="0"/>
          <w:marTop w:val="0"/>
          <w:marBottom w:val="0"/>
          <w:divBdr>
            <w:top w:val="none" w:sz="0" w:space="0" w:color="auto"/>
            <w:left w:val="none" w:sz="0" w:space="0" w:color="auto"/>
            <w:bottom w:val="none" w:sz="0" w:space="0" w:color="auto"/>
            <w:right w:val="none" w:sz="0" w:space="0" w:color="auto"/>
          </w:divBdr>
        </w:div>
        <w:div w:id="294605792">
          <w:marLeft w:val="274"/>
          <w:marRight w:val="0"/>
          <w:marTop w:val="0"/>
          <w:marBottom w:val="0"/>
          <w:divBdr>
            <w:top w:val="none" w:sz="0" w:space="0" w:color="auto"/>
            <w:left w:val="none" w:sz="0" w:space="0" w:color="auto"/>
            <w:bottom w:val="none" w:sz="0" w:space="0" w:color="auto"/>
            <w:right w:val="none" w:sz="0" w:space="0" w:color="auto"/>
          </w:divBdr>
        </w:div>
        <w:div w:id="660163665">
          <w:marLeft w:val="274"/>
          <w:marRight w:val="0"/>
          <w:marTop w:val="0"/>
          <w:marBottom w:val="0"/>
          <w:divBdr>
            <w:top w:val="none" w:sz="0" w:space="0" w:color="auto"/>
            <w:left w:val="none" w:sz="0" w:space="0" w:color="auto"/>
            <w:bottom w:val="none" w:sz="0" w:space="0" w:color="auto"/>
            <w:right w:val="none" w:sz="0" w:space="0" w:color="auto"/>
          </w:divBdr>
        </w:div>
        <w:div w:id="684288842">
          <w:marLeft w:val="274"/>
          <w:marRight w:val="0"/>
          <w:marTop w:val="0"/>
          <w:marBottom w:val="0"/>
          <w:divBdr>
            <w:top w:val="none" w:sz="0" w:space="0" w:color="auto"/>
            <w:left w:val="none" w:sz="0" w:space="0" w:color="auto"/>
            <w:bottom w:val="none" w:sz="0" w:space="0" w:color="auto"/>
            <w:right w:val="none" w:sz="0" w:space="0" w:color="auto"/>
          </w:divBdr>
        </w:div>
        <w:div w:id="1540242806">
          <w:marLeft w:val="274"/>
          <w:marRight w:val="0"/>
          <w:marTop w:val="0"/>
          <w:marBottom w:val="0"/>
          <w:divBdr>
            <w:top w:val="none" w:sz="0" w:space="0" w:color="auto"/>
            <w:left w:val="none" w:sz="0" w:space="0" w:color="auto"/>
            <w:bottom w:val="none" w:sz="0" w:space="0" w:color="auto"/>
            <w:right w:val="none" w:sz="0" w:space="0" w:color="auto"/>
          </w:divBdr>
        </w:div>
        <w:div w:id="1612668967">
          <w:marLeft w:val="274"/>
          <w:marRight w:val="0"/>
          <w:marTop w:val="0"/>
          <w:marBottom w:val="0"/>
          <w:divBdr>
            <w:top w:val="none" w:sz="0" w:space="0" w:color="auto"/>
            <w:left w:val="none" w:sz="0" w:space="0" w:color="auto"/>
            <w:bottom w:val="none" w:sz="0" w:space="0" w:color="auto"/>
            <w:right w:val="none" w:sz="0" w:space="0" w:color="auto"/>
          </w:divBdr>
        </w:div>
        <w:div w:id="1778209243">
          <w:marLeft w:val="274"/>
          <w:marRight w:val="0"/>
          <w:marTop w:val="0"/>
          <w:marBottom w:val="0"/>
          <w:divBdr>
            <w:top w:val="none" w:sz="0" w:space="0" w:color="auto"/>
            <w:left w:val="none" w:sz="0" w:space="0" w:color="auto"/>
            <w:bottom w:val="none" w:sz="0" w:space="0" w:color="auto"/>
            <w:right w:val="none" w:sz="0" w:space="0" w:color="auto"/>
          </w:divBdr>
        </w:div>
      </w:divsChild>
    </w:div>
    <w:div w:id="1317494100">
      <w:bodyDiv w:val="1"/>
      <w:marLeft w:val="0"/>
      <w:marRight w:val="0"/>
      <w:marTop w:val="0"/>
      <w:marBottom w:val="0"/>
      <w:divBdr>
        <w:top w:val="none" w:sz="0" w:space="0" w:color="auto"/>
        <w:left w:val="none" w:sz="0" w:space="0" w:color="auto"/>
        <w:bottom w:val="none" w:sz="0" w:space="0" w:color="auto"/>
        <w:right w:val="none" w:sz="0" w:space="0" w:color="auto"/>
      </w:divBdr>
    </w:div>
    <w:div w:id="1412582254">
      <w:bodyDiv w:val="1"/>
      <w:marLeft w:val="0"/>
      <w:marRight w:val="0"/>
      <w:marTop w:val="0"/>
      <w:marBottom w:val="0"/>
      <w:divBdr>
        <w:top w:val="none" w:sz="0" w:space="0" w:color="auto"/>
        <w:left w:val="none" w:sz="0" w:space="0" w:color="auto"/>
        <w:bottom w:val="none" w:sz="0" w:space="0" w:color="auto"/>
        <w:right w:val="none" w:sz="0" w:space="0" w:color="auto"/>
      </w:divBdr>
      <w:divsChild>
        <w:div w:id="331567919">
          <w:marLeft w:val="274"/>
          <w:marRight w:val="0"/>
          <w:marTop w:val="0"/>
          <w:marBottom w:val="0"/>
          <w:divBdr>
            <w:top w:val="none" w:sz="0" w:space="0" w:color="auto"/>
            <w:left w:val="none" w:sz="0" w:space="0" w:color="auto"/>
            <w:bottom w:val="none" w:sz="0" w:space="0" w:color="auto"/>
            <w:right w:val="none" w:sz="0" w:space="0" w:color="auto"/>
          </w:divBdr>
        </w:div>
        <w:div w:id="1145201989">
          <w:marLeft w:val="274"/>
          <w:marRight w:val="0"/>
          <w:marTop w:val="0"/>
          <w:marBottom w:val="0"/>
          <w:divBdr>
            <w:top w:val="none" w:sz="0" w:space="0" w:color="auto"/>
            <w:left w:val="none" w:sz="0" w:space="0" w:color="auto"/>
            <w:bottom w:val="none" w:sz="0" w:space="0" w:color="auto"/>
            <w:right w:val="none" w:sz="0" w:space="0" w:color="auto"/>
          </w:divBdr>
        </w:div>
      </w:divsChild>
    </w:div>
    <w:div w:id="1518426303">
      <w:bodyDiv w:val="1"/>
      <w:marLeft w:val="0"/>
      <w:marRight w:val="0"/>
      <w:marTop w:val="0"/>
      <w:marBottom w:val="0"/>
      <w:divBdr>
        <w:top w:val="none" w:sz="0" w:space="0" w:color="auto"/>
        <w:left w:val="none" w:sz="0" w:space="0" w:color="auto"/>
        <w:bottom w:val="none" w:sz="0" w:space="0" w:color="auto"/>
        <w:right w:val="none" w:sz="0" w:space="0" w:color="auto"/>
      </w:divBdr>
      <w:divsChild>
        <w:div w:id="231354147">
          <w:marLeft w:val="274"/>
          <w:marRight w:val="0"/>
          <w:marTop w:val="0"/>
          <w:marBottom w:val="0"/>
          <w:divBdr>
            <w:top w:val="none" w:sz="0" w:space="0" w:color="auto"/>
            <w:left w:val="none" w:sz="0" w:space="0" w:color="auto"/>
            <w:bottom w:val="none" w:sz="0" w:space="0" w:color="auto"/>
            <w:right w:val="none" w:sz="0" w:space="0" w:color="auto"/>
          </w:divBdr>
        </w:div>
        <w:div w:id="1326319336">
          <w:marLeft w:val="274"/>
          <w:marRight w:val="0"/>
          <w:marTop w:val="0"/>
          <w:marBottom w:val="0"/>
          <w:divBdr>
            <w:top w:val="none" w:sz="0" w:space="0" w:color="auto"/>
            <w:left w:val="none" w:sz="0" w:space="0" w:color="auto"/>
            <w:bottom w:val="none" w:sz="0" w:space="0" w:color="auto"/>
            <w:right w:val="none" w:sz="0" w:space="0" w:color="auto"/>
          </w:divBdr>
        </w:div>
        <w:div w:id="1959951282">
          <w:marLeft w:val="274"/>
          <w:marRight w:val="0"/>
          <w:marTop w:val="0"/>
          <w:marBottom w:val="0"/>
          <w:divBdr>
            <w:top w:val="none" w:sz="0" w:space="0" w:color="auto"/>
            <w:left w:val="none" w:sz="0" w:space="0" w:color="auto"/>
            <w:bottom w:val="none" w:sz="0" w:space="0" w:color="auto"/>
            <w:right w:val="none" w:sz="0" w:space="0" w:color="auto"/>
          </w:divBdr>
        </w:div>
        <w:div w:id="2070492980">
          <w:marLeft w:val="274"/>
          <w:marRight w:val="0"/>
          <w:marTop w:val="0"/>
          <w:marBottom w:val="0"/>
          <w:divBdr>
            <w:top w:val="none" w:sz="0" w:space="0" w:color="auto"/>
            <w:left w:val="none" w:sz="0" w:space="0" w:color="auto"/>
            <w:bottom w:val="none" w:sz="0" w:space="0" w:color="auto"/>
            <w:right w:val="none" w:sz="0" w:space="0" w:color="auto"/>
          </w:divBdr>
        </w:div>
      </w:divsChild>
    </w:div>
    <w:div w:id="1650866485">
      <w:bodyDiv w:val="1"/>
      <w:marLeft w:val="0"/>
      <w:marRight w:val="0"/>
      <w:marTop w:val="0"/>
      <w:marBottom w:val="0"/>
      <w:divBdr>
        <w:top w:val="none" w:sz="0" w:space="0" w:color="auto"/>
        <w:left w:val="none" w:sz="0" w:space="0" w:color="auto"/>
        <w:bottom w:val="none" w:sz="0" w:space="0" w:color="auto"/>
        <w:right w:val="none" w:sz="0" w:space="0" w:color="auto"/>
      </w:divBdr>
    </w:div>
    <w:div w:id="1674533063">
      <w:bodyDiv w:val="1"/>
      <w:marLeft w:val="0"/>
      <w:marRight w:val="0"/>
      <w:marTop w:val="0"/>
      <w:marBottom w:val="0"/>
      <w:divBdr>
        <w:top w:val="none" w:sz="0" w:space="0" w:color="auto"/>
        <w:left w:val="none" w:sz="0" w:space="0" w:color="auto"/>
        <w:bottom w:val="none" w:sz="0" w:space="0" w:color="auto"/>
        <w:right w:val="none" w:sz="0" w:space="0" w:color="auto"/>
      </w:divBdr>
    </w:div>
    <w:div w:id="1677222201">
      <w:bodyDiv w:val="1"/>
      <w:marLeft w:val="0"/>
      <w:marRight w:val="0"/>
      <w:marTop w:val="0"/>
      <w:marBottom w:val="0"/>
      <w:divBdr>
        <w:top w:val="none" w:sz="0" w:space="0" w:color="auto"/>
        <w:left w:val="none" w:sz="0" w:space="0" w:color="auto"/>
        <w:bottom w:val="none" w:sz="0" w:space="0" w:color="auto"/>
        <w:right w:val="none" w:sz="0" w:space="0" w:color="auto"/>
      </w:divBdr>
    </w:div>
    <w:div w:id="1703362833">
      <w:bodyDiv w:val="1"/>
      <w:marLeft w:val="0"/>
      <w:marRight w:val="0"/>
      <w:marTop w:val="0"/>
      <w:marBottom w:val="0"/>
      <w:divBdr>
        <w:top w:val="none" w:sz="0" w:space="0" w:color="auto"/>
        <w:left w:val="none" w:sz="0" w:space="0" w:color="auto"/>
        <w:bottom w:val="none" w:sz="0" w:space="0" w:color="auto"/>
        <w:right w:val="none" w:sz="0" w:space="0" w:color="auto"/>
      </w:divBdr>
    </w:div>
    <w:div w:id="1764297709">
      <w:bodyDiv w:val="1"/>
      <w:marLeft w:val="0"/>
      <w:marRight w:val="0"/>
      <w:marTop w:val="0"/>
      <w:marBottom w:val="0"/>
      <w:divBdr>
        <w:top w:val="none" w:sz="0" w:space="0" w:color="auto"/>
        <w:left w:val="none" w:sz="0" w:space="0" w:color="auto"/>
        <w:bottom w:val="none" w:sz="0" w:space="0" w:color="auto"/>
        <w:right w:val="none" w:sz="0" w:space="0" w:color="auto"/>
      </w:divBdr>
      <w:divsChild>
        <w:div w:id="2131126188">
          <w:marLeft w:val="274"/>
          <w:marRight w:val="0"/>
          <w:marTop w:val="0"/>
          <w:marBottom w:val="0"/>
          <w:divBdr>
            <w:top w:val="none" w:sz="0" w:space="0" w:color="auto"/>
            <w:left w:val="none" w:sz="0" w:space="0" w:color="auto"/>
            <w:bottom w:val="none" w:sz="0" w:space="0" w:color="auto"/>
            <w:right w:val="none" w:sz="0" w:space="0" w:color="auto"/>
          </w:divBdr>
        </w:div>
      </w:divsChild>
    </w:div>
    <w:div w:id="1871141325">
      <w:bodyDiv w:val="1"/>
      <w:marLeft w:val="0"/>
      <w:marRight w:val="0"/>
      <w:marTop w:val="0"/>
      <w:marBottom w:val="0"/>
      <w:divBdr>
        <w:top w:val="none" w:sz="0" w:space="0" w:color="auto"/>
        <w:left w:val="none" w:sz="0" w:space="0" w:color="auto"/>
        <w:bottom w:val="none" w:sz="0" w:space="0" w:color="auto"/>
        <w:right w:val="none" w:sz="0" w:space="0" w:color="auto"/>
      </w:divBdr>
      <w:divsChild>
        <w:div w:id="53360933">
          <w:marLeft w:val="274"/>
          <w:marRight w:val="0"/>
          <w:marTop w:val="0"/>
          <w:marBottom w:val="0"/>
          <w:divBdr>
            <w:top w:val="none" w:sz="0" w:space="0" w:color="auto"/>
            <w:left w:val="none" w:sz="0" w:space="0" w:color="auto"/>
            <w:bottom w:val="none" w:sz="0" w:space="0" w:color="auto"/>
            <w:right w:val="none" w:sz="0" w:space="0" w:color="auto"/>
          </w:divBdr>
        </w:div>
        <w:div w:id="777219810">
          <w:marLeft w:val="274"/>
          <w:marRight w:val="0"/>
          <w:marTop w:val="0"/>
          <w:marBottom w:val="0"/>
          <w:divBdr>
            <w:top w:val="none" w:sz="0" w:space="0" w:color="auto"/>
            <w:left w:val="none" w:sz="0" w:space="0" w:color="auto"/>
            <w:bottom w:val="none" w:sz="0" w:space="0" w:color="auto"/>
            <w:right w:val="none" w:sz="0" w:space="0" w:color="auto"/>
          </w:divBdr>
        </w:div>
        <w:div w:id="833376555">
          <w:marLeft w:val="274"/>
          <w:marRight w:val="0"/>
          <w:marTop w:val="0"/>
          <w:marBottom w:val="0"/>
          <w:divBdr>
            <w:top w:val="none" w:sz="0" w:space="0" w:color="auto"/>
            <w:left w:val="none" w:sz="0" w:space="0" w:color="auto"/>
            <w:bottom w:val="none" w:sz="0" w:space="0" w:color="auto"/>
            <w:right w:val="none" w:sz="0" w:space="0" w:color="auto"/>
          </w:divBdr>
        </w:div>
        <w:div w:id="1013070875">
          <w:marLeft w:val="274"/>
          <w:marRight w:val="0"/>
          <w:marTop w:val="0"/>
          <w:marBottom w:val="0"/>
          <w:divBdr>
            <w:top w:val="none" w:sz="0" w:space="0" w:color="auto"/>
            <w:left w:val="none" w:sz="0" w:space="0" w:color="auto"/>
            <w:bottom w:val="none" w:sz="0" w:space="0" w:color="auto"/>
            <w:right w:val="none" w:sz="0" w:space="0" w:color="auto"/>
          </w:divBdr>
        </w:div>
        <w:div w:id="1148279308">
          <w:marLeft w:val="274"/>
          <w:marRight w:val="0"/>
          <w:marTop w:val="0"/>
          <w:marBottom w:val="0"/>
          <w:divBdr>
            <w:top w:val="none" w:sz="0" w:space="0" w:color="auto"/>
            <w:left w:val="none" w:sz="0" w:space="0" w:color="auto"/>
            <w:bottom w:val="none" w:sz="0" w:space="0" w:color="auto"/>
            <w:right w:val="none" w:sz="0" w:space="0" w:color="auto"/>
          </w:divBdr>
        </w:div>
        <w:div w:id="1455751835">
          <w:marLeft w:val="274"/>
          <w:marRight w:val="0"/>
          <w:marTop w:val="0"/>
          <w:marBottom w:val="0"/>
          <w:divBdr>
            <w:top w:val="none" w:sz="0" w:space="0" w:color="auto"/>
            <w:left w:val="none" w:sz="0" w:space="0" w:color="auto"/>
            <w:bottom w:val="none" w:sz="0" w:space="0" w:color="auto"/>
            <w:right w:val="none" w:sz="0" w:space="0" w:color="auto"/>
          </w:divBdr>
        </w:div>
        <w:div w:id="1528103273">
          <w:marLeft w:val="274"/>
          <w:marRight w:val="0"/>
          <w:marTop w:val="0"/>
          <w:marBottom w:val="0"/>
          <w:divBdr>
            <w:top w:val="none" w:sz="0" w:space="0" w:color="auto"/>
            <w:left w:val="none" w:sz="0" w:space="0" w:color="auto"/>
            <w:bottom w:val="none" w:sz="0" w:space="0" w:color="auto"/>
            <w:right w:val="none" w:sz="0" w:space="0" w:color="auto"/>
          </w:divBdr>
        </w:div>
      </w:divsChild>
    </w:div>
    <w:div w:id="1935818228">
      <w:bodyDiv w:val="1"/>
      <w:marLeft w:val="0"/>
      <w:marRight w:val="0"/>
      <w:marTop w:val="0"/>
      <w:marBottom w:val="0"/>
      <w:divBdr>
        <w:top w:val="none" w:sz="0" w:space="0" w:color="auto"/>
        <w:left w:val="none" w:sz="0" w:space="0" w:color="auto"/>
        <w:bottom w:val="none" w:sz="0" w:space="0" w:color="auto"/>
        <w:right w:val="none" w:sz="0" w:space="0" w:color="auto"/>
      </w:divBdr>
    </w:div>
    <w:div w:id="2068601067">
      <w:bodyDiv w:val="1"/>
      <w:marLeft w:val="0"/>
      <w:marRight w:val="0"/>
      <w:marTop w:val="0"/>
      <w:marBottom w:val="0"/>
      <w:divBdr>
        <w:top w:val="none" w:sz="0" w:space="0" w:color="auto"/>
        <w:left w:val="none" w:sz="0" w:space="0" w:color="auto"/>
        <w:bottom w:val="none" w:sz="0" w:space="0" w:color="auto"/>
        <w:right w:val="none" w:sz="0" w:space="0" w:color="auto"/>
      </w:divBdr>
      <w:divsChild>
        <w:div w:id="1324622514">
          <w:marLeft w:val="274"/>
          <w:marRight w:val="0"/>
          <w:marTop w:val="0"/>
          <w:marBottom w:val="0"/>
          <w:divBdr>
            <w:top w:val="none" w:sz="0" w:space="0" w:color="auto"/>
            <w:left w:val="none" w:sz="0" w:space="0" w:color="auto"/>
            <w:bottom w:val="none" w:sz="0" w:space="0" w:color="auto"/>
            <w:right w:val="none" w:sz="0" w:space="0" w:color="auto"/>
          </w:divBdr>
        </w:div>
        <w:div w:id="13464375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a466a5-717a-405b-b423-19a5a40db057"/>
    <lcf76f155ced4ddcb4097134ff3c332f xmlns="f6a9ef87-d8af-44ae-9cec-12903b7d44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4" ma:contentTypeDescription="Create a new document." ma:contentTypeScope="" ma:versionID="d300ca163d1d17a05850dc2d7b1cadce">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b36c0144b391142a460afc0abe307fe0"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http://purl.org/dc/elements/1.1/"/>
    <ds:schemaRef ds:uri="http://schemas.openxmlformats.org/package/2006/metadata/core-properties"/>
    <ds:schemaRef ds:uri="http://purl.org/dc/terms/"/>
    <ds:schemaRef ds:uri="http://schemas.microsoft.com/office/infopath/2007/PartnerControls"/>
    <ds:schemaRef ds:uri="f6a9ef87-d8af-44ae-9cec-12903b7d44be"/>
    <ds:schemaRef ds:uri="http://purl.org/dc/dcmitype/"/>
    <ds:schemaRef ds:uri="http://schemas.microsoft.com/office/2006/documentManagement/types"/>
    <ds:schemaRef ds:uri="ada466a5-717a-405b-b423-19a5a40db05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C3753E-CD57-4A46-A2BF-2C7C773B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9ef87-d8af-44ae-9cec-12903b7d44be"/>
    <ds:schemaRef ds:uri="ada466a5-717a-405b-b423-19a5a40d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3841</Words>
  <Characters>17943</Characters>
  <Application>Microsoft Office Word</Application>
  <DocSecurity>0</DocSecurity>
  <Lines>664</Lines>
  <Paragraphs>463</Paragraphs>
  <ScaleCrop>false</ScaleCrop>
  <HeadingPairs>
    <vt:vector size="2" baseType="variant">
      <vt:variant>
        <vt:lpstr>Title</vt:lpstr>
      </vt:variant>
      <vt:variant>
        <vt:i4>1</vt:i4>
      </vt:variant>
    </vt:vector>
  </HeadingPairs>
  <TitlesOfParts>
    <vt:vector size="1" baseType="lpstr">
      <vt:lpstr>Aged Care Act – What is new or changing?</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Act – What is new or changing?</dc:title>
  <dc:subject>Aged Care</dc:subject>
  <dc:creator>Australian Government Department of Health, Disability and Ageing</dc:creator>
  <cp:keywords>Aged Care, New Aged Care Act, </cp:keywords>
  <dc:description>_x000d_
</dc:description>
  <cp:lastModifiedBy>MASCHKE, Elvia</cp:lastModifiedBy>
  <cp:revision>4</cp:revision>
  <dcterms:created xsi:type="dcterms:W3CDTF">2025-05-18T23:57:00Z</dcterms:created>
  <dcterms:modified xsi:type="dcterms:W3CDTF">2025-05-20T01:39:00Z</dcterms:modified>
</cp:coreProperties>
</file>