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0F377260"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5C310A">
        <w:rPr>
          <w:rFonts w:asciiTheme="minorHAnsi" w:hAnsiTheme="minorHAnsi" w:cstheme="minorHAnsi"/>
          <w:b/>
          <w:bCs/>
          <w:noProof/>
          <w:u w:val="single"/>
        </w:rPr>
        <w:t>0</w:t>
      </w:r>
      <w:r w:rsidR="00AE7B9E">
        <w:rPr>
          <w:rFonts w:asciiTheme="minorHAnsi" w:hAnsiTheme="minorHAnsi" w:cstheme="minorHAnsi"/>
          <w:b/>
          <w:bCs/>
          <w:noProof/>
          <w:u w:val="single"/>
        </w:rPr>
        <w:t>4</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5C310A">
        <w:rPr>
          <w:rFonts w:asciiTheme="minorHAnsi" w:hAnsiTheme="minorHAnsi" w:cstheme="minorHAnsi"/>
          <w:b/>
          <w:bCs/>
          <w:noProof/>
          <w:u w:val="single"/>
        </w:rPr>
        <w:t>5</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201EB98E" w14:textId="66CDB9AF" w:rsidR="00AC0D80" w:rsidRDefault="00AE7B9E" w:rsidP="0061067D">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03</w:t>
      </w:r>
      <w:r w:rsidR="00380798">
        <w:rPr>
          <w:rFonts w:asciiTheme="minorHAnsi" w:hAnsiTheme="minorHAnsi" w:cstheme="minorHAnsi"/>
          <w:sz w:val="24"/>
          <w:szCs w:val="24"/>
          <w:u w:val="single"/>
        </w:rPr>
        <w:t xml:space="preserve"> </w:t>
      </w:r>
      <w:r>
        <w:rPr>
          <w:rFonts w:asciiTheme="minorHAnsi" w:hAnsiTheme="minorHAnsi" w:cstheme="minorHAnsi"/>
          <w:sz w:val="24"/>
          <w:szCs w:val="24"/>
          <w:u w:val="single"/>
        </w:rPr>
        <w:t>February</w:t>
      </w:r>
      <w:r w:rsidR="00176BE4">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176BE4">
        <w:rPr>
          <w:rFonts w:asciiTheme="minorHAnsi" w:hAnsiTheme="minorHAnsi" w:cstheme="minorHAnsi"/>
          <w:sz w:val="24"/>
          <w:szCs w:val="24"/>
          <w:u w:val="single"/>
        </w:rPr>
        <w:t>5</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16</w:t>
      </w:r>
      <w:r w:rsidR="007F44F3">
        <w:rPr>
          <w:rFonts w:asciiTheme="minorHAnsi" w:hAnsiTheme="minorHAnsi" w:cstheme="minorHAnsi"/>
          <w:sz w:val="24"/>
          <w:szCs w:val="24"/>
          <w:u w:val="single"/>
        </w:rPr>
        <w:t xml:space="preserve"> February </w:t>
      </w:r>
      <w:r w:rsidR="00924FC7">
        <w:rPr>
          <w:rFonts w:asciiTheme="minorHAnsi" w:hAnsiTheme="minorHAnsi" w:cstheme="minorHAnsi"/>
          <w:sz w:val="24"/>
          <w:szCs w:val="24"/>
          <w:u w:val="single"/>
        </w:rPr>
        <w:t>202</w:t>
      </w:r>
      <w:bookmarkEnd w:id="0"/>
      <w:bookmarkEnd w:id="1"/>
      <w:bookmarkEnd w:id="2"/>
      <w:r w:rsidR="005C310A">
        <w:rPr>
          <w:rFonts w:asciiTheme="minorHAnsi" w:hAnsiTheme="minorHAnsi" w:cstheme="minorHAnsi"/>
          <w:sz w:val="24"/>
          <w:szCs w:val="24"/>
          <w:u w:val="single"/>
        </w:rPr>
        <w:t>5</w:t>
      </w:r>
    </w:p>
    <w:p w14:paraId="2A2BE3D0" w14:textId="77777777" w:rsidR="00630D97" w:rsidRDefault="00630D97" w:rsidP="001D6E22"/>
    <w:p w14:paraId="3D9CAAEB" w14:textId="77777777" w:rsidR="00F93EAB" w:rsidRPr="001D6E22" w:rsidRDefault="00F93EAB" w:rsidP="001D6E22"/>
    <w:p w14:paraId="6FD93C51" w14:textId="77777777" w:rsidR="00ED21CE" w:rsidRPr="004B521C" w:rsidRDefault="00ED21CE" w:rsidP="00ED21CE">
      <w:pPr>
        <w:autoSpaceDE w:val="0"/>
        <w:autoSpaceDN w:val="0"/>
        <w:rPr>
          <w:rFonts w:asciiTheme="minorHAnsi" w:hAnsiTheme="minorHAnsi" w:cstheme="minorHAnsi"/>
          <w:b/>
          <w:bCs/>
          <w:color w:val="000000"/>
          <w:u w:val="single"/>
        </w:rPr>
      </w:pPr>
      <w:r w:rsidRPr="004B521C">
        <w:rPr>
          <w:rFonts w:asciiTheme="minorHAnsi" w:hAnsiTheme="minorHAnsi" w:cstheme="minorHAnsi"/>
          <w:b/>
          <w:bCs/>
          <w:color w:val="000000"/>
          <w:u w:val="single"/>
        </w:rPr>
        <w:t>Infectious and congenital syphilis</w:t>
      </w:r>
    </w:p>
    <w:p w14:paraId="53F75425" w14:textId="01AA55F0" w:rsidR="00CD7413" w:rsidRPr="004B521C" w:rsidRDefault="00CD7413" w:rsidP="00CD7413">
      <w:pPr>
        <w:autoSpaceDE w:val="0"/>
        <w:autoSpaceDN w:val="0"/>
        <w:rPr>
          <w:rFonts w:asciiTheme="minorHAnsi" w:eastAsiaTheme="minorHAnsi" w:hAnsiTheme="minorHAnsi" w:cstheme="minorHAnsi"/>
        </w:rPr>
      </w:pPr>
      <w:r w:rsidRPr="004B521C">
        <w:rPr>
          <w:rFonts w:asciiTheme="minorHAnsi" w:hAnsiTheme="minorHAnsi" w:cstheme="minorHAnsi"/>
        </w:rPr>
        <w:t xml:space="preserve">Infectious syphilis notifications </w:t>
      </w:r>
      <w:r w:rsidR="001C33F9">
        <w:rPr>
          <w:rFonts w:asciiTheme="minorHAnsi" w:hAnsiTheme="minorHAnsi" w:cstheme="minorHAnsi"/>
        </w:rPr>
        <w:t xml:space="preserve">continue to be reported at high levels </w:t>
      </w:r>
      <w:r w:rsidRPr="004B521C">
        <w:rPr>
          <w:rFonts w:asciiTheme="minorHAnsi" w:hAnsiTheme="minorHAnsi" w:cstheme="minorHAnsi"/>
        </w:rPr>
        <w:t xml:space="preserve">across Australia. Detailed analysis of infectious and congenital syphilis trends in Australia are reported quarterly in the </w:t>
      </w:r>
      <w:hyperlink r:id="rId8" w:history="1">
        <w:r w:rsidRPr="004B521C">
          <w:rPr>
            <w:rStyle w:val="Hyperlink"/>
            <w:rFonts w:asciiTheme="minorHAnsi" w:hAnsiTheme="minorHAnsi" w:cstheme="minorHAnsi"/>
          </w:rPr>
          <w:t>National syphilis surveillance reports</w:t>
        </w:r>
      </w:hyperlink>
      <w:r w:rsidRPr="004B521C">
        <w:rPr>
          <w:rStyle w:val="Hyperlink"/>
          <w:rFonts w:asciiTheme="minorHAnsi" w:hAnsiTheme="minorHAnsi" w:cstheme="minorHAnsi"/>
        </w:rPr>
        <w:t>.</w:t>
      </w:r>
    </w:p>
    <w:p w14:paraId="5263EBFA" w14:textId="77777777" w:rsidR="00CD7413" w:rsidRPr="004B521C" w:rsidRDefault="00CD7413" w:rsidP="00CD7413">
      <w:pPr>
        <w:pStyle w:val="Heading2"/>
        <w:rPr>
          <w:rFonts w:asciiTheme="minorHAnsi" w:eastAsia="Times New Roman" w:hAnsiTheme="minorHAnsi" w:cstheme="minorHAnsi"/>
          <w:sz w:val="24"/>
          <w:szCs w:val="24"/>
        </w:rPr>
      </w:pPr>
      <w:r w:rsidRPr="004B521C">
        <w:rPr>
          <w:rFonts w:asciiTheme="minorHAnsi" w:eastAsia="Times New Roman" w:hAnsiTheme="minorHAnsi" w:cstheme="minorHAnsi"/>
          <w:sz w:val="24"/>
          <w:szCs w:val="24"/>
        </w:rPr>
        <w:t>Syphilis response</w:t>
      </w:r>
    </w:p>
    <w:p w14:paraId="5E60BC2C" w14:textId="77777777" w:rsidR="00CD7413" w:rsidRPr="004B521C" w:rsidRDefault="00CD7413" w:rsidP="00CD7413">
      <w:pPr>
        <w:rPr>
          <w:rFonts w:asciiTheme="minorHAnsi" w:eastAsiaTheme="minorHAnsi" w:hAnsiTheme="minorHAnsi" w:cstheme="minorHAnsi"/>
          <w:sz w:val="22"/>
          <w:szCs w:val="22"/>
        </w:rPr>
      </w:pPr>
      <w:r w:rsidRPr="004B521C">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9" w:history="1">
        <w:r w:rsidRPr="004B521C">
          <w:rPr>
            <w:rStyle w:val="Hyperlink"/>
            <w:rFonts w:asciiTheme="minorHAnsi" w:hAnsiTheme="minorHAnsi" w:cstheme="minorHAnsi"/>
            <w:i/>
            <w:iCs/>
          </w:rPr>
          <w:t>Don’t fool around with syphilis</w:t>
        </w:r>
      </w:hyperlink>
      <w:r w:rsidRPr="004B521C">
        <w:rPr>
          <w:rFonts w:asciiTheme="minorHAnsi" w:hAnsiTheme="minorHAnsi" w:cstheme="minorHAnsi"/>
        </w:rPr>
        <w:t xml:space="preserve"> campaign, refer to the </w:t>
      </w:r>
      <w:hyperlink r:id="rId10" w:history="1">
        <w:r w:rsidRPr="004B521C">
          <w:rPr>
            <w:rStyle w:val="Hyperlink"/>
            <w:rFonts w:asciiTheme="minorHAnsi" w:hAnsiTheme="minorHAnsi" w:cstheme="minorHAnsi"/>
            <w:i/>
            <w:iCs/>
          </w:rPr>
          <w:t xml:space="preserve">National Response to Syphilis </w:t>
        </w:r>
      </w:hyperlink>
      <w:r w:rsidRPr="004B521C">
        <w:rPr>
          <w:rFonts w:asciiTheme="minorHAnsi" w:hAnsiTheme="minorHAnsi" w:cstheme="minorHAnsi"/>
          <w:i/>
          <w:iCs/>
        </w:rPr>
        <w:t> </w:t>
      </w:r>
      <w:r w:rsidRPr="004B521C">
        <w:rPr>
          <w:rFonts w:asciiTheme="minorHAnsi" w:hAnsiTheme="minorHAnsi" w:cstheme="minorHAnsi"/>
        </w:rPr>
        <w:t>webpage on the</w:t>
      </w:r>
      <w:r w:rsidRPr="004B521C">
        <w:rPr>
          <w:rFonts w:asciiTheme="minorHAnsi" w:hAnsiTheme="minorHAnsi" w:cstheme="minorHAnsi"/>
          <w:i/>
          <w:iCs/>
        </w:rPr>
        <w:t xml:space="preserve"> </w:t>
      </w:r>
      <w:r w:rsidRPr="004B521C">
        <w:rPr>
          <w:rFonts w:asciiTheme="minorHAnsi" w:hAnsiTheme="minorHAnsi" w:cstheme="minorHAnsi"/>
        </w:rPr>
        <w:t>Department’s website.</w:t>
      </w:r>
    </w:p>
    <w:p w14:paraId="582944C1" w14:textId="4A67E9C3" w:rsidR="00164F48" w:rsidRPr="00164F48" w:rsidRDefault="00164F48" w:rsidP="00164F48">
      <w:pPr>
        <w:pStyle w:val="Heading2"/>
        <w:rPr>
          <w:rFonts w:asciiTheme="minorHAnsi" w:hAnsiTheme="minorHAnsi" w:cstheme="minorHAnsi"/>
          <w:sz w:val="24"/>
          <w:szCs w:val="24"/>
        </w:rPr>
      </w:pPr>
      <w:r w:rsidRPr="00164F48">
        <w:rPr>
          <w:rFonts w:asciiTheme="minorHAnsi" w:eastAsia="Times New Roman" w:hAnsiTheme="minorHAnsi" w:cstheme="minorHAnsi"/>
          <w:sz w:val="24"/>
          <w:szCs w:val="24"/>
        </w:rPr>
        <w:t>Dengue virus infection</w:t>
      </w:r>
    </w:p>
    <w:p w14:paraId="09089C48" w14:textId="468EC1D5" w:rsidR="00164F48" w:rsidRPr="00164F48" w:rsidRDefault="00164F48" w:rsidP="00164F48">
      <w:pPr>
        <w:rPr>
          <w:rFonts w:asciiTheme="minorHAnsi" w:hAnsiTheme="minorHAnsi" w:cstheme="minorHAnsi"/>
        </w:rPr>
      </w:pPr>
      <w:r w:rsidRPr="00164F48">
        <w:rPr>
          <w:rFonts w:asciiTheme="minorHAnsi" w:hAnsiTheme="minorHAnsi" w:cstheme="minorHAnsi"/>
        </w:rPr>
        <w:t>In the past 12 months. there have been 2,529 cases of dengue reported to the National Notifiable Diseases Surveillance System (NNDSS) in Australia, of which 94% were overseas acquired and 2.5% locally acquired (including Torres Strait islands). In the current reporting period (03 February 2025 - 16 February 2025), there have been 125 cases compared to the previous reporting period (n=112). This includes three locally acquired cases in Townsville, Queensland that are under investigation.</w:t>
      </w:r>
    </w:p>
    <w:p w14:paraId="1AA2AA54" w14:textId="77777777" w:rsidR="00A11349" w:rsidRPr="00164F48" w:rsidRDefault="00A11349" w:rsidP="00164F48">
      <w:pPr>
        <w:rPr>
          <w:rFonts w:asciiTheme="minorHAnsi" w:hAnsiTheme="minorHAnsi" w:cstheme="minorHAnsi"/>
        </w:rPr>
      </w:pPr>
    </w:p>
    <w:p w14:paraId="5F1B4D39" w14:textId="77777777" w:rsidR="0040122B" w:rsidRDefault="0040122B" w:rsidP="00064B2A">
      <w:pPr>
        <w:autoSpaceDE w:val="0"/>
        <w:autoSpaceDN w:val="0"/>
        <w:rPr>
          <w:rFonts w:asciiTheme="minorHAnsi" w:hAnsiTheme="minorHAnsi" w:cstheme="minorHAnsi"/>
          <w:b/>
          <w:bCs/>
          <w:sz w:val="23"/>
          <w:szCs w:val="23"/>
        </w:rPr>
      </w:pPr>
    </w:p>
    <w:p w14:paraId="6F829DAD" w14:textId="77777777" w:rsidR="007F44F3" w:rsidRDefault="007F44F3" w:rsidP="00064B2A">
      <w:pPr>
        <w:autoSpaceDE w:val="0"/>
        <w:autoSpaceDN w:val="0"/>
        <w:rPr>
          <w:rFonts w:asciiTheme="minorHAnsi" w:hAnsiTheme="minorHAnsi" w:cstheme="minorHAnsi"/>
          <w:b/>
          <w:bCs/>
          <w:sz w:val="23"/>
          <w:szCs w:val="23"/>
        </w:rPr>
      </w:pPr>
    </w:p>
    <w:p w14:paraId="3012BA57" w14:textId="77777777" w:rsidR="007F44F3" w:rsidRDefault="007F44F3" w:rsidP="00064B2A">
      <w:pPr>
        <w:autoSpaceDE w:val="0"/>
        <w:autoSpaceDN w:val="0"/>
        <w:rPr>
          <w:rFonts w:asciiTheme="minorHAnsi" w:hAnsiTheme="minorHAnsi" w:cstheme="minorHAnsi"/>
          <w:b/>
          <w:bCs/>
          <w:sz w:val="23"/>
          <w:szCs w:val="23"/>
        </w:rPr>
      </w:pPr>
    </w:p>
    <w:p w14:paraId="5DA4609F" w14:textId="77777777" w:rsidR="007F44F3" w:rsidRDefault="007F44F3" w:rsidP="00064B2A">
      <w:pPr>
        <w:autoSpaceDE w:val="0"/>
        <w:autoSpaceDN w:val="0"/>
        <w:rPr>
          <w:rFonts w:asciiTheme="minorHAnsi" w:hAnsiTheme="minorHAnsi" w:cstheme="minorHAnsi"/>
          <w:color w:val="0563C2"/>
          <w:sz w:val="23"/>
          <w:szCs w:val="23"/>
        </w:rPr>
      </w:pPr>
    </w:p>
    <w:p w14:paraId="72DBB8DB" w14:textId="77777777" w:rsidR="00A11349" w:rsidRDefault="00A11349"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0501FB34"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AE7B9E">
        <w:rPr>
          <w:rFonts w:asciiTheme="minorHAnsi" w:hAnsiTheme="minorHAnsi" w:cstheme="minorHAnsi"/>
          <w:i/>
          <w:sz w:val="16"/>
          <w:szCs w:val="16"/>
        </w:rPr>
        <w:t>19</w:t>
      </w:r>
      <w:r w:rsidR="007F44F3">
        <w:rPr>
          <w:rFonts w:asciiTheme="minorHAnsi" w:hAnsiTheme="minorHAnsi" w:cstheme="minorHAnsi"/>
          <w:i/>
          <w:sz w:val="16"/>
          <w:szCs w:val="16"/>
        </w:rPr>
        <w:t>/11</w:t>
      </w:r>
      <w:r w:rsidR="0081611F" w:rsidRPr="002B3157">
        <w:rPr>
          <w:rFonts w:asciiTheme="minorHAnsi" w:hAnsiTheme="minorHAnsi" w:cstheme="minorHAnsi"/>
          <w:i/>
          <w:sz w:val="16"/>
          <w:szCs w:val="16"/>
        </w:rPr>
        <w:t>/20</w:t>
      </w:r>
      <w:r w:rsidR="007F67BA" w:rsidRPr="002B3157">
        <w:rPr>
          <w:rFonts w:asciiTheme="minorHAnsi" w:hAnsiTheme="minorHAnsi" w:cstheme="minorHAnsi"/>
          <w:i/>
          <w:sz w:val="16"/>
          <w:szCs w:val="16"/>
        </w:rPr>
        <w:t>2</w:t>
      </w:r>
      <w:r w:rsidR="00D1381A" w:rsidRPr="002B3157">
        <w:rPr>
          <w:rFonts w:asciiTheme="minorHAnsi" w:hAnsiTheme="minorHAnsi" w:cstheme="minorHAnsi"/>
          <w:i/>
          <w:sz w:val="16"/>
          <w:szCs w:val="16"/>
        </w:rPr>
        <w:t>4</w:t>
      </w:r>
      <w:r w:rsidR="0081611F" w:rsidRPr="002B3157">
        <w:rPr>
          <w:rFonts w:asciiTheme="minorHAnsi" w:hAnsiTheme="minorHAnsi" w:cstheme="minorHAnsi"/>
          <w:i/>
          <w:sz w:val="16"/>
          <w:szCs w:val="16"/>
        </w:rPr>
        <w:t xml:space="preserve"> to</w:t>
      </w:r>
      <w:r w:rsidR="005F4765" w:rsidRPr="002B3157">
        <w:rPr>
          <w:rFonts w:asciiTheme="minorHAnsi" w:hAnsiTheme="minorHAnsi" w:cstheme="minorHAnsi"/>
          <w:i/>
          <w:sz w:val="16"/>
          <w:szCs w:val="16"/>
        </w:rPr>
        <w:t xml:space="preserve"> </w:t>
      </w:r>
      <w:r w:rsidR="00AE7B9E">
        <w:rPr>
          <w:rFonts w:asciiTheme="minorHAnsi" w:hAnsiTheme="minorHAnsi" w:cstheme="minorHAnsi"/>
          <w:i/>
          <w:sz w:val="16"/>
          <w:szCs w:val="16"/>
        </w:rPr>
        <w:t>16</w:t>
      </w:r>
      <w:r w:rsidR="00AF43C7" w:rsidRPr="002B3157">
        <w:rPr>
          <w:rFonts w:asciiTheme="minorHAnsi" w:hAnsiTheme="minorHAnsi" w:cstheme="minorHAnsi"/>
          <w:i/>
          <w:sz w:val="16"/>
          <w:szCs w:val="16"/>
        </w:rPr>
        <w:t>/</w:t>
      </w:r>
      <w:r w:rsidR="00872BFE">
        <w:rPr>
          <w:rFonts w:asciiTheme="minorHAnsi" w:hAnsiTheme="minorHAnsi" w:cstheme="minorHAnsi"/>
          <w:i/>
          <w:sz w:val="16"/>
          <w:szCs w:val="16"/>
        </w:rPr>
        <w:t>0</w:t>
      </w:r>
      <w:r w:rsidR="007F44F3">
        <w:rPr>
          <w:rFonts w:asciiTheme="minorHAnsi" w:hAnsiTheme="minorHAnsi" w:cstheme="minorHAnsi"/>
          <w:i/>
          <w:sz w:val="16"/>
          <w:szCs w:val="16"/>
        </w:rPr>
        <w:t>2</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w:t>
      </w:r>
      <w:r w:rsidR="00872BFE">
        <w:rPr>
          <w:rFonts w:asciiTheme="minorHAnsi" w:hAnsiTheme="minorHAnsi" w:cstheme="minorHAnsi"/>
          <w:i/>
          <w:sz w:val="16"/>
          <w:szCs w:val="16"/>
        </w:rPr>
        <w:t>5</w:t>
      </w:r>
      <w:r w:rsidR="00777AAA" w:rsidRPr="002B3157">
        <w:rPr>
          <w:rFonts w:asciiTheme="minorHAnsi" w:hAnsiTheme="minorHAnsi" w:cstheme="minorHAnsi"/>
          <w:i/>
          <w:sz w:val="16"/>
          <w:szCs w:val="16"/>
        </w:rPr>
        <w:t>).</w:t>
      </w:r>
    </w:p>
    <w:p w14:paraId="38B56901" w14:textId="77AF9AE0"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8A2DE2">
        <w:rPr>
          <w:rFonts w:asciiTheme="minorHAnsi" w:hAnsiTheme="minorHAnsi" w:cstheme="minorHAnsi"/>
          <w:i/>
          <w:sz w:val="16"/>
          <w:szCs w:val="16"/>
        </w:rPr>
        <w:t>16</w:t>
      </w:r>
      <w:r w:rsidR="002B3157" w:rsidRPr="002B3157">
        <w:rPr>
          <w:rFonts w:asciiTheme="minorHAnsi" w:hAnsiTheme="minorHAnsi" w:cstheme="minorHAnsi"/>
          <w:i/>
          <w:sz w:val="16"/>
          <w:szCs w:val="16"/>
        </w:rPr>
        <w:t>/</w:t>
      </w:r>
      <w:r w:rsidR="00872BFE">
        <w:rPr>
          <w:rFonts w:asciiTheme="minorHAnsi" w:hAnsiTheme="minorHAnsi" w:cstheme="minorHAnsi"/>
          <w:i/>
          <w:sz w:val="16"/>
          <w:szCs w:val="16"/>
        </w:rPr>
        <w:t>0</w:t>
      </w:r>
      <w:r w:rsidR="007F44F3">
        <w:rPr>
          <w:rFonts w:asciiTheme="minorHAnsi" w:hAnsiTheme="minorHAnsi" w:cstheme="minorHAnsi"/>
          <w:i/>
          <w:sz w:val="16"/>
          <w:szCs w:val="16"/>
        </w:rPr>
        <w:t>2</w:t>
      </w:r>
      <w:r w:rsidR="00AF43C7" w:rsidRPr="002B3157">
        <w:rPr>
          <w:rFonts w:asciiTheme="minorHAnsi" w:hAnsiTheme="minorHAnsi" w:cstheme="minorHAnsi"/>
          <w:i/>
          <w:sz w:val="16"/>
          <w:szCs w:val="16"/>
        </w:rPr>
        <w:t>/202</w:t>
      </w:r>
      <w:r w:rsidR="00872BFE">
        <w:rPr>
          <w:rFonts w:asciiTheme="minorHAnsi" w:hAnsiTheme="minorHAnsi" w:cstheme="minorHAnsi"/>
          <w:i/>
          <w:sz w:val="16"/>
          <w:szCs w:val="16"/>
        </w:rPr>
        <w:t>4</w:t>
      </w:r>
      <w:r w:rsidRPr="002B3157">
        <w:rPr>
          <w:rFonts w:asciiTheme="minorHAnsi" w:hAnsiTheme="minorHAnsi" w:cstheme="minorHAnsi"/>
          <w:i/>
          <w:sz w:val="16"/>
          <w:szCs w:val="16"/>
        </w:rPr>
        <w:t>.  The ratio is the notification activity in the past quarter (90 days) compared with the five year rolling mean for the same period.</w:t>
      </w:r>
    </w:p>
    <w:p w14:paraId="228A0A61" w14:textId="33CE567F"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8A2DE2">
        <w:rPr>
          <w:rFonts w:asciiTheme="minorHAnsi" w:hAnsiTheme="minorHAnsi" w:cstheme="minorHAnsi"/>
          <w:i/>
          <w:sz w:val="16"/>
          <w:szCs w:val="16"/>
        </w:rPr>
        <w:t>17</w:t>
      </w:r>
      <w:r w:rsidR="00AF43C7" w:rsidRPr="002B3157">
        <w:rPr>
          <w:rFonts w:asciiTheme="minorHAnsi" w:hAnsiTheme="minorHAnsi" w:cstheme="minorHAnsi"/>
          <w:i/>
          <w:sz w:val="16"/>
          <w:szCs w:val="16"/>
        </w:rPr>
        <w:t>/</w:t>
      </w:r>
      <w:r w:rsidR="00430CFE">
        <w:rPr>
          <w:rFonts w:asciiTheme="minorHAnsi" w:hAnsiTheme="minorHAnsi" w:cstheme="minorHAnsi"/>
          <w:i/>
          <w:sz w:val="16"/>
          <w:szCs w:val="16"/>
        </w:rPr>
        <w:t>0</w:t>
      </w:r>
      <w:r w:rsidR="008A2DE2">
        <w:rPr>
          <w:rFonts w:asciiTheme="minorHAnsi" w:hAnsiTheme="minorHAnsi" w:cstheme="minorHAnsi"/>
          <w:i/>
          <w:sz w:val="16"/>
          <w:szCs w:val="16"/>
        </w:rPr>
        <w:t>2</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430CFE">
        <w:rPr>
          <w:rFonts w:asciiTheme="minorHAnsi" w:hAnsiTheme="minorHAnsi" w:cstheme="minorHAnsi"/>
          <w:i/>
          <w:sz w:val="16"/>
          <w:szCs w:val="16"/>
        </w:rPr>
        <w:t>4</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8A2DE2">
        <w:rPr>
          <w:rFonts w:asciiTheme="minorHAnsi" w:hAnsiTheme="minorHAnsi" w:cstheme="minorHAnsi"/>
          <w:i/>
          <w:sz w:val="16"/>
          <w:szCs w:val="16"/>
        </w:rPr>
        <w:t>16</w:t>
      </w:r>
      <w:r w:rsidR="002B3157" w:rsidRPr="002B3157">
        <w:rPr>
          <w:rFonts w:asciiTheme="minorHAnsi" w:hAnsiTheme="minorHAnsi" w:cstheme="minorHAnsi"/>
          <w:i/>
          <w:sz w:val="16"/>
          <w:szCs w:val="16"/>
        </w:rPr>
        <w:t>/</w:t>
      </w:r>
      <w:r w:rsidR="00430CFE">
        <w:rPr>
          <w:rFonts w:asciiTheme="minorHAnsi" w:hAnsiTheme="minorHAnsi" w:cstheme="minorHAnsi"/>
          <w:i/>
          <w:sz w:val="16"/>
          <w:szCs w:val="16"/>
        </w:rPr>
        <w:t>0</w:t>
      </w:r>
      <w:r w:rsidR="007F44F3">
        <w:rPr>
          <w:rFonts w:asciiTheme="minorHAnsi" w:hAnsiTheme="minorHAnsi" w:cstheme="minorHAnsi"/>
          <w:i/>
          <w:sz w:val="16"/>
          <w:szCs w:val="16"/>
        </w:rPr>
        <w:t>2</w:t>
      </w:r>
      <w:r w:rsidR="00AF43C7" w:rsidRPr="002B3157">
        <w:rPr>
          <w:rFonts w:asciiTheme="minorHAnsi" w:hAnsiTheme="minorHAnsi" w:cstheme="minorHAnsi"/>
          <w:i/>
          <w:sz w:val="16"/>
          <w:szCs w:val="16"/>
        </w:rPr>
        <w:t>/202</w:t>
      </w:r>
      <w:r w:rsidR="00430CFE">
        <w:rPr>
          <w:rFonts w:asciiTheme="minorHAnsi" w:hAnsiTheme="minorHAnsi" w:cstheme="minorHAnsi"/>
          <w:i/>
          <w:sz w:val="16"/>
          <w:szCs w:val="16"/>
        </w:rPr>
        <w:t>5</w:t>
      </w:r>
      <w:r w:rsidR="002C38A0" w:rsidRPr="002B3157">
        <w:rPr>
          <w:rFonts w:asciiTheme="minorHAnsi" w:hAnsiTheme="minorHAnsi" w:cstheme="minorHAnsi"/>
          <w:i/>
          <w:sz w:val="16"/>
          <w:szCs w:val="16"/>
        </w:rPr>
        <w:t>).</w:t>
      </w:r>
    </w:p>
    <w:p w14:paraId="24BCFBDD" w14:textId="2F6FB2B1"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8A2DE2">
        <w:rPr>
          <w:rFonts w:asciiTheme="minorHAnsi" w:hAnsiTheme="minorHAnsi" w:cstheme="minorHAnsi"/>
          <w:i/>
          <w:sz w:val="16"/>
          <w:szCs w:val="16"/>
        </w:rPr>
        <w:t>16</w:t>
      </w:r>
      <w:r w:rsidR="002B3157" w:rsidRPr="002B3157">
        <w:rPr>
          <w:rFonts w:asciiTheme="minorHAnsi" w:hAnsiTheme="minorHAnsi" w:cstheme="minorHAnsi"/>
          <w:i/>
          <w:sz w:val="16"/>
          <w:szCs w:val="16"/>
        </w:rPr>
        <w:t>/</w:t>
      </w:r>
      <w:r w:rsidR="00176BE4">
        <w:rPr>
          <w:rFonts w:asciiTheme="minorHAnsi" w:hAnsiTheme="minorHAnsi" w:cstheme="minorHAnsi"/>
          <w:i/>
          <w:sz w:val="16"/>
          <w:szCs w:val="16"/>
        </w:rPr>
        <w:t>0</w:t>
      </w:r>
      <w:r w:rsidR="007F44F3">
        <w:rPr>
          <w:rFonts w:asciiTheme="minorHAnsi" w:hAnsiTheme="minorHAnsi" w:cstheme="minorHAnsi"/>
          <w:i/>
          <w:sz w:val="16"/>
          <w:szCs w:val="16"/>
        </w:rPr>
        <w:t>2</w:t>
      </w:r>
      <w:r w:rsidR="00AF43C7" w:rsidRPr="002B3157">
        <w:rPr>
          <w:rFonts w:asciiTheme="minorHAnsi" w:hAnsiTheme="minorHAnsi" w:cstheme="minorHAnsi"/>
          <w:i/>
          <w:sz w:val="16"/>
          <w:szCs w:val="16"/>
        </w:rPr>
        <w:t>/202</w:t>
      </w:r>
      <w:r w:rsidR="00176BE4">
        <w:rPr>
          <w:rFonts w:asciiTheme="minorHAnsi" w:hAnsiTheme="minorHAnsi" w:cstheme="minorHAnsi"/>
          <w:i/>
          <w:sz w:val="16"/>
          <w:szCs w:val="16"/>
        </w:rPr>
        <w:t>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2B3157">
        <w:rPr>
          <w:rFonts w:asciiTheme="minorHAnsi" w:hAnsiTheme="minorHAnsi" w:cstheme="minorHAnsi"/>
          <w:i/>
          <w:sz w:val="16"/>
          <w:szCs w:val="16"/>
        </w:rPr>
        <w:t>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C0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5FC"/>
    <w:rsid w:val="00157616"/>
    <w:rsid w:val="001618F9"/>
    <w:rsid w:val="00163974"/>
    <w:rsid w:val="00164F48"/>
    <w:rsid w:val="00166513"/>
    <w:rsid w:val="00172F5F"/>
    <w:rsid w:val="001738A3"/>
    <w:rsid w:val="00174CE5"/>
    <w:rsid w:val="00176BE4"/>
    <w:rsid w:val="00183113"/>
    <w:rsid w:val="00183CC0"/>
    <w:rsid w:val="001840B6"/>
    <w:rsid w:val="00184DD4"/>
    <w:rsid w:val="00186A18"/>
    <w:rsid w:val="0019079E"/>
    <w:rsid w:val="00191BE2"/>
    <w:rsid w:val="00193A6E"/>
    <w:rsid w:val="00193B3F"/>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3F9"/>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23A"/>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0BF2"/>
    <w:rsid w:val="002F1D15"/>
    <w:rsid w:val="002F29B1"/>
    <w:rsid w:val="002F63E9"/>
    <w:rsid w:val="002F75DE"/>
    <w:rsid w:val="00302BA3"/>
    <w:rsid w:val="0030352D"/>
    <w:rsid w:val="00305AD3"/>
    <w:rsid w:val="00305C89"/>
    <w:rsid w:val="003066A2"/>
    <w:rsid w:val="00315C99"/>
    <w:rsid w:val="00315E5B"/>
    <w:rsid w:val="0031739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22B"/>
    <w:rsid w:val="00401EDC"/>
    <w:rsid w:val="00403952"/>
    <w:rsid w:val="00406364"/>
    <w:rsid w:val="00406A35"/>
    <w:rsid w:val="004070D5"/>
    <w:rsid w:val="004074DD"/>
    <w:rsid w:val="00410585"/>
    <w:rsid w:val="0041071F"/>
    <w:rsid w:val="0041470E"/>
    <w:rsid w:val="004148B0"/>
    <w:rsid w:val="00416A58"/>
    <w:rsid w:val="00420ADE"/>
    <w:rsid w:val="00421466"/>
    <w:rsid w:val="00421B4D"/>
    <w:rsid w:val="00421F52"/>
    <w:rsid w:val="00426AA7"/>
    <w:rsid w:val="00426DDE"/>
    <w:rsid w:val="00430CFE"/>
    <w:rsid w:val="004322F7"/>
    <w:rsid w:val="00432D85"/>
    <w:rsid w:val="00433EB5"/>
    <w:rsid w:val="0043779B"/>
    <w:rsid w:val="00441BDF"/>
    <w:rsid w:val="00441C9D"/>
    <w:rsid w:val="004424A1"/>
    <w:rsid w:val="004424BE"/>
    <w:rsid w:val="00442C9C"/>
    <w:rsid w:val="00443302"/>
    <w:rsid w:val="004441E9"/>
    <w:rsid w:val="00444390"/>
    <w:rsid w:val="0044721C"/>
    <w:rsid w:val="004501AB"/>
    <w:rsid w:val="0045170F"/>
    <w:rsid w:val="004538B1"/>
    <w:rsid w:val="00454B72"/>
    <w:rsid w:val="00455EF7"/>
    <w:rsid w:val="00457383"/>
    <w:rsid w:val="00460D1F"/>
    <w:rsid w:val="00461289"/>
    <w:rsid w:val="0046214E"/>
    <w:rsid w:val="00463B62"/>
    <w:rsid w:val="0046422A"/>
    <w:rsid w:val="00465A87"/>
    <w:rsid w:val="004663FC"/>
    <w:rsid w:val="00466443"/>
    <w:rsid w:val="00470B49"/>
    <w:rsid w:val="0047145B"/>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3E9D"/>
    <w:rsid w:val="004A449C"/>
    <w:rsid w:val="004A5237"/>
    <w:rsid w:val="004A6FFB"/>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34C"/>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5678"/>
    <w:rsid w:val="0055588B"/>
    <w:rsid w:val="005563B2"/>
    <w:rsid w:val="005608BA"/>
    <w:rsid w:val="005635CB"/>
    <w:rsid w:val="00564A91"/>
    <w:rsid w:val="005666AE"/>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310A"/>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3BC6"/>
    <w:rsid w:val="00614D6B"/>
    <w:rsid w:val="00620D23"/>
    <w:rsid w:val="0062395B"/>
    <w:rsid w:val="00630066"/>
    <w:rsid w:val="00630D97"/>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57235"/>
    <w:rsid w:val="00761A12"/>
    <w:rsid w:val="00761EC7"/>
    <w:rsid w:val="00763502"/>
    <w:rsid w:val="00763FAE"/>
    <w:rsid w:val="00765AF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44F3"/>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2BFE"/>
    <w:rsid w:val="008743B7"/>
    <w:rsid w:val="00876E12"/>
    <w:rsid w:val="0088321F"/>
    <w:rsid w:val="00884883"/>
    <w:rsid w:val="0088606F"/>
    <w:rsid w:val="00890EC4"/>
    <w:rsid w:val="00891E45"/>
    <w:rsid w:val="0089228E"/>
    <w:rsid w:val="00895784"/>
    <w:rsid w:val="00895BAC"/>
    <w:rsid w:val="008A10A2"/>
    <w:rsid w:val="008A12E6"/>
    <w:rsid w:val="008A2B17"/>
    <w:rsid w:val="008A2DE2"/>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218"/>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1349"/>
    <w:rsid w:val="00A13BC6"/>
    <w:rsid w:val="00A14541"/>
    <w:rsid w:val="00A15615"/>
    <w:rsid w:val="00A16AA6"/>
    <w:rsid w:val="00A20235"/>
    <w:rsid w:val="00A24445"/>
    <w:rsid w:val="00A24E83"/>
    <w:rsid w:val="00A25580"/>
    <w:rsid w:val="00A27CA8"/>
    <w:rsid w:val="00A30D49"/>
    <w:rsid w:val="00A320C3"/>
    <w:rsid w:val="00A3272D"/>
    <w:rsid w:val="00A32BC3"/>
    <w:rsid w:val="00A33390"/>
    <w:rsid w:val="00A37375"/>
    <w:rsid w:val="00A42093"/>
    <w:rsid w:val="00A440C6"/>
    <w:rsid w:val="00A464FC"/>
    <w:rsid w:val="00A47E7B"/>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2EFB"/>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0D80"/>
    <w:rsid w:val="00AC2C65"/>
    <w:rsid w:val="00AC45F1"/>
    <w:rsid w:val="00AC7504"/>
    <w:rsid w:val="00AD2659"/>
    <w:rsid w:val="00AD4E44"/>
    <w:rsid w:val="00AD72B9"/>
    <w:rsid w:val="00AD764B"/>
    <w:rsid w:val="00AE2CC8"/>
    <w:rsid w:val="00AE7B9E"/>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3A21"/>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5725"/>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C3AE3"/>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5482">
      <w:bodyDiv w:val="1"/>
      <w:marLeft w:val="0"/>
      <w:marRight w:val="0"/>
      <w:marTop w:val="0"/>
      <w:marBottom w:val="0"/>
      <w:divBdr>
        <w:top w:val="none" w:sz="0" w:space="0" w:color="auto"/>
        <w:left w:val="none" w:sz="0" w:space="0" w:color="auto"/>
        <w:bottom w:val="none" w:sz="0" w:space="0" w:color="auto"/>
        <w:right w:val="none" w:sz="0" w:space="0" w:color="auto"/>
      </w:divBdr>
    </w:div>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4933703">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449512671">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17183592">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74006799">
      <w:bodyDiv w:val="1"/>
      <w:marLeft w:val="0"/>
      <w:marRight w:val="0"/>
      <w:marTop w:val="0"/>
      <w:marBottom w:val="0"/>
      <w:divBdr>
        <w:top w:val="none" w:sz="0" w:space="0" w:color="auto"/>
        <w:left w:val="none" w:sz="0" w:space="0" w:color="auto"/>
        <w:bottom w:val="none" w:sz="0" w:space="0" w:color="auto"/>
        <w:right w:val="none" w:sz="0" w:space="0" w:color="auto"/>
      </w:divBdr>
    </w:div>
    <w:div w:id="884635041">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48508953">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33961877">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17529103">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3107061">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0412007">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00838201">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1949252">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37159406">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56248322">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4561059">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3920253">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health.gov.au/our-work/national-response-to-syphilis" TargetMode="External"/><Relationship Id="rId4" Type="http://schemas.openxmlformats.org/officeDocument/2006/relationships/settings" Target="settings.xml"/><Relationship Id="rId9" Type="http://schemas.openxmlformats.org/officeDocument/2006/relationships/hyperlink" Target="https://www.health.gov.au/dont-fool-around-with-syphili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1" ma:contentTypeDescription="Create a new document." ma:contentTypeScope="" ma:versionID="88aa01f07995322e4e085a031f03abd4">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0ab732e1bb992d06c8f4a2f367b278c0"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customXml/itemProps2.xml><?xml version="1.0" encoding="utf-8"?>
<ds:datastoreItem xmlns:ds="http://schemas.openxmlformats.org/officeDocument/2006/customXml" ds:itemID="{0FD4B502-4BED-4F62-9BC3-E7DE7EB08979}"/>
</file>

<file path=customXml/itemProps3.xml><?xml version="1.0" encoding="utf-8"?>
<ds:datastoreItem xmlns:ds="http://schemas.openxmlformats.org/officeDocument/2006/customXml" ds:itemID="{1CE1AA26-2AD5-4C61-83FE-CED491D6F545}"/>
</file>

<file path=customXml/itemProps4.xml><?xml version="1.0" encoding="utf-8"?>
<ds:datastoreItem xmlns:ds="http://schemas.openxmlformats.org/officeDocument/2006/customXml" ds:itemID="{CFFB6ECD-0CE3-4A5F-BD05-1F7FDD9AF2A3}"/>
</file>

<file path=docProps/app.xml><?xml version="1.0" encoding="utf-8"?>
<Properties xmlns="http://schemas.openxmlformats.org/officeDocument/2006/extended-properties" xmlns:vt="http://schemas.openxmlformats.org/officeDocument/2006/docPropsVTypes">
  <Template>Normal.dotm</Template>
  <TotalTime>406</TotalTime>
  <Pages>1</Pages>
  <Words>482</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NNDSS Fortnightly Report to CDNA - 15 April to 28 April 2024</vt:lpstr>
    </vt:vector>
  </TitlesOfParts>
  <Company>DHA</Company>
  <LinksUpToDate>false</LinksUpToDate>
  <CharactersWithSpaces>3447</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- 15 April to 28 April 2024</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POLKINGHORNE, Ben</cp:lastModifiedBy>
  <cp:revision>5</cp:revision>
  <cp:lastPrinted>2025-01-28T04:58:00Z</cp:lastPrinted>
  <dcterms:created xsi:type="dcterms:W3CDTF">2025-02-12T03:07:00Z</dcterms:created>
  <dcterms:modified xsi:type="dcterms:W3CDTF">2025-02-25T06:59:00Z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y fmtid="{D5CDD505-2E9C-101B-9397-08002B2CF9AE}" pid="9" name="ContentTypeId">
    <vt:lpwstr>0x010100A51386D899F9CA4298648C0791762DBC</vt:lpwstr>
  </property>
</Properties>
</file>