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7961" w14:textId="77777777" w:rsidR="00FC21F3" w:rsidRDefault="00FC21F3" w:rsidP="009252BD"/>
    <w:p w14:paraId="7EA8E2A9" w14:textId="1100EB6D" w:rsidR="00FC21F3" w:rsidRDefault="00FC21F3" w:rsidP="009252BD">
      <w:pPr>
        <w:pStyle w:val="Heading1"/>
        <w:ind w:left="0"/>
      </w:pPr>
      <w:r>
        <w:t>REDUCING STIGMA IN THE NATIONAL LUNG CANCER SCREENING PROGRAM</w:t>
      </w:r>
    </w:p>
    <w:p w14:paraId="35C8B513" w14:textId="6BE300F7" w:rsidR="00EE1E96" w:rsidRPr="00EE1E96" w:rsidRDefault="00EE1E96" w:rsidP="00EE1E96">
      <w:pPr>
        <w:spacing w:before="320"/>
        <w:rPr>
          <w:lang w:val="en-GB"/>
        </w:rPr>
      </w:pPr>
      <w:r w:rsidRPr="08BE7FE5">
        <w:rPr>
          <w:lang w:val="en-GB"/>
        </w:rPr>
        <w:t>Participants eligible for the National Lung Cancer Screening Program will have a history of tobacco cigarette smoking. They have likely experienced stigma and discrimination because of this, and as a result may be hesitant about lung cancer screening.</w:t>
      </w:r>
    </w:p>
    <w:p w14:paraId="1821BF5A" w14:textId="77777777" w:rsidR="00EE1E96" w:rsidRDefault="00EE1E96" w:rsidP="00EE1E96">
      <w:pPr>
        <w:spacing w:after="6000"/>
        <w:rPr>
          <w:lang w:val="en-GB"/>
        </w:rPr>
      </w:pPr>
      <w:r w:rsidRPr="08BE7FE5">
        <w:rPr>
          <w:lang w:val="en-GB"/>
        </w:rPr>
        <w:t>It is critical to minimise stigma associated with smoking and cancer risk. This can help address barriers to a person participating in the program or seeking medical help more broadly.</w:t>
      </w:r>
    </w:p>
    <w:p w14:paraId="5A996495" w14:textId="43C0000E" w:rsidR="00F60933" w:rsidRDefault="002A11A2" w:rsidP="00EE1E96">
      <w:pPr>
        <w:spacing w:after="6000"/>
        <w:rPr>
          <w:lang w:val="en-GB"/>
        </w:rPr>
      </w:pPr>
      <w:r>
        <w:rPr>
          <w:lang w:val="en-GB"/>
        </w:rPr>
        <w:br w:type="textWrapping" w:clear="all"/>
      </w:r>
    </w:p>
    <w:p w14:paraId="2C7F3072" w14:textId="54D63DE6" w:rsidR="00F60933" w:rsidRDefault="00817443" w:rsidP="00817443">
      <w:pPr>
        <w:pStyle w:val="Heading2"/>
      </w:pPr>
      <w:r>
        <w:lastRenderedPageBreak/>
        <w:t>When talking about lung cancer screening, it is important to keep in mind that:</w:t>
      </w:r>
    </w:p>
    <w:p w14:paraId="2172110E" w14:textId="2938C07B" w:rsidR="00073FEC" w:rsidRDefault="00073FEC" w:rsidP="00B90FC5">
      <w:pPr>
        <w:pStyle w:val="ListParagraph"/>
      </w:pPr>
      <w:r>
        <w:t xml:space="preserve">People who smoke </w:t>
      </w:r>
      <w:r w:rsidR="110B4E1C">
        <w:t>or have smoked</w:t>
      </w:r>
      <w:r>
        <w:t xml:space="preserve"> often feel, or expect to feel, judged in healthcare encounters. In the past they may have felt discriminated against, not listened to, blamed, or that ‘everything is brought back to smoking’.</w:t>
      </w:r>
    </w:p>
    <w:p w14:paraId="6104ED19" w14:textId="6D890E09" w:rsidR="00073FEC" w:rsidRDefault="00073FEC" w:rsidP="00B90FC5">
      <w:pPr>
        <w:pStyle w:val="ListParagraph"/>
      </w:pPr>
      <w:r>
        <w:t>People may find talking about the eligibility criteria for lung cancer screening uncomfortable. They might be reluctant to discuss details, under-report smoking information and/or not want others to know about their smoking history or participation in screening.</w:t>
      </w:r>
    </w:p>
    <w:p w14:paraId="2E61360A" w14:textId="60ACEB48" w:rsidR="00073FEC" w:rsidRDefault="00073FEC" w:rsidP="00B90FC5">
      <w:pPr>
        <w:pStyle w:val="ListParagraph"/>
      </w:pPr>
      <w:r>
        <w:t>People who smoke often report feeling shame, guilt and embarrassment about their smoking history. They may feel that they should live with the consequences of smoking or that they don’t deserve healthcare services like screening.</w:t>
      </w:r>
    </w:p>
    <w:p w14:paraId="5B97DE4C" w14:textId="5CE2626F" w:rsidR="00073FEC" w:rsidRDefault="00073FEC" w:rsidP="00B90FC5">
      <w:pPr>
        <w:pStyle w:val="ListParagraph"/>
      </w:pPr>
      <w:r>
        <w:t>Nicotine dependence is a clinical condition. Many people who smoke feel as if they have ‘tried everything’ to stop. If people have tried to quit in the past and started smoking again, they may feel a sense of failure or disappointment, which can impact their self-efficacy or motivation to try again.</w:t>
      </w:r>
    </w:p>
    <w:p w14:paraId="038C37F6" w14:textId="663087B4" w:rsidR="00073FEC" w:rsidRDefault="00073FEC" w:rsidP="00B90FC5">
      <w:pPr>
        <w:pStyle w:val="ListParagraph"/>
      </w:pPr>
      <w:r>
        <w:t>People who started smoking decades ago did not have the benefit of current tobacco control measures, research or education about the harms of tobacco smoking. Health warnings on cigarette packaging began in 1973, with nationally consistent health warnings only required in 1995.</w:t>
      </w:r>
      <w:r w:rsidR="00B90FC5">
        <w:rPr>
          <w:rStyle w:val="EndnoteReference"/>
        </w:rPr>
        <w:endnoteReference w:id="2"/>
      </w:r>
    </w:p>
    <w:p w14:paraId="10B259E5" w14:textId="22837D60" w:rsidR="00073FEC" w:rsidRDefault="00073FEC" w:rsidP="00B90FC5">
      <w:pPr>
        <w:pStyle w:val="ListParagraph"/>
      </w:pPr>
      <w:r>
        <w:t xml:space="preserve">Tobacco use is driven by harmful commercial interests and entrenched </w:t>
      </w:r>
      <w:proofErr w:type="spellStart"/>
      <w:r>
        <w:t>normalisation</w:t>
      </w:r>
      <w:proofErr w:type="spellEnd"/>
      <w:r>
        <w:t>. In the past, industry marketing pushed smoking as ‘cool’ or ‘glamorous’, and in some cases as having health benefits. Australia only completely banned tobacco advertising in the 1990s,</w:t>
      </w:r>
      <w:r w:rsidRPr="005A047D">
        <w:rPr>
          <w:vertAlign w:val="superscript"/>
        </w:rPr>
        <w:t>1</w:t>
      </w:r>
      <w:r>
        <w:t xml:space="preserve"> and industry agendas still impact use.</w:t>
      </w:r>
    </w:p>
    <w:p w14:paraId="6D057FF6" w14:textId="343AB559" w:rsidR="00073FEC" w:rsidRDefault="00073FEC" w:rsidP="00B90FC5">
      <w:pPr>
        <w:pStyle w:val="ListParagraph"/>
      </w:pPr>
      <w:r>
        <w:t>Smoking and its harms</w:t>
      </w:r>
      <w:r w:rsidR="00B90FC5">
        <w:t xml:space="preserve"> </w:t>
      </w:r>
      <w:r>
        <w:t>disproportionately impact Aboriginal and Torres Strait Islander peoples and communities.</w:t>
      </w:r>
    </w:p>
    <w:p w14:paraId="0BEE1F78" w14:textId="493A0613" w:rsidR="00B90FC5" w:rsidRDefault="00B90FC5">
      <w:pPr>
        <w:spacing w:line="278" w:lineRule="auto"/>
      </w:pPr>
      <w:r>
        <w:br w:type="page"/>
      </w:r>
    </w:p>
    <w:p w14:paraId="5207EBAE" w14:textId="7D9964FE" w:rsidR="00B90FC5" w:rsidRDefault="00B90FC5" w:rsidP="00B90FC5">
      <w:pPr>
        <w:pStyle w:val="Heading2"/>
      </w:pPr>
      <w:r>
        <w:lastRenderedPageBreak/>
        <w:t>Things you can do to minimise stigma when communicating about lung cancer screening:</w:t>
      </w:r>
    </w:p>
    <w:p w14:paraId="6E46821C" w14:textId="72F948C8" w:rsidR="00850199" w:rsidRDefault="00850199" w:rsidP="00AB574E">
      <w:pPr>
        <w:pStyle w:val="ListParagraph"/>
        <w:numPr>
          <w:ilvl w:val="0"/>
          <w:numId w:val="24"/>
        </w:numPr>
        <w:ind w:left="567" w:hanging="567"/>
      </w:pPr>
      <w:r>
        <w:t>Remind people that they do not need to quit smoking to take part in the program.</w:t>
      </w:r>
    </w:p>
    <w:p w14:paraId="61C09226" w14:textId="2523D170" w:rsidR="00850199" w:rsidRDefault="00850199" w:rsidP="52D84FA3">
      <w:pPr>
        <w:pStyle w:val="ListParagraph"/>
        <w:ind w:left="567" w:hanging="567"/>
      </w:pPr>
      <w:r>
        <w:t>Frame smoking as a dependence on nicotine, not a lifestyle choice.</w:t>
      </w:r>
    </w:p>
    <w:p w14:paraId="600491C3" w14:textId="6401997B" w:rsidR="00850199" w:rsidRDefault="00850199" w:rsidP="61B6228E">
      <w:pPr>
        <w:pStyle w:val="ListParagraph"/>
        <w:ind w:left="567" w:hanging="567"/>
      </w:pPr>
      <w:r w:rsidRPr="008C697B">
        <w:t>Exercise empathy about the cultural, social and commercial determinants of someone’s smoking history.</w:t>
      </w:r>
      <w:r>
        <w:t xml:space="preserve"> Cigarettes were designed to be addictive.</w:t>
      </w:r>
    </w:p>
    <w:p w14:paraId="0DEA78FF" w14:textId="77777777" w:rsidR="00850199" w:rsidRDefault="00850199" w:rsidP="00AB574E">
      <w:pPr>
        <w:pStyle w:val="ListParagraph"/>
        <w:numPr>
          <w:ilvl w:val="0"/>
          <w:numId w:val="24"/>
        </w:numPr>
        <w:ind w:left="567" w:hanging="567"/>
      </w:pPr>
      <w:r>
        <w:t>Encourage self-compassion around smoking:</w:t>
      </w:r>
    </w:p>
    <w:p w14:paraId="0F06CB1F" w14:textId="47B2D837" w:rsidR="00850199" w:rsidRDefault="00850199" w:rsidP="00B12745">
      <w:pPr>
        <w:pStyle w:val="ListParagraph"/>
        <w:ind w:left="1134" w:hanging="567"/>
      </w:pPr>
      <w:r>
        <w:t>People are not perfect. Perceived flaws or failings (such as difficulty stopping or reducing tobacco use)</w:t>
      </w:r>
      <w:r w:rsidR="001F6E88">
        <w:t xml:space="preserve"> </w:t>
      </w:r>
      <w:r>
        <w:t>are part of the human experience and are normal.</w:t>
      </w:r>
    </w:p>
    <w:p w14:paraId="49E571E2" w14:textId="77777777" w:rsidR="00850199" w:rsidRDefault="00850199" w:rsidP="00AB574E">
      <w:pPr>
        <w:pStyle w:val="ListParagraph"/>
        <w:ind w:left="1134" w:hanging="567"/>
      </w:pPr>
      <w:r>
        <w:t>Many people experience these feelings.</w:t>
      </w:r>
    </w:p>
    <w:p w14:paraId="5E82453A" w14:textId="543D54B7" w:rsidR="00850199" w:rsidRDefault="00850199" w:rsidP="00AB574E">
      <w:pPr>
        <w:pStyle w:val="ListParagraph"/>
        <w:ind w:left="1134" w:hanging="567"/>
      </w:pPr>
      <w:r>
        <w:t>Suggest that people try to give themselves patience, understanding and care</w:t>
      </w:r>
      <w:r w:rsidR="005A047D">
        <w:t xml:space="preserve"> </w:t>
      </w:r>
      <w:r>
        <w:t>–</w:t>
      </w:r>
      <w:r w:rsidR="005A047D">
        <w:t xml:space="preserve"> </w:t>
      </w:r>
      <w:r>
        <w:t>treat themselves like they would a good friend.</w:t>
      </w:r>
    </w:p>
    <w:p w14:paraId="5073F3D6" w14:textId="02AEC9B2" w:rsidR="55767713" w:rsidRDefault="55767713" w:rsidP="522AF0EE">
      <w:pPr>
        <w:pStyle w:val="ListParagraph"/>
        <w:ind w:left="1134" w:hanging="567"/>
        <w:rPr>
          <w:szCs w:val="20"/>
        </w:rPr>
      </w:pPr>
      <w:r>
        <w:t>Everyone deserves equal care, support and respect. Nobody deserves lung cancer.</w:t>
      </w:r>
    </w:p>
    <w:p w14:paraId="1960E961" w14:textId="4E206818" w:rsidR="00850199" w:rsidRDefault="00850199" w:rsidP="00AB574E">
      <w:pPr>
        <w:pStyle w:val="ListParagraph"/>
        <w:numPr>
          <w:ilvl w:val="0"/>
          <w:numId w:val="24"/>
        </w:numPr>
        <w:ind w:left="567" w:hanging="567"/>
      </w:pPr>
      <w:r w:rsidRPr="00850199">
        <w:t>Remind people that screening is confidential and that others do not have to find out. However, having a social support network can be helpful during the screening process.</w:t>
      </w:r>
    </w:p>
    <w:p w14:paraId="4EF4EF6C" w14:textId="77777777" w:rsidR="00850199" w:rsidRDefault="00850199" w:rsidP="00AB574E">
      <w:pPr>
        <w:pStyle w:val="ListParagraph"/>
        <w:numPr>
          <w:ilvl w:val="0"/>
          <w:numId w:val="24"/>
        </w:numPr>
        <w:ind w:left="567" w:hanging="567"/>
      </w:pPr>
      <w:r>
        <w:t>Use strength-based messages to discuss screening and smoking cessation:</w:t>
      </w:r>
    </w:p>
    <w:p w14:paraId="68D6E983" w14:textId="77777777" w:rsidR="00850199" w:rsidRDefault="00850199" w:rsidP="003C2D0D">
      <w:pPr>
        <w:pStyle w:val="ListParagraph"/>
        <w:ind w:left="1134" w:hanging="567"/>
      </w:pPr>
      <w:r>
        <w:t>Lung cancer screening may help to find lung cancer early when it is easier to treat, which can improve quality of life.</w:t>
      </w:r>
    </w:p>
    <w:p w14:paraId="1ABA0474" w14:textId="77777777" w:rsidR="00850199" w:rsidRDefault="00850199" w:rsidP="003C2D0D">
      <w:pPr>
        <w:pStyle w:val="ListParagraph"/>
        <w:ind w:left="1134" w:hanging="567"/>
      </w:pPr>
      <w:r>
        <w:t>It often takes multiple attempts to reduce or stop smoking entirely. Each try is a positive step, and a chance to learn more about what will work best for someone.</w:t>
      </w:r>
    </w:p>
    <w:p w14:paraId="3B450C25" w14:textId="77777777" w:rsidR="00850199" w:rsidRDefault="00850199" w:rsidP="003C2D0D">
      <w:pPr>
        <w:pStyle w:val="ListParagraph"/>
        <w:ind w:left="1134" w:hanging="567"/>
      </w:pPr>
      <w:r>
        <w:t>There are many benefits of stopping or reducing smoking:</w:t>
      </w:r>
    </w:p>
    <w:p w14:paraId="62EFC5C6" w14:textId="77777777" w:rsidR="00850199" w:rsidRPr="00850199" w:rsidRDefault="00850199" w:rsidP="00D44606">
      <w:pPr>
        <w:ind w:left="1134"/>
        <w:rPr>
          <w:b/>
          <w:bCs/>
          <w:color w:val="00708D"/>
        </w:rPr>
      </w:pPr>
      <w:r w:rsidRPr="00850199">
        <w:rPr>
          <w:b/>
          <w:bCs/>
          <w:color w:val="00708D"/>
        </w:rPr>
        <w:t>Why Quit Smoking</w:t>
      </w:r>
    </w:p>
    <w:p w14:paraId="23833112" w14:textId="6A2B1BDA" w:rsidR="00850199" w:rsidRDefault="00850199" w:rsidP="00D44606">
      <w:pPr>
        <w:ind w:left="1134"/>
      </w:pPr>
      <w:r>
        <w:t>(</w:t>
      </w:r>
      <w:hyperlink r:id="rId11" w:history="1">
        <w:r w:rsidRPr="006232D8">
          <w:rPr>
            <w:rStyle w:val="Hyperlink"/>
            <w:rFonts w:ascii="Open Sans Light" w:hAnsi="Open Sans Light"/>
          </w:rPr>
          <w:t>www.health.gov.au/topics/smoking-vaping-and-tobacco/how-to-quit/why-quit-smoking</w:t>
        </w:r>
      </w:hyperlink>
      <w:r>
        <w:t>)</w:t>
      </w:r>
    </w:p>
    <w:p w14:paraId="7AFE47D7" w14:textId="77777777" w:rsidR="00850199" w:rsidRPr="00850199" w:rsidRDefault="00850199" w:rsidP="00D44606">
      <w:pPr>
        <w:ind w:left="1134"/>
        <w:rPr>
          <w:b/>
          <w:bCs/>
          <w:color w:val="00708D"/>
        </w:rPr>
      </w:pPr>
      <w:r w:rsidRPr="00850199">
        <w:rPr>
          <w:b/>
          <w:bCs/>
          <w:color w:val="00708D"/>
        </w:rPr>
        <w:t>The health benefits of quitting smoking</w:t>
      </w:r>
    </w:p>
    <w:p w14:paraId="4036BF95" w14:textId="33047AF4" w:rsidR="00850199" w:rsidRDefault="00850199" w:rsidP="00D44606">
      <w:pPr>
        <w:ind w:left="1134"/>
      </w:pPr>
      <w:r>
        <w:t>(</w:t>
      </w:r>
      <w:hyperlink r:id="rId12" w:history="1">
        <w:r w:rsidRPr="006232D8">
          <w:rPr>
            <w:rStyle w:val="Hyperlink"/>
            <w:rFonts w:ascii="Open Sans Light" w:hAnsi="Open Sans Light"/>
          </w:rPr>
          <w:t>www.quit.org.au/articles/the-health-benefits-of-quitting-smoking</w:t>
        </w:r>
      </w:hyperlink>
      <w:r>
        <w:t>)</w:t>
      </w:r>
    </w:p>
    <w:p w14:paraId="1EDAFCC9" w14:textId="2625195F" w:rsidR="00CB6504" w:rsidRDefault="00CB6504" w:rsidP="52D84FA3">
      <w:pPr>
        <w:pStyle w:val="ListParagraph"/>
        <w:ind w:left="567" w:hanging="567"/>
      </w:pPr>
      <w:r>
        <w:t xml:space="preserve">There are a variety of supports available for people to stop or reduce smoking if they choose. These include tools and tips available through the </w:t>
      </w:r>
      <w:hyperlink r:id="rId13">
        <w:r w:rsidRPr="13047DDE">
          <w:rPr>
            <w:rStyle w:val="Hyperlink"/>
          </w:rPr>
          <w:t>National Cessation Platform</w:t>
        </w:r>
      </w:hyperlink>
      <w:r w:rsidRPr="13047DDE">
        <w:rPr>
          <w:b/>
          <w:bCs/>
          <w:color w:val="00708D"/>
        </w:rPr>
        <w:t xml:space="preserve"> </w:t>
      </w:r>
      <w:r>
        <w:t>(</w:t>
      </w:r>
      <w:hyperlink r:id="rId14">
        <w:r w:rsidRPr="13047DDE">
          <w:rPr>
            <w:rStyle w:val="Hyperlink"/>
            <w:rFonts w:ascii="Open Sans Light" w:hAnsi="Open Sans Light"/>
          </w:rPr>
          <w:t>quit.org.au</w:t>
        </w:r>
      </w:hyperlink>
      <w:r>
        <w:t xml:space="preserve">) and via the </w:t>
      </w:r>
      <w:proofErr w:type="spellStart"/>
      <w:r>
        <w:t>MyQuitBuddy</w:t>
      </w:r>
      <w:proofErr w:type="spellEnd"/>
      <w:r w:rsidR="262C7A84">
        <w:t>.</w:t>
      </w:r>
      <w:r>
        <w:t xml:space="preserve"> mobile app</w:t>
      </w:r>
    </w:p>
    <w:p w14:paraId="7C49AF9D" w14:textId="671F9ABF" w:rsidR="00CB6504" w:rsidRDefault="00CB6504" w:rsidP="00380455">
      <w:pPr>
        <w:ind w:left="567"/>
      </w:pPr>
      <w:r>
        <w:t xml:space="preserve">For healthcare providers, the </w:t>
      </w:r>
      <w:hyperlink r:id="rId15" w:history="1">
        <w:r w:rsidRPr="00CB6504">
          <w:rPr>
            <w:rStyle w:val="Hyperlink"/>
            <w:rFonts w:ascii="Open Sans Light" w:hAnsi="Open Sans Light"/>
          </w:rPr>
          <w:t>Quit Centre website</w:t>
        </w:r>
      </w:hyperlink>
      <w:r>
        <w:t xml:space="preserve"> provides information, education and resources on smoking cessation to support patient care through cessation pathways.</w:t>
      </w:r>
    </w:p>
    <w:p w14:paraId="06843BB1" w14:textId="19F29EBD" w:rsidR="008C697B" w:rsidRDefault="008C697B">
      <w:pPr>
        <w:spacing w:line="278" w:lineRule="auto"/>
      </w:pPr>
      <w:r>
        <w:br w:type="page"/>
      </w:r>
    </w:p>
    <w:p w14:paraId="5017B134" w14:textId="375B925A" w:rsidR="002B3E16" w:rsidRDefault="002B3E16" w:rsidP="002B3E16">
      <w:pPr>
        <w:pStyle w:val="Heading2"/>
        <w:rPr>
          <w:vertAlign w:val="superscript"/>
        </w:rPr>
      </w:pPr>
      <w:r w:rsidRPr="002B3E16">
        <w:lastRenderedPageBreak/>
        <w:t>Lexicon guide for using person-first and empowerment language</w:t>
      </w:r>
      <w:r w:rsidR="00940813">
        <w:rPr>
          <w:rStyle w:val="EndnoteReference"/>
        </w:rPr>
        <w:endnoteReference w:id="3"/>
      </w:r>
      <w:r w:rsidR="00940813" w:rsidRPr="007C626A">
        <w:rPr>
          <w:vertAlign w:val="superscript"/>
        </w:rPr>
        <w:t>,</w:t>
      </w:r>
      <w:r w:rsidR="00940813">
        <w:rPr>
          <w:rStyle w:val="EndnoteReference"/>
        </w:rPr>
        <w:endnoteReference w:id="4"/>
      </w:r>
    </w:p>
    <w:p w14:paraId="69D9B6AE" w14:textId="2CFF73FF" w:rsidR="0088688E" w:rsidRPr="0088688E" w:rsidRDefault="0088688E" w:rsidP="0088688E">
      <w:r w:rsidRPr="0088688E">
        <w:t>The words we use matter. Thoughtful use of language when communicating about lung cancer screening can help empower participants and reduce stigma.</w:t>
      </w:r>
    </w:p>
    <w:tbl>
      <w:tblPr>
        <w:tblStyle w:val="TableGrid"/>
        <w:tblW w:w="991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3681"/>
        <w:gridCol w:w="6237"/>
      </w:tblGrid>
      <w:tr w:rsidR="00E5311E" w:rsidRPr="00642195" w14:paraId="7562F5F2" w14:textId="77777777" w:rsidTr="08BE7FE5">
        <w:trPr>
          <w:cantSplit/>
          <w:tblHeader/>
        </w:trPr>
        <w:tc>
          <w:tcPr>
            <w:tcW w:w="3681" w:type="dxa"/>
            <w:shd w:val="clear" w:color="auto" w:fill="032849"/>
            <w:vAlign w:val="center"/>
          </w:tcPr>
          <w:p w14:paraId="03D4BE24" w14:textId="423802F9" w:rsidR="00E5311E" w:rsidRPr="00642195" w:rsidRDefault="6D052A1F" w:rsidP="00B12745">
            <w:pPr>
              <w:rPr>
                <w:b/>
                <w:bCs/>
              </w:rPr>
            </w:pPr>
            <w:r w:rsidRPr="08BE7FE5">
              <w:rPr>
                <w:b/>
                <w:bCs/>
              </w:rPr>
              <w:t>Instead of…</w:t>
            </w:r>
          </w:p>
        </w:tc>
        <w:tc>
          <w:tcPr>
            <w:tcW w:w="6237" w:type="dxa"/>
            <w:shd w:val="clear" w:color="auto" w:fill="032849"/>
          </w:tcPr>
          <w:p w14:paraId="138F23F4" w14:textId="1747A853" w:rsidR="00E5311E" w:rsidRPr="00642195" w:rsidRDefault="6D052A1F" w:rsidP="00B12745">
            <w:pPr>
              <w:rPr>
                <w:b/>
                <w:bCs/>
              </w:rPr>
            </w:pPr>
            <w:r w:rsidRPr="08BE7FE5">
              <w:rPr>
                <w:b/>
                <w:bCs/>
              </w:rPr>
              <w:t>Use person-first and empowerment language</w:t>
            </w:r>
          </w:p>
        </w:tc>
      </w:tr>
      <w:tr w:rsidR="00073FEC" w14:paraId="7B987310" w14:textId="77777777" w:rsidTr="08BE7FE5">
        <w:trPr>
          <w:cantSplit/>
          <w:tblHeader/>
        </w:trPr>
        <w:tc>
          <w:tcPr>
            <w:tcW w:w="3681" w:type="dxa"/>
            <w:shd w:val="clear" w:color="auto" w:fill="D2EBE2"/>
            <w:vAlign w:val="center"/>
          </w:tcPr>
          <w:p w14:paraId="527EE179" w14:textId="5F1C7CE5" w:rsidR="00073FEC" w:rsidRPr="004D1253" w:rsidRDefault="00642195" w:rsidP="004D1253">
            <w:pPr>
              <w:rPr>
                <w:b/>
                <w:bCs/>
              </w:rPr>
            </w:pPr>
            <w:r w:rsidRPr="004D1253">
              <w:rPr>
                <w:b/>
                <w:bCs/>
              </w:rPr>
              <w:t>Smoker</w:t>
            </w:r>
          </w:p>
        </w:tc>
        <w:tc>
          <w:tcPr>
            <w:tcW w:w="6237" w:type="dxa"/>
            <w:vAlign w:val="center"/>
          </w:tcPr>
          <w:p w14:paraId="603C1257" w14:textId="23D517ED" w:rsidR="00073FEC" w:rsidRDefault="00CF2067" w:rsidP="004D1253">
            <w:r w:rsidRPr="00CF2067">
              <w:t>Person who smokes</w:t>
            </w:r>
          </w:p>
        </w:tc>
      </w:tr>
      <w:tr w:rsidR="00073FEC" w14:paraId="52740955" w14:textId="77777777" w:rsidTr="08BE7FE5">
        <w:trPr>
          <w:cantSplit/>
          <w:tblHeader/>
        </w:trPr>
        <w:tc>
          <w:tcPr>
            <w:tcW w:w="3681" w:type="dxa"/>
            <w:shd w:val="clear" w:color="auto" w:fill="D2EBE2"/>
            <w:vAlign w:val="center"/>
          </w:tcPr>
          <w:p w14:paraId="22831663" w14:textId="4A001381" w:rsidR="00073FEC" w:rsidRPr="004D1253" w:rsidRDefault="00642195" w:rsidP="004D1253">
            <w:pPr>
              <w:rPr>
                <w:b/>
                <w:bCs/>
              </w:rPr>
            </w:pPr>
            <w:r w:rsidRPr="004D1253">
              <w:rPr>
                <w:b/>
                <w:bCs/>
              </w:rPr>
              <w:t>Ex-smoker</w:t>
            </w:r>
          </w:p>
        </w:tc>
        <w:tc>
          <w:tcPr>
            <w:tcW w:w="6237" w:type="dxa"/>
            <w:vAlign w:val="center"/>
          </w:tcPr>
          <w:p w14:paraId="59FCCDE7" w14:textId="1DE672D3" w:rsidR="00073FEC" w:rsidRPr="00C3590D" w:rsidRDefault="00CF2067" w:rsidP="004D1253">
            <w:r w:rsidRPr="00CF2067">
              <w:t>Person with a smoking history</w:t>
            </w:r>
          </w:p>
        </w:tc>
      </w:tr>
      <w:tr w:rsidR="00073FEC" w14:paraId="5749F681" w14:textId="77777777" w:rsidTr="08BE7FE5">
        <w:trPr>
          <w:cantSplit/>
          <w:tblHeader/>
        </w:trPr>
        <w:tc>
          <w:tcPr>
            <w:tcW w:w="3681" w:type="dxa"/>
            <w:shd w:val="clear" w:color="auto" w:fill="D2EBE2"/>
            <w:vAlign w:val="center"/>
          </w:tcPr>
          <w:p w14:paraId="4896E9BB" w14:textId="7AD1B04A" w:rsidR="00073FEC" w:rsidRPr="004D1253" w:rsidRDefault="00642195" w:rsidP="004D1253">
            <w:pPr>
              <w:rPr>
                <w:b/>
                <w:bCs/>
              </w:rPr>
            </w:pPr>
            <w:r w:rsidRPr="004D1253">
              <w:rPr>
                <w:b/>
                <w:bCs/>
              </w:rPr>
              <w:t>Nicotine addict</w:t>
            </w:r>
          </w:p>
        </w:tc>
        <w:tc>
          <w:tcPr>
            <w:tcW w:w="6237" w:type="dxa"/>
            <w:vAlign w:val="center"/>
          </w:tcPr>
          <w:p w14:paraId="04915A83" w14:textId="27FFE4B8" w:rsidR="00073FEC" w:rsidRDefault="00CF2067" w:rsidP="004D1253">
            <w:r w:rsidRPr="00CF2067">
              <w:t>Person with nicotine dependence</w:t>
            </w:r>
          </w:p>
        </w:tc>
      </w:tr>
      <w:tr w:rsidR="00642195" w14:paraId="57C6353A" w14:textId="77777777" w:rsidTr="08BE7FE5">
        <w:trPr>
          <w:cantSplit/>
          <w:tblHeader/>
        </w:trPr>
        <w:tc>
          <w:tcPr>
            <w:tcW w:w="3681" w:type="dxa"/>
            <w:shd w:val="clear" w:color="auto" w:fill="D2EBE2"/>
            <w:vAlign w:val="center"/>
          </w:tcPr>
          <w:p w14:paraId="7780A173" w14:textId="72F63DE3" w:rsidR="00642195" w:rsidRPr="004D1253" w:rsidRDefault="00642195" w:rsidP="004D1253">
            <w:pPr>
              <w:rPr>
                <w:b/>
                <w:bCs/>
              </w:rPr>
            </w:pPr>
            <w:r w:rsidRPr="004D1253">
              <w:rPr>
                <w:b/>
                <w:bCs/>
              </w:rPr>
              <w:t>Habit</w:t>
            </w:r>
          </w:p>
        </w:tc>
        <w:tc>
          <w:tcPr>
            <w:tcW w:w="6237" w:type="dxa"/>
            <w:vAlign w:val="center"/>
          </w:tcPr>
          <w:p w14:paraId="1CBE9E28" w14:textId="00EE0791" w:rsidR="00642195" w:rsidRDefault="517ED740" w:rsidP="004D1253">
            <w:r>
              <w:t>Dependence on nicotine</w:t>
            </w:r>
          </w:p>
        </w:tc>
      </w:tr>
      <w:tr w:rsidR="00642195" w14:paraId="388D541C" w14:textId="77777777" w:rsidTr="08BE7FE5">
        <w:trPr>
          <w:cantSplit/>
          <w:tblHeader/>
        </w:trPr>
        <w:tc>
          <w:tcPr>
            <w:tcW w:w="3681" w:type="dxa"/>
            <w:shd w:val="clear" w:color="auto" w:fill="D2EBE2"/>
            <w:vAlign w:val="center"/>
          </w:tcPr>
          <w:p w14:paraId="37B572B8" w14:textId="5767742A" w:rsidR="00642195" w:rsidRPr="004D1253" w:rsidRDefault="00642195" w:rsidP="004D1253">
            <w:pPr>
              <w:rPr>
                <w:b/>
                <w:bCs/>
              </w:rPr>
            </w:pPr>
            <w:r w:rsidRPr="004D1253">
              <w:rPr>
                <w:b/>
                <w:bCs/>
              </w:rPr>
              <w:t>Lifestyle</w:t>
            </w:r>
          </w:p>
        </w:tc>
        <w:tc>
          <w:tcPr>
            <w:tcW w:w="6237" w:type="dxa"/>
            <w:vAlign w:val="center"/>
          </w:tcPr>
          <w:p w14:paraId="46FED064" w14:textId="19AB63EB" w:rsidR="00642195" w:rsidRDefault="00CF2067" w:rsidP="004D1253">
            <w:r w:rsidRPr="00CF2067">
              <w:t>Smoking or tobacco use behaviour</w:t>
            </w:r>
          </w:p>
        </w:tc>
      </w:tr>
      <w:tr w:rsidR="00642195" w14:paraId="4340225C" w14:textId="77777777" w:rsidTr="08BE7FE5">
        <w:trPr>
          <w:cantSplit/>
          <w:tblHeader/>
        </w:trPr>
        <w:tc>
          <w:tcPr>
            <w:tcW w:w="3681" w:type="dxa"/>
            <w:shd w:val="clear" w:color="auto" w:fill="D2EBE2"/>
            <w:vAlign w:val="center"/>
          </w:tcPr>
          <w:p w14:paraId="075B5194" w14:textId="4C313992" w:rsidR="00642195" w:rsidRPr="004D1253" w:rsidRDefault="00642195" w:rsidP="004D1253">
            <w:pPr>
              <w:rPr>
                <w:b/>
                <w:bCs/>
              </w:rPr>
            </w:pPr>
            <w:r w:rsidRPr="004D1253">
              <w:rPr>
                <w:b/>
                <w:bCs/>
              </w:rPr>
              <w:t>Willpower</w:t>
            </w:r>
          </w:p>
        </w:tc>
        <w:tc>
          <w:tcPr>
            <w:tcW w:w="6237" w:type="dxa"/>
            <w:vAlign w:val="center"/>
          </w:tcPr>
          <w:p w14:paraId="555544E0" w14:textId="541B4572" w:rsidR="00642195" w:rsidRDefault="00CF2067" w:rsidP="004D1253">
            <w:r w:rsidRPr="00CF2067">
              <w:t>Access to tools or resources to support stopping the use of tobacco</w:t>
            </w:r>
          </w:p>
        </w:tc>
      </w:tr>
      <w:tr w:rsidR="00642195" w14:paraId="45D3F8BC" w14:textId="77777777" w:rsidTr="08BE7FE5">
        <w:trPr>
          <w:cantSplit/>
          <w:tblHeader/>
        </w:trPr>
        <w:tc>
          <w:tcPr>
            <w:tcW w:w="3681" w:type="dxa"/>
            <w:shd w:val="clear" w:color="auto" w:fill="D2EBE2"/>
            <w:vAlign w:val="center"/>
          </w:tcPr>
          <w:p w14:paraId="17AAF831" w14:textId="09E61625" w:rsidR="00642195" w:rsidRPr="004D1253" w:rsidRDefault="00642195" w:rsidP="004D1253">
            <w:pPr>
              <w:rPr>
                <w:b/>
                <w:bCs/>
              </w:rPr>
            </w:pPr>
            <w:r w:rsidRPr="004D1253">
              <w:rPr>
                <w:b/>
                <w:bCs/>
              </w:rPr>
              <w:t>Admitter or denier</w:t>
            </w:r>
          </w:p>
        </w:tc>
        <w:tc>
          <w:tcPr>
            <w:tcW w:w="6237" w:type="dxa"/>
            <w:vAlign w:val="center"/>
          </w:tcPr>
          <w:p w14:paraId="15004140" w14:textId="749A5155" w:rsidR="00642195" w:rsidRDefault="00CF2067" w:rsidP="004D1253">
            <w:r w:rsidRPr="00CF2067">
              <w:t>Someone with conflicting responses about smoking behaviour</w:t>
            </w:r>
          </w:p>
        </w:tc>
      </w:tr>
      <w:tr w:rsidR="00642195" w14:paraId="0DCF67F7" w14:textId="77777777" w:rsidTr="08BE7FE5">
        <w:trPr>
          <w:cantSplit/>
          <w:tblHeader/>
        </w:trPr>
        <w:tc>
          <w:tcPr>
            <w:tcW w:w="3681" w:type="dxa"/>
            <w:shd w:val="clear" w:color="auto" w:fill="D2EBE2"/>
            <w:vAlign w:val="center"/>
          </w:tcPr>
          <w:p w14:paraId="63533042" w14:textId="403D3C7D" w:rsidR="00642195" w:rsidRPr="004D1253" w:rsidRDefault="00642195" w:rsidP="004D1253">
            <w:pPr>
              <w:rPr>
                <w:b/>
                <w:bCs/>
              </w:rPr>
            </w:pPr>
            <w:r w:rsidRPr="004D1253">
              <w:rPr>
                <w:b/>
                <w:bCs/>
              </w:rPr>
              <w:t>Willing/unwilling; non-compliant</w:t>
            </w:r>
          </w:p>
        </w:tc>
        <w:tc>
          <w:tcPr>
            <w:tcW w:w="6237" w:type="dxa"/>
            <w:vAlign w:val="center"/>
          </w:tcPr>
          <w:p w14:paraId="096F4C51" w14:textId="7E616AD6" w:rsidR="00642195" w:rsidRDefault="517ED740" w:rsidP="004D1253">
            <w:r>
              <w:t>Unable, not able to; chooses not to</w:t>
            </w:r>
          </w:p>
        </w:tc>
      </w:tr>
    </w:tbl>
    <w:p w14:paraId="4D27584E" w14:textId="77777777" w:rsidR="001F2390" w:rsidRPr="001F2390" w:rsidRDefault="001F2390" w:rsidP="001F2390">
      <w:pPr>
        <w:spacing w:after="0"/>
        <w:rPr>
          <w:sz w:val="2"/>
          <w:szCs w:val="2"/>
        </w:rPr>
      </w:pPr>
    </w:p>
    <w:p w14:paraId="57F82400" w14:textId="77777777" w:rsidR="00DD2129" w:rsidRPr="00DD2129" w:rsidRDefault="00DD2129" w:rsidP="00DD2129">
      <w:pPr>
        <w:spacing w:after="0"/>
        <w:rPr>
          <w:sz w:val="2"/>
          <w:szCs w:val="2"/>
        </w:rPr>
      </w:pPr>
    </w:p>
    <w:p w14:paraId="6E726A37" w14:textId="77777777" w:rsidR="00EC31F4" w:rsidRPr="00EC31F4" w:rsidRDefault="00EC31F4" w:rsidP="00EC31F4">
      <w:pPr>
        <w:spacing w:after="0"/>
        <w:rPr>
          <w:sz w:val="2"/>
          <w:szCs w:val="2"/>
        </w:rPr>
      </w:pPr>
    </w:p>
    <w:p w14:paraId="017F5DA6" w14:textId="77777777" w:rsidR="00035E03" w:rsidRPr="00035E03" w:rsidRDefault="00035E03" w:rsidP="00035E03">
      <w:pPr>
        <w:spacing w:after="0"/>
        <w:rPr>
          <w:sz w:val="2"/>
          <w:szCs w:val="2"/>
        </w:rPr>
      </w:pPr>
    </w:p>
    <w:p w14:paraId="6EB57E25" w14:textId="04A83730" w:rsidR="006B61AE" w:rsidRPr="00645C9F" w:rsidRDefault="00645C9F" w:rsidP="00585DC6">
      <w:pPr>
        <w:pStyle w:val="Heading3"/>
        <w:spacing w:before="3000"/>
        <w:rPr>
          <w:rFonts w:ascii="Open Sans Light" w:hAnsi="Open Sans Light" w:cs="Open Sans Light"/>
          <w:color w:val="auto"/>
          <w:sz w:val="20"/>
          <w:szCs w:val="20"/>
        </w:rPr>
      </w:pPr>
      <w:r w:rsidRPr="00645C9F">
        <w:rPr>
          <w:rFonts w:ascii="Open Sans Light" w:hAnsi="Open Sans Light" w:cs="Open Sans Light"/>
          <w:color w:val="auto"/>
          <w:sz w:val="20"/>
          <w:szCs w:val="20"/>
        </w:rPr>
        <w:t>References</w:t>
      </w:r>
      <w:r>
        <w:rPr>
          <w:rFonts w:ascii="Open Sans Light" w:hAnsi="Open Sans Light" w:cs="Open Sans Light"/>
          <w:color w:val="auto"/>
          <w:sz w:val="20"/>
          <w:szCs w:val="20"/>
        </w:rPr>
        <w:t>:</w:t>
      </w:r>
    </w:p>
    <w:sectPr w:rsidR="006B61AE" w:rsidRPr="00645C9F" w:rsidSect="009252BD">
      <w:footerReference w:type="default" r:id="rId16"/>
      <w:headerReference w:type="first" r:id="rId1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E773" w14:textId="77777777" w:rsidR="00A7562D" w:rsidRDefault="00A7562D" w:rsidP="00F81AFB">
      <w:r>
        <w:separator/>
      </w:r>
    </w:p>
  </w:endnote>
  <w:endnote w:type="continuationSeparator" w:id="0">
    <w:p w14:paraId="4DCD1542" w14:textId="77777777" w:rsidR="00A7562D" w:rsidRDefault="00A7562D" w:rsidP="00F81AFB">
      <w:r>
        <w:continuationSeparator/>
      </w:r>
    </w:p>
  </w:endnote>
  <w:endnote w:type="continuationNotice" w:id="1">
    <w:p w14:paraId="7C0069B9" w14:textId="77777777" w:rsidR="00A7562D" w:rsidRDefault="00A7562D">
      <w:pPr>
        <w:spacing w:after="0" w:line="240" w:lineRule="auto"/>
      </w:pPr>
    </w:p>
  </w:endnote>
  <w:endnote w:id="2">
    <w:p w14:paraId="3A6A626D" w14:textId="7A80BD57" w:rsidR="00B90FC5" w:rsidRPr="00926169" w:rsidRDefault="00B90FC5" w:rsidP="00B90FC5">
      <w:pPr>
        <w:pStyle w:val="EndnoteText"/>
        <w:rPr>
          <w:b/>
          <w:bCs/>
          <w:sz w:val="16"/>
          <w:szCs w:val="16"/>
          <w:lang w:val="en-US"/>
        </w:rPr>
      </w:pPr>
      <w:r>
        <w:rPr>
          <w:rStyle w:val="EndnoteReference"/>
        </w:rPr>
        <w:endnoteRef/>
      </w:r>
      <w:r>
        <w:t xml:space="preserve"> </w:t>
      </w:r>
      <w:r w:rsidRPr="00B90FC5">
        <w:rPr>
          <w:sz w:val="16"/>
          <w:szCs w:val="16"/>
        </w:rPr>
        <w:t>Australian Government Department of Health and Aged Care. Tobacco control timeline. 2018.</w:t>
      </w:r>
      <w:r>
        <w:rPr>
          <w:sz w:val="16"/>
          <w:szCs w:val="16"/>
        </w:rPr>
        <w:t xml:space="preserve"> </w:t>
      </w:r>
      <w:hyperlink r:id="rId1" w:history="1">
        <w:r w:rsidRPr="00926169">
          <w:rPr>
            <w:rStyle w:val="Hyperlink"/>
            <w:rFonts w:ascii="Open Sans Light" w:hAnsi="Open Sans Light"/>
            <w:b w:val="0"/>
            <w:bCs/>
            <w:color w:val="auto"/>
            <w:sz w:val="16"/>
            <w:szCs w:val="16"/>
          </w:rPr>
          <w:t>https://www1.health.gov.au/internet/publications/publishing.nsf/Content/tobacco-control-toc~timeline</w:t>
        </w:r>
      </w:hyperlink>
      <w:r w:rsidRPr="00926169">
        <w:rPr>
          <w:b/>
          <w:bCs/>
          <w:sz w:val="16"/>
          <w:szCs w:val="16"/>
        </w:rPr>
        <w:t>.</w:t>
      </w:r>
    </w:p>
  </w:endnote>
  <w:endnote w:id="3">
    <w:p w14:paraId="6E5FD5DF" w14:textId="2B3C605C" w:rsidR="00940813" w:rsidRPr="00940813" w:rsidRDefault="00940813">
      <w:pPr>
        <w:pStyle w:val="EndnoteText"/>
        <w:rPr>
          <w:sz w:val="16"/>
          <w:szCs w:val="16"/>
          <w:lang w:val="en-US"/>
        </w:rPr>
      </w:pPr>
      <w:r>
        <w:rPr>
          <w:rStyle w:val="EndnoteReference"/>
        </w:rPr>
        <w:endnoteRef/>
      </w:r>
      <w:r>
        <w:t xml:space="preserve"> </w:t>
      </w:r>
      <w:r w:rsidRPr="00940813">
        <w:rPr>
          <w:sz w:val="16"/>
          <w:szCs w:val="16"/>
        </w:rPr>
        <w:t>American Cancer Society National Lung Cancer Roundtable. Lung Cancer Stigma Communications Assessment Tool (LCS-CAT) Alternatives Suite 2024.</w:t>
      </w:r>
      <w:r w:rsidRPr="00926169">
        <w:rPr>
          <w:b/>
          <w:bCs/>
          <w:sz w:val="16"/>
          <w:szCs w:val="16"/>
        </w:rPr>
        <w:t xml:space="preserve"> </w:t>
      </w:r>
      <w:hyperlink r:id="rId2" w:history="1">
        <w:r w:rsidRPr="00926169">
          <w:rPr>
            <w:rStyle w:val="Hyperlink"/>
            <w:rFonts w:ascii="Open Sans Light" w:hAnsi="Open Sans Light"/>
            <w:b w:val="0"/>
            <w:bCs/>
            <w:color w:val="auto"/>
            <w:sz w:val="16"/>
            <w:szCs w:val="16"/>
          </w:rPr>
          <w:t>https://nlcrt.org/resource-center</w:t>
        </w:r>
      </w:hyperlink>
      <w:r w:rsidRPr="00940813">
        <w:rPr>
          <w:sz w:val="16"/>
          <w:szCs w:val="16"/>
        </w:rPr>
        <w:t>.</w:t>
      </w:r>
    </w:p>
  </w:endnote>
  <w:endnote w:id="4">
    <w:p w14:paraId="47334EEB" w14:textId="6B566C34" w:rsidR="00940813" w:rsidRDefault="00940813" w:rsidP="00334C50">
      <w:pPr>
        <w:pStyle w:val="EndnoteText"/>
        <w:spacing w:after="160" w:line="312" w:lineRule="auto"/>
        <w:rPr>
          <w:b/>
          <w:bCs/>
          <w:sz w:val="16"/>
          <w:szCs w:val="16"/>
        </w:rPr>
      </w:pPr>
      <w:r>
        <w:rPr>
          <w:rStyle w:val="EndnoteReference"/>
        </w:rPr>
        <w:endnoteRef/>
      </w:r>
      <w:r>
        <w:t xml:space="preserve"> </w:t>
      </w:r>
      <w:r w:rsidRPr="00940813">
        <w:rPr>
          <w:sz w:val="16"/>
          <w:szCs w:val="16"/>
        </w:rPr>
        <w:t>Global Lung Cancer Patient Council, Roche. Promoting good mental health in people with lung cancer 2022.</w:t>
      </w:r>
      <w:r>
        <w:rPr>
          <w:sz w:val="16"/>
          <w:szCs w:val="16"/>
        </w:rPr>
        <w:t xml:space="preserve"> </w:t>
      </w:r>
      <w:hyperlink r:id="rId3" w:history="1">
        <w:r w:rsidRPr="00926169">
          <w:rPr>
            <w:rStyle w:val="Hyperlink"/>
            <w:rFonts w:ascii="Open Sans Light" w:hAnsi="Open Sans Light"/>
            <w:b w:val="0"/>
            <w:bCs/>
            <w:color w:val="auto"/>
            <w:sz w:val="16"/>
            <w:szCs w:val="16"/>
          </w:rPr>
          <w:t>https://medically.roche.com/content/dam/sh/mental-health-in-lung-cancer/.html</w:t>
        </w:r>
      </w:hyperlink>
      <w:r w:rsidRPr="00926169">
        <w:rPr>
          <w:b/>
          <w:bCs/>
          <w:sz w:val="16"/>
          <w:szCs w:val="16"/>
        </w:rPr>
        <w:t>.</w:t>
      </w:r>
    </w:p>
    <w:p w14:paraId="7AB05796" w14:textId="6E877B90" w:rsidR="00EB5234" w:rsidRDefault="00EB5234" w:rsidP="007F6B47">
      <w:pPr>
        <w:pStyle w:val="EndnoteText"/>
        <w:tabs>
          <w:tab w:val="center" w:pos="8505"/>
        </w:tabs>
        <w:ind w:right="283"/>
        <w:jc w:val="right"/>
        <w:rPr>
          <w:b/>
          <w:bCs/>
          <w:sz w:val="16"/>
          <w:szCs w:val="16"/>
          <w:lang w:val="en-US"/>
        </w:rPr>
      </w:pPr>
      <w:r w:rsidRPr="00EB5234">
        <w:rPr>
          <w:b/>
          <w:bCs/>
          <w:noProof/>
          <w:sz w:val="16"/>
          <w:szCs w:val="16"/>
          <w:lang w:val="en-US"/>
        </w:rPr>
        <w:drawing>
          <wp:inline distT="0" distB="0" distL="0" distR="0" wp14:anchorId="62E5F220" wp14:editId="14552BB2">
            <wp:extent cx="1373419" cy="1363980"/>
            <wp:effectExtent l="0" t="0" r="0" b="7620"/>
            <wp:docPr id="620497958" name="Picture 1" descr="QR code of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97958" name="Picture 1" descr="QR code of National Lung Cancer Screening Progr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547" cy="1372052"/>
                    </a:xfrm>
                    <a:prstGeom prst="rect">
                      <a:avLst/>
                    </a:prstGeom>
                    <a:noFill/>
                    <a:ln>
                      <a:noFill/>
                    </a:ln>
                  </pic:spPr>
                </pic:pic>
              </a:graphicData>
            </a:graphic>
          </wp:inline>
        </w:drawing>
      </w:r>
    </w:p>
    <w:p w14:paraId="5F39F49B" w14:textId="77777777" w:rsidR="00866226" w:rsidRPr="009252BD" w:rsidRDefault="00866226" w:rsidP="007F6B47">
      <w:pPr>
        <w:pStyle w:val="EndnoteText"/>
        <w:tabs>
          <w:tab w:val="center" w:pos="8505"/>
        </w:tabs>
        <w:ind w:right="283"/>
        <w:jc w:val="right"/>
        <w:rPr>
          <w:sz w:val="22"/>
          <w:szCs w:val="22"/>
        </w:rPr>
      </w:pPr>
    </w:p>
    <w:p w14:paraId="2F0CCD19" w14:textId="7B9828D8" w:rsidR="00EB5234" w:rsidRPr="00EB5234" w:rsidRDefault="00866226" w:rsidP="007F6B47">
      <w:pPr>
        <w:pStyle w:val="EndnoteText"/>
        <w:tabs>
          <w:tab w:val="center" w:pos="8505"/>
        </w:tabs>
        <w:ind w:right="283"/>
        <w:jc w:val="right"/>
        <w:rPr>
          <w:b/>
          <w:bCs/>
          <w:lang w:val="en-US"/>
        </w:rPr>
      </w:pPr>
      <w:hyperlink r:id="rId5" w:history="1">
        <w:r w:rsidRPr="00866226">
          <w:rPr>
            <w:rStyle w:val="Hyperlink"/>
            <w:rFonts w:ascii="Open Sans Light" w:hAnsi="Open Sans Light"/>
            <w:bCs/>
            <w:lang w:val="en-US"/>
          </w:rPr>
          <w:t>www.health.gov.au/nlcsp</w:t>
        </w:r>
      </w:hyperlink>
      <w:r w:rsidR="00EB5234" w:rsidRPr="00EB5234">
        <w:rPr>
          <w:b/>
          <w:bCs/>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auto"/>
    <w:pitch w:val="variable"/>
    <w:sig w:usb0="E00002FF" w:usb1="4000201B" w:usb2="00000028" w:usb3="00000000" w:csb0="0000019F" w:csb1="00000000"/>
  </w:font>
  <w:font w:name="Raleway">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119C3786" w:rsidR="00CA4181" w:rsidRPr="009252BD" w:rsidRDefault="002A11A2" w:rsidP="009252BD">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Reducing stigma in the National Lung Cancer Screening Program</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6</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D811" w14:textId="77777777" w:rsidR="00A7562D" w:rsidRDefault="00A7562D" w:rsidP="00F81AFB">
      <w:r>
        <w:separator/>
      </w:r>
    </w:p>
  </w:footnote>
  <w:footnote w:type="continuationSeparator" w:id="0">
    <w:p w14:paraId="49E078A4" w14:textId="77777777" w:rsidR="00A7562D" w:rsidRDefault="00A7562D" w:rsidP="00F81AFB">
      <w:r>
        <w:continuationSeparator/>
      </w:r>
    </w:p>
  </w:footnote>
  <w:footnote w:type="continuationNotice" w:id="1">
    <w:p w14:paraId="49FB718C" w14:textId="77777777" w:rsidR="00A7562D" w:rsidRDefault="00A75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0675" w14:textId="109F1B41" w:rsidR="000425A1" w:rsidRDefault="00FC21F3">
    <w:pPr>
      <w:pStyle w:val="Header"/>
    </w:pPr>
    <w:r>
      <w:rPr>
        <w:noProof/>
        <w:lang w:val="en-GB"/>
      </w:rPr>
      <w:drawing>
        <wp:inline distT="0" distB="0" distL="0" distR="0" wp14:anchorId="42E54E8D" wp14:editId="72034B11">
          <wp:extent cx="3030220" cy="719455"/>
          <wp:effectExtent l="0" t="0" r="0" b="4445"/>
          <wp:docPr id="717257356"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6CE"/>
    <w:multiLevelType w:val="multilevel"/>
    <w:tmpl w:val="4DFC2150"/>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A53FA"/>
    <w:multiLevelType w:val="multilevel"/>
    <w:tmpl w:val="27D0E45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20"/>
  </w:num>
  <w:num w:numId="2" w16cid:durableId="1828205814">
    <w:abstractNumId w:val="15"/>
  </w:num>
  <w:num w:numId="3" w16cid:durableId="1370641551">
    <w:abstractNumId w:val="23"/>
  </w:num>
  <w:num w:numId="4" w16cid:durableId="500003193">
    <w:abstractNumId w:val="2"/>
  </w:num>
  <w:num w:numId="5" w16cid:durableId="1345788340">
    <w:abstractNumId w:val="9"/>
  </w:num>
  <w:num w:numId="6" w16cid:durableId="948708404">
    <w:abstractNumId w:val="7"/>
  </w:num>
  <w:num w:numId="7" w16cid:durableId="92751195">
    <w:abstractNumId w:val="18"/>
  </w:num>
  <w:num w:numId="8" w16cid:durableId="1662388270">
    <w:abstractNumId w:val="21"/>
  </w:num>
  <w:num w:numId="9" w16cid:durableId="1746534922">
    <w:abstractNumId w:val="22"/>
  </w:num>
  <w:num w:numId="10" w16cid:durableId="338508578">
    <w:abstractNumId w:val="19"/>
  </w:num>
  <w:num w:numId="11" w16cid:durableId="1514297494">
    <w:abstractNumId w:val="17"/>
  </w:num>
  <w:num w:numId="12" w16cid:durableId="586156076">
    <w:abstractNumId w:val="1"/>
  </w:num>
  <w:num w:numId="13" w16cid:durableId="552499296">
    <w:abstractNumId w:val="16"/>
  </w:num>
  <w:num w:numId="14" w16cid:durableId="231962535">
    <w:abstractNumId w:val="5"/>
  </w:num>
  <w:num w:numId="15" w16cid:durableId="1761297460">
    <w:abstractNumId w:val="6"/>
  </w:num>
  <w:num w:numId="16" w16cid:durableId="1490093695">
    <w:abstractNumId w:val="4"/>
  </w:num>
  <w:num w:numId="17" w16cid:durableId="1249970461">
    <w:abstractNumId w:val="22"/>
    <w:lvlOverride w:ilvl="0">
      <w:startOverride w:val="1"/>
    </w:lvlOverride>
  </w:num>
  <w:num w:numId="18" w16cid:durableId="1023745028">
    <w:abstractNumId w:val="8"/>
  </w:num>
  <w:num w:numId="19" w16cid:durableId="1432897553">
    <w:abstractNumId w:val="3"/>
  </w:num>
  <w:num w:numId="20" w16cid:durableId="2038965436">
    <w:abstractNumId w:val="12"/>
  </w:num>
  <w:num w:numId="21" w16cid:durableId="2025935431">
    <w:abstractNumId w:val="10"/>
  </w:num>
  <w:num w:numId="22" w16cid:durableId="1644654970">
    <w:abstractNumId w:val="11"/>
  </w:num>
  <w:num w:numId="23" w16cid:durableId="53358936">
    <w:abstractNumId w:val="14"/>
  </w:num>
  <w:num w:numId="24" w16cid:durableId="1427579632">
    <w:abstractNumId w:val="13"/>
  </w:num>
  <w:num w:numId="25" w16cid:durableId="117927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646D3"/>
    <w:rsid w:val="00073FEC"/>
    <w:rsid w:val="00084076"/>
    <w:rsid w:val="000928FB"/>
    <w:rsid w:val="000B470C"/>
    <w:rsid w:val="000D560D"/>
    <w:rsid w:val="000E6C8E"/>
    <w:rsid w:val="000F215F"/>
    <w:rsid w:val="00104C09"/>
    <w:rsid w:val="001079B0"/>
    <w:rsid w:val="0012149B"/>
    <w:rsid w:val="00127472"/>
    <w:rsid w:val="00157BD8"/>
    <w:rsid w:val="001602BA"/>
    <w:rsid w:val="00182E7C"/>
    <w:rsid w:val="001853C5"/>
    <w:rsid w:val="001907C0"/>
    <w:rsid w:val="00193439"/>
    <w:rsid w:val="00195DB2"/>
    <w:rsid w:val="001E2298"/>
    <w:rsid w:val="001E4B3A"/>
    <w:rsid w:val="001F2390"/>
    <w:rsid w:val="001F6E88"/>
    <w:rsid w:val="002063CC"/>
    <w:rsid w:val="00217E3B"/>
    <w:rsid w:val="00220812"/>
    <w:rsid w:val="002359FD"/>
    <w:rsid w:val="00240632"/>
    <w:rsid w:val="00244F4A"/>
    <w:rsid w:val="00254591"/>
    <w:rsid w:val="00257C83"/>
    <w:rsid w:val="0027220C"/>
    <w:rsid w:val="00276E66"/>
    <w:rsid w:val="00285ADB"/>
    <w:rsid w:val="00294FB6"/>
    <w:rsid w:val="002A11A2"/>
    <w:rsid w:val="002B3E16"/>
    <w:rsid w:val="002B48C6"/>
    <w:rsid w:val="002E6626"/>
    <w:rsid w:val="00300B86"/>
    <w:rsid w:val="00301C06"/>
    <w:rsid w:val="0030415B"/>
    <w:rsid w:val="00322ECA"/>
    <w:rsid w:val="00334C50"/>
    <w:rsid w:val="003401BF"/>
    <w:rsid w:val="00342890"/>
    <w:rsid w:val="00365F70"/>
    <w:rsid w:val="00366FF9"/>
    <w:rsid w:val="00375812"/>
    <w:rsid w:val="003801E0"/>
    <w:rsid w:val="00380455"/>
    <w:rsid w:val="00380E02"/>
    <w:rsid w:val="003A327A"/>
    <w:rsid w:val="003C01A4"/>
    <w:rsid w:val="003C2D0D"/>
    <w:rsid w:val="003C54C1"/>
    <w:rsid w:val="003D2A1E"/>
    <w:rsid w:val="003D7E48"/>
    <w:rsid w:val="003E6469"/>
    <w:rsid w:val="003F544D"/>
    <w:rsid w:val="003F58E6"/>
    <w:rsid w:val="00401382"/>
    <w:rsid w:val="004045DB"/>
    <w:rsid w:val="00406D92"/>
    <w:rsid w:val="00417992"/>
    <w:rsid w:val="00432938"/>
    <w:rsid w:val="00445599"/>
    <w:rsid w:val="00453AFC"/>
    <w:rsid w:val="004A10EC"/>
    <w:rsid w:val="004A25D2"/>
    <w:rsid w:val="004C2B06"/>
    <w:rsid w:val="004C436A"/>
    <w:rsid w:val="004D1253"/>
    <w:rsid w:val="004E0CBD"/>
    <w:rsid w:val="004E721A"/>
    <w:rsid w:val="005060B3"/>
    <w:rsid w:val="00506AD4"/>
    <w:rsid w:val="00515A4F"/>
    <w:rsid w:val="00517C9F"/>
    <w:rsid w:val="00523B9B"/>
    <w:rsid w:val="00542D0B"/>
    <w:rsid w:val="00552083"/>
    <w:rsid w:val="00565A48"/>
    <w:rsid w:val="0058533E"/>
    <w:rsid w:val="00585DC6"/>
    <w:rsid w:val="005969AA"/>
    <w:rsid w:val="005A047D"/>
    <w:rsid w:val="005A45F6"/>
    <w:rsid w:val="005B3F67"/>
    <w:rsid w:val="005B5EF0"/>
    <w:rsid w:val="005C4121"/>
    <w:rsid w:val="005E102B"/>
    <w:rsid w:val="005E1542"/>
    <w:rsid w:val="005F3CBE"/>
    <w:rsid w:val="005F5637"/>
    <w:rsid w:val="0060555F"/>
    <w:rsid w:val="00624889"/>
    <w:rsid w:val="006373F9"/>
    <w:rsid w:val="006419DF"/>
    <w:rsid w:val="00642195"/>
    <w:rsid w:val="00645C9F"/>
    <w:rsid w:val="00654936"/>
    <w:rsid w:val="00655F66"/>
    <w:rsid w:val="006637CC"/>
    <w:rsid w:val="00664F4E"/>
    <w:rsid w:val="0067394D"/>
    <w:rsid w:val="006909BE"/>
    <w:rsid w:val="006A47F9"/>
    <w:rsid w:val="006A4B23"/>
    <w:rsid w:val="006B61AE"/>
    <w:rsid w:val="006B6EF0"/>
    <w:rsid w:val="006C366B"/>
    <w:rsid w:val="006D68A1"/>
    <w:rsid w:val="006D7A34"/>
    <w:rsid w:val="006E2AC1"/>
    <w:rsid w:val="006E4EAF"/>
    <w:rsid w:val="006F2929"/>
    <w:rsid w:val="006F30B7"/>
    <w:rsid w:val="007368BF"/>
    <w:rsid w:val="0074358C"/>
    <w:rsid w:val="007509E7"/>
    <w:rsid w:val="00750B9B"/>
    <w:rsid w:val="007749DD"/>
    <w:rsid w:val="00776534"/>
    <w:rsid w:val="00777B26"/>
    <w:rsid w:val="007A2877"/>
    <w:rsid w:val="007A66F1"/>
    <w:rsid w:val="007B173D"/>
    <w:rsid w:val="007B682D"/>
    <w:rsid w:val="007C626A"/>
    <w:rsid w:val="007E017A"/>
    <w:rsid w:val="007E22A6"/>
    <w:rsid w:val="007E389F"/>
    <w:rsid w:val="007F6B47"/>
    <w:rsid w:val="007F7A1C"/>
    <w:rsid w:val="00804307"/>
    <w:rsid w:val="00813508"/>
    <w:rsid w:val="00815286"/>
    <w:rsid w:val="0081533F"/>
    <w:rsid w:val="00817443"/>
    <w:rsid w:val="00817F76"/>
    <w:rsid w:val="00840BC2"/>
    <w:rsid w:val="008426FA"/>
    <w:rsid w:val="00850199"/>
    <w:rsid w:val="00855AEF"/>
    <w:rsid w:val="00866226"/>
    <w:rsid w:val="0087064C"/>
    <w:rsid w:val="0088688E"/>
    <w:rsid w:val="008A6491"/>
    <w:rsid w:val="008B3774"/>
    <w:rsid w:val="008B3E8F"/>
    <w:rsid w:val="008B676D"/>
    <w:rsid w:val="008C1D3C"/>
    <w:rsid w:val="008C3E41"/>
    <w:rsid w:val="008C697B"/>
    <w:rsid w:val="008F7927"/>
    <w:rsid w:val="00903043"/>
    <w:rsid w:val="00904106"/>
    <w:rsid w:val="00907900"/>
    <w:rsid w:val="009252BD"/>
    <w:rsid w:val="00926169"/>
    <w:rsid w:val="0092703B"/>
    <w:rsid w:val="009273EF"/>
    <w:rsid w:val="00940813"/>
    <w:rsid w:val="00965C35"/>
    <w:rsid w:val="00972614"/>
    <w:rsid w:val="00984AF3"/>
    <w:rsid w:val="00985598"/>
    <w:rsid w:val="009866ED"/>
    <w:rsid w:val="009A597B"/>
    <w:rsid w:val="009B20C2"/>
    <w:rsid w:val="009C4683"/>
    <w:rsid w:val="009F48B2"/>
    <w:rsid w:val="00A354B9"/>
    <w:rsid w:val="00A3599F"/>
    <w:rsid w:val="00A434E5"/>
    <w:rsid w:val="00A457C6"/>
    <w:rsid w:val="00A47407"/>
    <w:rsid w:val="00A5254D"/>
    <w:rsid w:val="00A67309"/>
    <w:rsid w:val="00A67D78"/>
    <w:rsid w:val="00A72840"/>
    <w:rsid w:val="00A7562D"/>
    <w:rsid w:val="00A83201"/>
    <w:rsid w:val="00AA1246"/>
    <w:rsid w:val="00AA4DB0"/>
    <w:rsid w:val="00AB54F7"/>
    <w:rsid w:val="00AB574E"/>
    <w:rsid w:val="00AB65BC"/>
    <w:rsid w:val="00AC604D"/>
    <w:rsid w:val="00AF53A4"/>
    <w:rsid w:val="00AF5C59"/>
    <w:rsid w:val="00B12745"/>
    <w:rsid w:val="00B151C7"/>
    <w:rsid w:val="00B90FC5"/>
    <w:rsid w:val="00B93CE4"/>
    <w:rsid w:val="00B97FEB"/>
    <w:rsid w:val="00BA7702"/>
    <w:rsid w:val="00BB3544"/>
    <w:rsid w:val="00BC1B38"/>
    <w:rsid w:val="00BC66B0"/>
    <w:rsid w:val="00BD6830"/>
    <w:rsid w:val="00BE5B69"/>
    <w:rsid w:val="00BF1150"/>
    <w:rsid w:val="00C00776"/>
    <w:rsid w:val="00C01005"/>
    <w:rsid w:val="00C127D0"/>
    <w:rsid w:val="00C25E37"/>
    <w:rsid w:val="00C3590D"/>
    <w:rsid w:val="00C532EC"/>
    <w:rsid w:val="00C6164F"/>
    <w:rsid w:val="00C93E79"/>
    <w:rsid w:val="00C975A4"/>
    <w:rsid w:val="00CA0798"/>
    <w:rsid w:val="00CA0DDC"/>
    <w:rsid w:val="00CA4181"/>
    <w:rsid w:val="00CA62F9"/>
    <w:rsid w:val="00CB065C"/>
    <w:rsid w:val="00CB6504"/>
    <w:rsid w:val="00CC15F6"/>
    <w:rsid w:val="00CC451E"/>
    <w:rsid w:val="00CD4AA7"/>
    <w:rsid w:val="00CD57AD"/>
    <w:rsid w:val="00CE575C"/>
    <w:rsid w:val="00CE66A3"/>
    <w:rsid w:val="00CF2067"/>
    <w:rsid w:val="00CF4A6A"/>
    <w:rsid w:val="00D00C0D"/>
    <w:rsid w:val="00D05474"/>
    <w:rsid w:val="00D2420D"/>
    <w:rsid w:val="00D31FF7"/>
    <w:rsid w:val="00D43CD3"/>
    <w:rsid w:val="00D44606"/>
    <w:rsid w:val="00D44CC1"/>
    <w:rsid w:val="00D54D4A"/>
    <w:rsid w:val="00D82C60"/>
    <w:rsid w:val="00D849FB"/>
    <w:rsid w:val="00D9153D"/>
    <w:rsid w:val="00DA13BA"/>
    <w:rsid w:val="00DA2FDA"/>
    <w:rsid w:val="00DB276F"/>
    <w:rsid w:val="00DB3178"/>
    <w:rsid w:val="00DC7481"/>
    <w:rsid w:val="00DD1C66"/>
    <w:rsid w:val="00DD2129"/>
    <w:rsid w:val="00DD2CCC"/>
    <w:rsid w:val="00DE37AD"/>
    <w:rsid w:val="00DF3052"/>
    <w:rsid w:val="00DF5510"/>
    <w:rsid w:val="00E0114F"/>
    <w:rsid w:val="00E110C6"/>
    <w:rsid w:val="00E1579F"/>
    <w:rsid w:val="00E2049D"/>
    <w:rsid w:val="00E23298"/>
    <w:rsid w:val="00E23CE1"/>
    <w:rsid w:val="00E27510"/>
    <w:rsid w:val="00E5311E"/>
    <w:rsid w:val="00E55032"/>
    <w:rsid w:val="00E57400"/>
    <w:rsid w:val="00E87248"/>
    <w:rsid w:val="00E90C1C"/>
    <w:rsid w:val="00EB23CC"/>
    <w:rsid w:val="00EB256E"/>
    <w:rsid w:val="00EB5234"/>
    <w:rsid w:val="00EB7B1F"/>
    <w:rsid w:val="00EC24D8"/>
    <w:rsid w:val="00EC31F4"/>
    <w:rsid w:val="00ED0ECA"/>
    <w:rsid w:val="00EE1E96"/>
    <w:rsid w:val="00EF5EF5"/>
    <w:rsid w:val="00F04032"/>
    <w:rsid w:val="00F146E3"/>
    <w:rsid w:val="00F27197"/>
    <w:rsid w:val="00F4644B"/>
    <w:rsid w:val="00F530A2"/>
    <w:rsid w:val="00F60933"/>
    <w:rsid w:val="00F624CB"/>
    <w:rsid w:val="00F8026C"/>
    <w:rsid w:val="00F81AFB"/>
    <w:rsid w:val="00FA6AEB"/>
    <w:rsid w:val="00FB2D9B"/>
    <w:rsid w:val="00FB7C1F"/>
    <w:rsid w:val="00FC1D5B"/>
    <w:rsid w:val="00FC21F3"/>
    <w:rsid w:val="00FE43F6"/>
    <w:rsid w:val="01C928EC"/>
    <w:rsid w:val="03F8F2B1"/>
    <w:rsid w:val="08BE7FE5"/>
    <w:rsid w:val="110B4E1C"/>
    <w:rsid w:val="12B8A719"/>
    <w:rsid w:val="13047DDE"/>
    <w:rsid w:val="15744C7C"/>
    <w:rsid w:val="1EF31902"/>
    <w:rsid w:val="262C7A84"/>
    <w:rsid w:val="330BBDEC"/>
    <w:rsid w:val="3577BF9B"/>
    <w:rsid w:val="3AA7661A"/>
    <w:rsid w:val="40301151"/>
    <w:rsid w:val="41C1D48A"/>
    <w:rsid w:val="517ED740"/>
    <w:rsid w:val="522AF0EE"/>
    <w:rsid w:val="52D84FA3"/>
    <w:rsid w:val="55767713"/>
    <w:rsid w:val="613A4E3C"/>
    <w:rsid w:val="61B6228E"/>
    <w:rsid w:val="69E24550"/>
    <w:rsid w:val="6D052A1F"/>
    <w:rsid w:val="6F14574A"/>
    <w:rsid w:val="70C6C2EA"/>
    <w:rsid w:val="721242E7"/>
    <w:rsid w:val="73175819"/>
    <w:rsid w:val="7322FDC2"/>
    <w:rsid w:val="73DA9CAD"/>
    <w:rsid w:val="7511FDD4"/>
    <w:rsid w:val="7BBB1E9A"/>
    <w:rsid w:val="7CFE18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21E68252-DE9F-47DC-92D3-C7DEB482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21F3"/>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D9153D"/>
    <w:rPr>
      <w:b/>
      <w:bCs/>
    </w:rPr>
  </w:style>
  <w:style w:type="character" w:customStyle="1" w:styleId="CommentSubjectChar">
    <w:name w:val="Comment Subject Char"/>
    <w:basedOn w:val="CommentTextChar"/>
    <w:link w:val="CommentSubject"/>
    <w:uiPriority w:val="99"/>
    <w:semiHidden/>
    <w:rsid w:val="00D9153D"/>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articles/national-cessation-platform-stakeholder-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it.org.au/articles/the-health-benefits-of-quitting-smok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topics/smoking-vaping-and-tobacco/how-to-quit/why-quit-smoking" TargetMode="External"/><Relationship Id="rId5" Type="http://schemas.openxmlformats.org/officeDocument/2006/relationships/numbering" Target="numbering.xml"/><Relationship Id="rId15" Type="http://schemas.openxmlformats.org/officeDocument/2006/relationships/hyperlink" Target="https://www.quitcentre.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medically.roche.com/content/dam/sh/mental-health-in-lung-cancer/.html" TargetMode="External"/><Relationship Id="rId2" Type="http://schemas.openxmlformats.org/officeDocument/2006/relationships/hyperlink" Target="https://nlcrt.org/resource-center" TargetMode="External"/><Relationship Id="rId1" Type="http://schemas.openxmlformats.org/officeDocument/2006/relationships/hyperlink" Target="https://www1.health.gov.au/internet/publications/publishing.nsf/Content/tobacco-control-toc~timeline" TargetMode="External"/><Relationship Id="rId5" Type="http://schemas.openxmlformats.org/officeDocument/2006/relationships/hyperlink" Target="http://www.health.gov.au/nlcsp" TargetMode="Externa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Props1.xml><?xml version="1.0" encoding="utf-8"?>
<ds:datastoreItem xmlns:ds="http://schemas.openxmlformats.org/officeDocument/2006/customXml" ds:itemID="{E291001F-8E26-4433-B3E4-27F1157E0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7D6EE-2E82-41E2-BC4E-087195B8D997}">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E47AEE3D-4153-4DD8-A8DD-566011951C0B}">
  <ds:schemaRefs>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http://purl.org/dc/elements/1.1/"/>
    <ds:schemaRef ds:uri="234a1180-165c-4ddb-a7a0-8c33db459a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4273</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National Lung Cancer Screening Program – Reducing stigma in the National Lung Cancer Screening Program</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Reducing stigma in the National Lung Cancer Screening Program</dc:title>
  <dc:subject>National Lung Cancer Screening Program (NLCSP)</dc:subject>
  <dc:creator>Australian Government Department of Health and Aged Care</dc:creator>
  <cp:keywords>Cancer</cp:keywords>
  <dc:description/>
  <cp:revision>3</cp:revision>
  <dcterms:created xsi:type="dcterms:W3CDTF">2025-04-29T03:45:00Z</dcterms:created>
  <dcterms:modified xsi:type="dcterms:W3CDTF">2025-04-29T03:45:00Z</dcterms:modified>
</cp:coreProperties>
</file>