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63361" w14:textId="77777777" w:rsidR="0038261D" w:rsidRDefault="0038261D"/>
    <w:p w14:paraId="0E3C4FCD" w14:textId="77777777" w:rsidR="0038261D" w:rsidRPr="00EE5C0E" w:rsidRDefault="0038261D" w:rsidP="00EE5C0E">
      <w:pPr>
        <w:pStyle w:val="Heading1"/>
        <w:ind w:left="0"/>
        <w:rPr>
          <w:color w:val="002F5E"/>
          <w:sz w:val="56"/>
          <w:szCs w:val="56"/>
        </w:rPr>
      </w:pPr>
      <w:r w:rsidRPr="00EE5C0E">
        <w:rPr>
          <w:color w:val="002F5E"/>
          <w:sz w:val="56"/>
          <w:szCs w:val="56"/>
        </w:rPr>
        <w:t>GET YOUR PRACTICE READY FOR THE NATIONAL LUNG CANCER SCREENING PROGRAM</w:t>
      </w:r>
    </w:p>
    <w:p w14:paraId="1CC74D85" w14:textId="6547CACF" w:rsidR="003801E0" w:rsidRDefault="0CAA451C" w:rsidP="0B08D896">
      <w:pPr>
        <w:spacing w:before="240"/>
        <w:rPr>
          <w:sz w:val="11"/>
          <w:szCs w:val="11"/>
        </w:rPr>
      </w:pPr>
      <w:r>
        <w:t>Lung</w:t>
      </w:r>
      <w:r>
        <w:rPr>
          <w:spacing w:val="-1"/>
        </w:rPr>
        <w:t xml:space="preserve"> </w:t>
      </w:r>
      <w:r>
        <w:t>cancer</w:t>
      </w:r>
      <w:r>
        <w:rPr>
          <w:spacing w:val="-1"/>
        </w:rPr>
        <w:t xml:space="preserve"> </w:t>
      </w:r>
      <w:r>
        <w:t>is</w:t>
      </w:r>
      <w:r>
        <w:rPr>
          <w:spacing w:val="-1"/>
        </w:rPr>
        <w:t xml:space="preserve"> </w:t>
      </w:r>
      <w:r>
        <w:t>the</w:t>
      </w:r>
      <w:r>
        <w:rPr>
          <w:spacing w:val="-1"/>
        </w:rPr>
        <w:t xml:space="preserve"> </w:t>
      </w:r>
      <w:r>
        <w:t>leading</w:t>
      </w:r>
      <w:r>
        <w:rPr>
          <w:spacing w:val="-1"/>
        </w:rPr>
        <w:t xml:space="preserve"> </w:t>
      </w:r>
      <w:r>
        <w:t>cause</w:t>
      </w:r>
      <w:r>
        <w:rPr>
          <w:spacing w:val="-1"/>
        </w:rPr>
        <w:t xml:space="preserve"> </w:t>
      </w:r>
      <w:r>
        <w:t>of</w:t>
      </w:r>
      <w:r>
        <w:rPr>
          <w:spacing w:val="-1"/>
        </w:rPr>
        <w:t xml:space="preserve"> </w:t>
      </w:r>
      <w:r>
        <w:t>cancer</w:t>
      </w:r>
      <w:r>
        <w:rPr>
          <w:spacing w:val="-1"/>
        </w:rPr>
        <w:t xml:space="preserve"> </w:t>
      </w:r>
      <w:r>
        <w:t>death</w:t>
      </w:r>
      <w:r>
        <w:rPr>
          <w:spacing w:val="-1"/>
        </w:rPr>
        <w:t xml:space="preserve"> </w:t>
      </w:r>
      <w:r>
        <w:t>in</w:t>
      </w:r>
      <w:r>
        <w:rPr>
          <w:spacing w:val="-1"/>
        </w:rPr>
        <w:t xml:space="preserve"> </w:t>
      </w:r>
      <w:r>
        <w:t>Australia</w:t>
      </w:r>
      <w:r w:rsidR="71A4878F">
        <w:t>.</w:t>
      </w:r>
      <w:r w:rsidR="00EF5EF5">
        <w:rPr>
          <w:rStyle w:val="EndnoteReference"/>
        </w:rPr>
        <w:endnoteReference w:id="2"/>
      </w:r>
      <w:r w:rsidR="71A4878F">
        <w:t xml:space="preserve"> </w:t>
      </w:r>
      <w:r>
        <w:t>Currently,</w:t>
      </w:r>
      <w:r>
        <w:rPr>
          <w:spacing w:val="-1"/>
        </w:rPr>
        <w:t xml:space="preserve"> </w:t>
      </w:r>
      <w:proofErr w:type="gramStart"/>
      <w:r>
        <w:t>the</w:t>
      </w:r>
      <w:r>
        <w:rPr>
          <w:spacing w:val="-1"/>
        </w:rPr>
        <w:t xml:space="preserve"> </w:t>
      </w:r>
      <w:r>
        <w:t>majority</w:t>
      </w:r>
      <w:r>
        <w:rPr>
          <w:spacing w:val="-1"/>
        </w:rPr>
        <w:t xml:space="preserve"> </w:t>
      </w:r>
      <w:r>
        <w:t>of</w:t>
      </w:r>
      <w:proofErr w:type="gramEnd"/>
      <w:r>
        <w:rPr>
          <w:spacing w:val="-1"/>
        </w:rPr>
        <w:t xml:space="preserve"> </w:t>
      </w:r>
      <w:r>
        <w:t>lung</w:t>
      </w:r>
      <w:r>
        <w:rPr>
          <w:spacing w:val="-1"/>
        </w:rPr>
        <w:t xml:space="preserve"> </w:t>
      </w:r>
      <w:r>
        <w:t>cancer</w:t>
      </w:r>
      <w:r>
        <w:rPr>
          <w:spacing w:val="-1"/>
        </w:rPr>
        <w:t xml:space="preserve"> </w:t>
      </w:r>
      <w:r>
        <w:t>cases are diagnosed at stages 3 and 4</w:t>
      </w:r>
      <w:r w:rsidR="71A4878F">
        <w:t>.</w:t>
      </w:r>
      <w:r w:rsidR="00EF5EF5">
        <w:rPr>
          <w:rStyle w:val="EndnoteReference"/>
        </w:rPr>
        <w:endnoteReference w:id="3"/>
      </w:r>
      <w:r w:rsidR="71A4878F">
        <w:t xml:space="preserve"> </w:t>
      </w:r>
      <w:r>
        <w:t>However, if found early, lung cancer can be successfully treated</w:t>
      </w:r>
      <w:r w:rsidR="71A4878F">
        <w:t>.</w:t>
      </w:r>
      <w:r w:rsidR="00EF5EF5">
        <w:rPr>
          <w:rStyle w:val="EndnoteReference"/>
        </w:rPr>
        <w:endnoteReference w:id="4"/>
      </w:r>
    </w:p>
    <w:p w14:paraId="24F5ACA1" w14:textId="71772576" w:rsidR="003801E0" w:rsidRDefault="003801E0" w:rsidP="003801E0">
      <w:pPr>
        <w:rPr>
          <w:sz w:val="11"/>
        </w:rPr>
      </w:pPr>
      <w:r>
        <w:t>Large</w:t>
      </w:r>
      <w:r>
        <w:rPr>
          <w:spacing w:val="-14"/>
        </w:rPr>
        <w:t xml:space="preserve"> </w:t>
      </w:r>
      <w:r>
        <w:t>international</w:t>
      </w:r>
      <w:r>
        <w:rPr>
          <w:spacing w:val="-14"/>
        </w:rPr>
        <w:t xml:space="preserve"> </w:t>
      </w:r>
      <w:r>
        <w:t>randomised</w:t>
      </w:r>
      <w:r>
        <w:rPr>
          <w:spacing w:val="-14"/>
        </w:rPr>
        <w:t xml:space="preserve"> </w:t>
      </w:r>
      <w:r>
        <w:t>trials</w:t>
      </w:r>
      <w:r>
        <w:rPr>
          <w:spacing w:val="-13"/>
        </w:rPr>
        <w:t xml:space="preserve"> </w:t>
      </w:r>
      <w:r>
        <w:t>have</w:t>
      </w:r>
      <w:r>
        <w:rPr>
          <w:spacing w:val="-14"/>
        </w:rPr>
        <w:t xml:space="preserve"> </w:t>
      </w:r>
      <w:r>
        <w:t>shown</w:t>
      </w:r>
      <w:r>
        <w:rPr>
          <w:spacing w:val="-14"/>
        </w:rPr>
        <w:t xml:space="preserve"> </w:t>
      </w:r>
      <w:r>
        <w:t>that</w:t>
      </w:r>
      <w:r>
        <w:rPr>
          <w:spacing w:val="-14"/>
        </w:rPr>
        <w:t xml:space="preserve"> </w:t>
      </w:r>
      <w:r>
        <w:t>screening</w:t>
      </w:r>
      <w:r>
        <w:rPr>
          <w:spacing w:val="-13"/>
        </w:rPr>
        <w:t xml:space="preserve"> </w:t>
      </w:r>
      <w:r>
        <w:t>using</w:t>
      </w:r>
      <w:r>
        <w:rPr>
          <w:spacing w:val="-14"/>
        </w:rPr>
        <w:t xml:space="preserve"> </w:t>
      </w:r>
      <w:r>
        <w:t>a</w:t>
      </w:r>
      <w:r>
        <w:rPr>
          <w:spacing w:val="-14"/>
        </w:rPr>
        <w:t xml:space="preserve"> </w:t>
      </w:r>
      <w:r>
        <w:t>low-dose</w:t>
      </w:r>
      <w:r>
        <w:rPr>
          <w:spacing w:val="-14"/>
        </w:rPr>
        <w:t xml:space="preserve"> </w:t>
      </w:r>
      <w:r>
        <w:t>CT</w:t>
      </w:r>
      <w:r>
        <w:rPr>
          <w:spacing w:val="-13"/>
        </w:rPr>
        <w:t xml:space="preserve"> </w:t>
      </w:r>
      <w:r>
        <w:t>scan</w:t>
      </w:r>
      <w:r>
        <w:rPr>
          <w:spacing w:val="-14"/>
        </w:rPr>
        <w:t xml:space="preserve"> </w:t>
      </w:r>
      <w:r>
        <w:t>can</w:t>
      </w:r>
      <w:r>
        <w:rPr>
          <w:spacing w:val="-14"/>
        </w:rPr>
        <w:t xml:space="preserve"> </w:t>
      </w:r>
      <w:r>
        <w:t>reduce lung</w:t>
      </w:r>
      <w:r>
        <w:rPr>
          <w:spacing w:val="-4"/>
        </w:rPr>
        <w:t xml:space="preserve"> </w:t>
      </w:r>
      <w:r>
        <w:t>cancer</w:t>
      </w:r>
      <w:r>
        <w:rPr>
          <w:spacing w:val="-4"/>
        </w:rPr>
        <w:t xml:space="preserve"> </w:t>
      </w:r>
      <w:r>
        <w:t>deaths</w:t>
      </w:r>
      <w:r>
        <w:rPr>
          <w:spacing w:val="-4"/>
        </w:rPr>
        <w:t xml:space="preserve"> </w:t>
      </w:r>
      <w:r>
        <w:t>by</w:t>
      </w:r>
      <w:r>
        <w:rPr>
          <w:spacing w:val="-4"/>
        </w:rPr>
        <w:t xml:space="preserve"> </w:t>
      </w:r>
      <w:r>
        <w:t>at</w:t>
      </w:r>
      <w:r>
        <w:rPr>
          <w:spacing w:val="-4"/>
        </w:rPr>
        <w:t xml:space="preserve"> </w:t>
      </w:r>
      <w:r>
        <w:t>least</w:t>
      </w:r>
      <w:r>
        <w:rPr>
          <w:spacing w:val="-4"/>
        </w:rPr>
        <w:t xml:space="preserve"> </w:t>
      </w:r>
      <w:proofErr w:type="gramStart"/>
      <w:r>
        <w:t>20%,</w:t>
      </w:r>
      <w:r>
        <w:rPr>
          <w:spacing w:val="-4"/>
        </w:rPr>
        <w:t xml:space="preserve"> </w:t>
      </w:r>
      <w:r>
        <w:t>and</w:t>
      </w:r>
      <w:proofErr w:type="gramEnd"/>
      <w:r>
        <w:rPr>
          <w:spacing w:val="-4"/>
        </w:rPr>
        <w:t xml:space="preserve"> </w:t>
      </w:r>
      <w:r>
        <w:t>can</w:t>
      </w:r>
      <w:r>
        <w:rPr>
          <w:spacing w:val="-4"/>
        </w:rPr>
        <w:t xml:space="preserve"> </w:t>
      </w:r>
      <w:r>
        <w:t>detect</w:t>
      </w:r>
      <w:r>
        <w:rPr>
          <w:spacing w:val="-4"/>
        </w:rPr>
        <w:t xml:space="preserve"> </w:t>
      </w:r>
      <w:r>
        <w:t>up</w:t>
      </w:r>
      <w:r>
        <w:rPr>
          <w:spacing w:val="-4"/>
        </w:rPr>
        <w:t xml:space="preserve"> </w:t>
      </w:r>
      <w:r>
        <w:t>to</w:t>
      </w:r>
      <w:r>
        <w:rPr>
          <w:spacing w:val="-4"/>
        </w:rPr>
        <w:t xml:space="preserve"> </w:t>
      </w:r>
      <w:r>
        <w:t>70%</w:t>
      </w:r>
      <w:r>
        <w:rPr>
          <w:spacing w:val="-4"/>
        </w:rPr>
        <w:t xml:space="preserve"> </w:t>
      </w:r>
      <w:r>
        <w:t>of</w:t>
      </w:r>
      <w:r>
        <w:rPr>
          <w:spacing w:val="-4"/>
        </w:rPr>
        <w:t xml:space="preserve"> </w:t>
      </w:r>
      <w:r>
        <w:t>lung</w:t>
      </w:r>
      <w:r>
        <w:rPr>
          <w:spacing w:val="-4"/>
        </w:rPr>
        <w:t xml:space="preserve"> </w:t>
      </w:r>
      <w:r>
        <w:t>cancers</w:t>
      </w:r>
      <w:r>
        <w:rPr>
          <w:spacing w:val="-4"/>
        </w:rPr>
        <w:t xml:space="preserve"> </w:t>
      </w:r>
      <w:r>
        <w:t>at</w:t>
      </w:r>
      <w:r>
        <w:rPr>
          <w:spacing w:val="-4"/>
        </w:rPr>
        <w:t xml:space="preserve"> </w:t>
      </w:r>
      <w:r>
        <w:t>early</w:t>
      </w:r>
      <w:r>
        <w:rPr>
          <w:spacing w:val="-4"/>
        </w:rPr>
        <w:t xml:space="preserve"> </w:t>
      </w:r>
      <w:r>
        <w:t>stages</w:t>
      </w:r>
      <w:r w:rsidR="00EF5EF5">
        <w:t>.</w:t>
      </w:r>
      <w:r w:rsidR="00EF5EF5">
        <w:rPr>
          <w:rStyle w:val="EndnoteReference"/>
        </w:rPr>
        <w:endnoteReference w:id="5"/>
      </w:r>
      <w:r w:rsidR="00EF5EF5">
        <w:rPr>
          <w:vertAlign w:val="superscript"/>
        </w:rPr>
        <w:t>,</w:t>
      </w:r>
      <w:r w:rsidR="00EF5EF5">
        <w:rPr>
          <w:rStyle w:val="EndnoteReference"/>
        </w:rPr>
        <w:endnoteReference w:id="6"/>
      </w:r>
    </w:p>
    <w:p w14:paraId="7FEC50A3" w14:textId="1DA9918C" w:rsidR="003801E0" w:rsidRPr="005A45F6" w:rsidRDefault="0CAA451C" w:rsidP="003801E0">
      <w:pPr>
        <w:rPr>
          <w:b/>
          <w:bCs/>
          <w:u w:val="single"/>
        </w:rPr>
      </w:pPr>
      <w:r>
        <w:t xml:space="preserve">To address the incidence and mortality rates associated with lung cancer, from July 2025, eligible people aged between 50-70 years will be able to participate in the National Lung Cancer Screening Program (the program) using a low-dose CT scan, following shared decision-making with their healthcare provider. People with symptoms that suggest lung cancer should not be referred to the program. Instead, their symptoms should be investigated </w:t>
      </w:r>
      <w:r>
        <w:rPr>
          <w:spacing w:val="-4"/>
        </w:rPr>
        <w:t>according</w:t>
      </w:r>
      <w:r>
        <w:rPr>
          <w:spacing w:val="-10"/>
        </w:rPr>
        <w:t xml:space="preserve"> </w:t>
      </w:r>
      <w:r>
        <w:rPr>
          <w:spacing w:val="-4"/>
        </w:rPr>
        <w:t>to</w:t>
      </w:r>
      <w:r>
        <w:rPr>
          <w:spacing w:val="-8"/>
        </w:rPr>
        <w:t xml:space="preserve"> </w:t>
      </w:r>
      <w:r>
        <w:rPr>
          <w:spacing w:val="-4"/>
        </w:rPr>
        <w:t>the</w:t>
      </w:r>
      <w:r>
        <w:rPr>
          <w:spacing w:val="-5"/>
        </w:rPr>
        <w:t xml:space="preserve"> </w:t>
      </w:r>
      <w:r>
        <w:rPr>
          <w:spacing w:val="-4"/>
        </w:rPr>
        <w:t>Cancer</w:t>
      </w:r>
      <w:r>
        <w:rPr>
          <w:spacing w:val="-6"/>
        </w:rPr>
        <w:t xml:space="preserve"> </w:t>
      </w:r>
      <w:r>
        <w:rPr>
          <w:spacing w:val="-4"/>
        </w:rPr>
        <w:t>Australia</w:t>
      </w:r>
      <w:r>
        <w:rPr>
          <w:spacing w:val="-6"/>
        </w:rPr>
        <w:t xml:space="preserve"> </w:t>
      </w:r>
      <w:r>
        <w:rPr>
          <w:spacing w:val="-4"/>
        </w:rPr>
        <w:t>guide</w:t>
      </w:r>
      <w:r>
        <w:rPr>
          <w:spacing w:val="-6"/>
        </w:rPr>
        <w:t xml:space="preserve"> </w:t>
      </w:r>
      <w:r>
        <w:rPr>
          <w:spacing w:val="-4"/>
        </w:rPr>
        <w:t>to</w:t>
      </w:r>
      <w:r>
        <w:rPr>
          <w:spacing w:val="-7"/>
        </w:rPr>
        <w:t xml:space="preserve"> </w:t>
      </w:r>
      <w:hyperlink r:id="rId11" w:history="1">
        <w:r w:rsidRPr="347155AC">
          <w:rPr>
            <w:rStyle w:val="Hyperlink"/>
            <w:rFonts w:ascii="Open Sans Light" w:hAnsi="Open Sans Light"/>
          </w:rPr>
          <w:t>Investigating symptoms of lung cancer</w:t>
        </w:r>
      </w:hyperlink>
      <w:r w:rsidRPr="005A45F6">
        <w:rPr>
          <w:b/>
          <w:bCs/>
          <w:color w:val="00708B"/>
          <w:u w:val="single"/>
        </w:rPr>
        <w:t>.</w:t>
      </w:r>
    </w:p>
    <w:p w14:paraId="1A2B69E7" w14:textId="2A219D75" w:rsidR="003801E0" w:rsidRDefault="003801E0" w:rsidP="003801E0">
      <w:r>
        <w:t>The</w:t>
      </w:r>
      <w:r>
        <w:rPr>
          <w:spacing w:val="-5"/>
        </w:rPr>
        <w:t xml:space="preserve"> </w:t>
      </w:r>
      <w:r>
        <w:t>program</w:t>
      </w:r>
      <w:r>
        <w:rPr>
          <w:spacing w:val="-5"/>
        </w:rPr>
        <w:t xml:space="preserve"> </w:t>
      </w:r>
      <w:r>
        <w:t>is</w:t>
      </w:r>
      <w:r>
        <w:rPr>
          <w:spacing w:val="-5"/>
        </w:rPr>
        <w:t xml:space="preserve"> </w:t>
      </w:r>
      <w:r>
        <w:t>an</w:t>
      </w:r>
      <w:r>
        <w:rPr>
          <w:spacing w:val="-5"/>
        </w:rPr>
        <w:t xml:space="preserve"> </w:t>
      </w:r>
      <w:r>
        <w:t>Australian</w:t>
      </w:r>
      <w:r>
        <w:rPr>
          <w:spacing w:val="-5"/>
        </w:rPr>
        <w:t xml:space="preserve"> </w:t>
      </w:r>
      <w:r>
        <w:t>Government</w:t>
      </w:r>
      <w:r>
        <w:rPr>
          <w:spacing w:val="-5"/>
        </w:rPr>
        <w:t xml:space="preserve"> </w:t>
      </w:r>
      <w:r>
        <w:t>initiative</w:t>
      </w:r>
      <w:r>
        <w:rPr>
          <w:spacing w:val="-5"/>
        </w:rPr>
        <w:t xml:space="preserve"> </w:t>
      </w:r>
      <w:r>
        <w:t>being</w:t>
      </w:r>
      <w:r>
        <w:rPr>
          <w:spacing w:val="-5"/>
        </w:rPr>
        <w:t xml:space="preserve"> </w:t>
      </w:r>
      <w:r>
        <w:t>implemented</w:t>
      </w:r>
      <w:r>
        <w:rPr>
          <w:spacing w:val="-5"/>
        </w:rPr>
        <w:t xml:space="preserve"> </w:t>
      </w:r>
      <w:r>
        <w:t>in</w:t>
      </w:r>
      <w:r>
        <w:rPr>
          <w:spacing w:val="-5"/>
        </w:rPr>
        <w:t xml:space="preserve"> </w:t>
      </w:r>
      <w:r>
        <w:t>partnership</w:t>
      </w:r>
      <w:r>
        <w:rPr>
          <w:spacing w:val="-5"/>
        </w:rPr>
        <w:t xml:space="preserve"> </w:t>
      </w:r>
      <w:r>
        <w:t>with</w:t>
      </w:r>
      <w:r>
        <w:rPr>
          <w:spacing w:val="-5"/>
        </w:rPr>
        <w:t xml:space="preserve"> </w:t>
      </w:r>
      <w:r>
        <w:t>the</w:t>
      </w:r>
      <w:r>
        <w:rPr>
          <w:spacing w:val="-5"/>
        </w:rPr>
        <w:t xml:space="preserve"> </w:t>
      </w:r>
      <w:r>
        <w:t>National</w:t>
      </w:r>
      <w:r>
        <w:rPr>
          <w:spacing w:val="-5"/>
        </w:rPr>
        <w:t xml:space="preserve"> </w:t>
      </w:r>
      <w:r>
        <w:t>Aboriginal Community Controlled Health Organisation.</w:t>
      </w:r>
    </w:p>
    <w:p w14:paraId="0E8A7520" w14:textId="77777777" w:rsidR="003801E0" w:rsidRDefault="003801E0" w:rsidP="003801E0">
      <w:r>
        <w:rPr>
          <w:spacing w:val="-2"/>
          <w:w w:val="105"/>
        </w:rPr>
        <w:t>The</w:t>
      </w:r>
      <w:r>
        <w:rPr>
          <w:spacing w:val="-12"/>
          <w:w w:val="105"/>
        </w:rPr>
        <w:t xml:space="preserve"> </w:t>
      </w:r>
      <w:r>
        <w:rPr>
          <w:spacing w:val="-2"/>
          <w:w w:val="105"/>
        </w:rPr>
        <w:t>program</w:t>
      </w:r>
      <w:r>
        <w:rPr>
          <w:spacing w:val="-12"/>
          <w:w w:val="105"/>
        </w:rPr>
        <w:t xml:space="preserve"> </w:t>
      </w:r>
      <w:r>
        <w:rPr>
          <w:spacing w:val="-2"/>
          <w:w w:val="105"/>
        </w:rPr>
        <w:t>is</w:t>
      </w:r>
      <w:r>
        <w:rPr>
          <w:spacing w:val="-12"/>
          <w:w w:val="105"/>
        </w:rPr>
        <w:t xml:space="preserve"> </w:t>
      </w:r>
      <w:r>
        <w:rPr>
          <w:spacing w:val="-2"/>
          <w:w w:val="105"/>
        </w:rPr>
        <w:t>being</w:t>
      </w:r>
      <w:r>
        <w:rPr>
          <w:spacing w:val="-12"/>
          <w:w w:val="105"/>
        </w:rPr>
        <w:t xml:space="preserve"> </w:t>
      </w:r>
      <w:r>
        <w:rPr>
          <w:spacing w:val="-2"/>
          <w:w w:val="105"/>
        </w:rPr>
        <w:t>co-designed</w:t>
      </w:r>
      <w:r>
        <w:rPr>
          <w:spacing w:val="-12"/>
          <w:w w:val="105"/>
        </w:rPr>
        <w:t xml:space="preserve"> </w:t>
      </w:r>
      <w:r>
        <w:rPr>
          <w:spacing w:val="-2"/>
          <w:w w:val="105"/>
        </w:rPr>
        <w:t>in</w:t>
      </w:r>
      <w:r>
        <w:rPr>
          <w:spacing w:val="-12"/>
          <w:w w:val="105"/>
        </w:rPr>
        <w:t xml:space="preserve"> </w:t>
      </w:r>
      <w:r>
        <w:rPr>
          <w:spacing w:val="-2"/>
          <w:w w:val="105"/>
        </w:rPr>
        <w:t>partnership</w:t>
      </w:r>
      <w:r>
        <w:rPr>
          <w:spacing w:val="-12"/>
          <w:w w:val="105"/>
        </w:rPr>
        <w:t xml:space="preserve"> </w:t>
      </w:r>
      <w:r>
        <w:rPr>
          <w:spacing w:val="-2"/>
          <w:w w:val="105"/>
        </w:rPr>
        <w:t>with</w:t>
      </w:r>
      <w:r>
        <w:rPr>
          <w:spacing w:val="-12"/>
          <w:w w:val="105"/>
        </w:rPr>
        <w:t xml:space="preserve"> </w:t>
      </w:r>
      <w:r>
        <w:rPr>
          <w:spacing w:val="-2"/>
          <w:w w:val="105"/>
        </w:rPr>
        <w:t>communities</w:t>
      </w:r>
      <w:r>
        <w:rPr>
          <w:spacing w:val="-12"/>
          <w:w w:val="105"/>
        </w:rPr>
        <w:t xml:space="preserve"> </w:t>
      </w:r>
      <w:r>
        <w:rPr>
          <w:spacing w:val="-2"/>
          <w:w w:val="105"/>
        </w:rPr>
        <w:t>and</w:t>
      </w:r>
      <w:r>
        <w:rPr>
          <w:spacing w:val="-12"/>
          <w:w w:val="105"/>
        </w:rPr>
        <w:t xml:space="preserve"> </w:t>
      </w:r>
      <w:r>
        <w:rPr>
          <w:spacing w:val="-2"/>
          <w:w w:val="105"/>
        </w:rPr>
        <w:t>the</w:t>
      </w:r>
      <w:r>
        <w:rPr>
          <w:spacing w:val="-12"/>
          <w:w w:val="105"/>
        </w:rPr>
        <w:t xml:space="preserve"> </w:t>
      </w:r>
      <w:r>
        <w:rPr>
          <w:spacing w:val="-2"/>
          <w:w w:val="105"/>
        </w:rPr>
        <w:t>healthcare</w:t>
      </w:r>
      <w:r>
        <w:rPr>
          <w:spacing w:val="-12"/>
          <w:w w:val="105"/>
        </w:rPr>
        <w:t xml:space="preserve"> </w:t>
      </w:r>
      <w:r>
        <w:rPr>
          <w:spacing w:val="-2"/>
          <w:w w:val="105"/>
        </w:rPr>
        <w:t>workforce</w:t>
      </w:r>
      <w:r>
        <w:rPr>
          <w:spacing w:val="-12"/>
          <w:w w:val="105"/>
        </w:rPr>
        <w:t xml:space="preserve"> </w:t>
      </w:r>
      <w:r>
        <w:rPr>
          <w:spacing w:val="-2"/>
          <w:w w:val="105"/>
        </w:rPr>
        <w:t>to</w:t>
      </w:r>
      <w:r>
        <w:rPr>
          <w:spacing w:val="-12"/>
          <w:w w:val="105"/>
        </w:rPr>
        <w:t xml:space="preserve"> </w:t>
      </w:r>
      <w:r>
        <w:rPr>
          <w:spacing w:val="-2"/>
          <w:w w:val="105"/>
        </w:rPr>
        <w:t xml:space="preserve">be </w:t>
      </w:r>
      <w:r>
        <w:t>person-centred,</w:t>
      </w:r>
      <w:r>
        <w:rPr>
          <w:spacing w:val="-10"/>
        </w:rPr>
        <w:t xml:space="preserve"> </w:t>
      </w:r>
      <w:r>
        <w:t>equity-focused,</w:t>
      </w:r>
      <w:r>
        <w:rPr>
          <w:spacing w:val="-10"/>
        </w:rPr>
        <w:t xml:space="preserve"> </w:t>
      </w:r>
      <w:r>
        <w:t>accessible,</w:t>
      </w:r>
      <w:r>
        <w:rPr>
          <w:spacing w:val="-10"/>
        </w:rPr>
        <w:t xml:space="preserve"> </w:t>
      </w:r>
      <w:r>
        <w:t>and</w:t>
      </w:r>
      <w:r>
        <w:rPr>
          <w:spacing w:val="-10"/>
        </w:rPr>
        <w:t xml:space="preserve"> </w:t>
      </w:r>
      <w:r>
        <w:t>culturally</w:t>
      </w:r>
      <w:r>
        <w:rPr>
          <w:spacing w:val="-10"/>
        </w:rPr>
        <w:t xml:space="preserve"> </w:t>
      </w:r>
      <w:r>
        <w:t>safe.</w:t>
      </w:r>
      <w:r>
        <w:rPr>
          <w:spacing w:val="-10"/>
        </w:rPr>
        <w:t xml:space="preserve"> </w:t>
      </w:r>
      <w:r>
        <w:t>It</w:t>
      </w:r>
      <w:r>
        <w:rPr>
          <w:spacing w:val="-10"/>
        </w:rPr>
        <w:t xml:space="preserve"> </w:t>
      </w:r>
      <w:r>
        <w:t>is</w:t>
      </w:r>
      <w:r>
        <w:rPr>
          <w:spacing w:val="-10"/>
        </w:rPr>
        <w:t xml:space="preserve"> </w:t>
      </w:r>
      <w:r>
        <w:t>being</w:t>
      </w:r>
      <w:r>
        <w:rPr>
          <w:spacing w:val="-10"/>
        </w:rPr>
        <w:t xml:space="preserve"> </w:t>
      </w:r>
      <w:r>
        <w:t>co-designed</w:t>
      </w:r>
      <w:r>
        <w:rPr>
          <w:spacing w:val="-10"/>
        </w:rPr>
        <w:t xml:space="preserve"> </w:t>
      </w:r>
      <w:r>
        <w:t>to</w:t>
      </w:r>
      <w:r>
        <w:rPr>
          <w:spacing w:val="-10"/>
        </w:rPr>
        <w:t xml:space="preserve"> </w:t>
      </w:r>
      <w:r>
        <w:t>improve</w:t>
      </w:r>
      <w:r>
        <w:rPr>
          <w:spacing w:val="-10"/>
        </w:rPr>
        <w:t xml:space="preserve"> </w:t>
      </w:r>
      <w:r>
        <w:t>lung</w:t>
      </w:r>
      <w:r>
        <w:rPr>
          <w:spacing w:val="-10"/>
        </w:rPr>
        <w:t xml:space="preserve"> </w:t>
      </w:r>
      <w:r>
        <w:t>cancer outcomes</w:t>
      </w:r>
      <w:r>
        <w:rPr>
          <w:spacing w:val="-6"/>
        </w:rPr>
        <w:t xml:space="preserve"> </w:t>
      </w:r>
      <w:r>
        <w:t>for</w:t>
      </w:r>
      <w:r>
        <w:rPr>
          <w:spacing w:val="-6"/>
        </w:rPr>
        <w:t xml:space="preserve"> </w:t>
      </w:r>
      <w:r>
        <w:t>those</w:t>
      </w:r>
      <w:r>
        <w:rPr>
          <w:spacing w:val="-6"/>
        </w:rPr>
        <w:t xml:space="preserve"> </w:t>
      </w:r>
      <w:r>
        <w:t>disproportionately</w:t>
      </w:r>
      <w:r>
        <w:rPr>
          <w:spacing w:val="-6"/>
        </w:rPr>
        <w:t xml:space="preserve"> </w:t>
      </w:r>
      <w:r>
        <w:t>impacted</w:t>
      </w:r>
      <w:r>
        <w:rPr>
          <w:spacing w:val="-6"/>
        </w:rPr>
        <w:t xml:space="preserve"> </w:t>
      </w:r>
      <w:r>
        <w:t>by</w:t>
      </w:r>
      <w:r>
        <w:rPr>
          <w:spacing w:val="-6"/>
        </w:rPr>
        <w:t xml:space="preserve"> </w:t>
      </w:r>
      <w:r>
        <w:t>lung</w:t>
      </w:r>
      <w:r>
        <w:rPr>
          <w:spacing w:val="-6"/>
        </w:rPr>
        <w:t xml:space="preserve"> </w:t>
      </w:r>
      <w:r>
        <w:t>cancer</w:t>
      </w:r>
      <w:r>
        <w:rPr>
          <w:spacing w:val="-6"/>
        </w:rPr>
        <w:t xml:space="preserve"> </w:t>
      </w:r>
      <w:r>
        <w:t>including</w:t>
      </w:r>
      <w:r>
        <w:rPr>
          <w:spacing w:val="-6"/>
        </w:rPr>
        <w:t xml:space="preserve"> </w:t>
      </w:r>
      <w:r>
        <w:t>Aboriginal</w:t>
      </w:r>
      <w:r>
        <w:rPr>
          <w:spacing w:val="-6"/>
        </w:rPr>
        <w:t xml:space="preserve"> </w:t>
      </w:r>
      <w:r>
        <w:t>and</w:t>
      </w:r>
      <w:r>
        <w:rPr>
          <w:spacing w:val="-6"/>
        </w:rPr>
        <w:t xml:space="preserve"> </w:t>
      </w:r>
      <w:r>
        <w:t>Torres</w:t>
      </w:r>
      <w:r>
        <w:rPr>
          <w:spacing w:val="-6"/>
        </w:rPr>
        <w:t xml:space="preserve"> </w:t>
      </w:r>
      <w:r>
        <w:t>Strait</w:t>
      </w:r>
      <w:r>
        <w:rPr>
          <w:spacing w:val="-6"/>
        </w:rPr>
        <w:t xml:space="preserve"> </w:t>
      </w:r>
      <w:r>
        <w:t xml:space="preserve">Islander </w:t>
      </w:r>
      <w:r>
        <w:rPr>
          <w:w w:val="105"/>
        </w:rPr>
        <w:t>peoples and communities.</w:t>
      </w:r>
    </w:p>
    <w:p w14:paraId="70BBF48F" w14:textId="78EE145F" w:rsidR="0021100D" w:rsidRDefault="0CAA451C" w:rsidP="003801E0">
      <w:r>
        <w:t xml:space="preserve">The program is primary </w:t>
      </w:r>
      <w:proofErr w:type="gramStart"/>
      <w:r>
        <w:t>care-led</w:t>
      </w:r>
      <w:proofErr w:type="gramEnd"/>
      <w:r>
        <w:t xml:space="preserve">. This checklist provides information on how to prepare your practice </w:t>
      </w:r>
      <w:r>
        <w:rPr>
          <w:w w:val="105"/>
        </w:rPr>
        <w:t>for the program.</w:t>
      </w:r>
    </w:p>
    <w:p w14:paraId="6090788C" w14:textId="77777777" w:rsidR="0021100D" w:rsidRDefault="0021100D">
      <w:pPr>
        <w:spacing w:line="278" w:lineRule="auto"/>
        <w:rPr>
          <w:w w:val="105"/>
        </w:rPr>
      </w:pPr>
      <w:r>
        <w:rPr>
          <w:w w:val="105"/>
        </w:rPr>
        <w:br w:type="page"/>
      </w:r>
    </w:p>
    <w:p w14:paraId="257E4A1E" w14:textId="77777777" w:rsidR="003801E0" w:rsidRDefault="003801E0" w:rsidP="003801E0"/>
    <w:p w14:paraId="0933A17F" w14:textId="0163A367" w:rsidR="003801E0" w:rsidRPr="006A47F9" w:rsidRDefault="00E57400" w:rsidP="003F58E6">
      <w:pPr>
        <w:pStyle w:val="Heading2"/>
      </w:pPr>
      <w:r w:rsidRPr="006A47F9">
        <w:t>People are eligible to participate in the program if they: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C01005" w14:paraId="6F0BA51C" w14:textId="77777777" w:rsidTr="60DE9AAF">
        <w:tc>
          <w:tcPr>
            <w:tcW w:w="10195" w:type="dxa"/>
            <w:shd w:val="clear" w:color="auto" w:fill="D6EAE3"/>
          </w:tcPr>
          <w:p w14:paraId="7B7031C8" w14:textId="77777777" w:rsidR="00C01005" w:rsidRPr="00C01005" w:rsidRDefault="00C01005" w:rsidP="00F81AFB">
            <w:r>
              <w:rPr>
                <w:noProof/>
              </w:rPr>
              <w:drawing>
                <wp:inline distT="0" distB="0" distL="0" distR="0" wp14:anchorId="05FB0829" wp14:editId="2BB3DCF7">
                  <wp:extent cx="711200" cy="711200"/>
                  <wp:effectExtent l="0" t="0" r="0" b="0"/>
                  <wp:docPr id="1088289150" name="Picture 1" descr="Elderly people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Elderly people icon">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A32AEC9" w14:textId="77777777" w:rsidR="00C01005" w:rsidRDefault="00C01005" w:rsidP="00F81AFB">
            <w:pPr>
              <w:rPr>
                <w:lang w:val="en-GB"/>
              </w:rPr>
            </w:pPr>
            <w:r w:rsidRPr="00257C83">
              <w:rPr>
                <w:lang w:val="en-GB"/>
              </w:rPr>
              <w:t>Are aged 50 to 70 years</w:t>
            </w:r>
          </w:p>
          <w:p w14:paraId="25680281" w14:textId="77777777" w:rsidR="00C01005" w:rsidRDefault="00C01005" w:rsidP="00F81AFB">
            <w:pPr>
              <w:rPr>
                <w:lang w:val="en-GB"/>
              </w:rPr>
            </w:pPr>
            <w:r>
              <w:rPr>
                <w:lang w:val="en-GB"/>
              </w:rPr>
              <w:t>AND</w:t>
            </w:r>
          </w:p>
          <w:p w14:paraId="2234CC28" w14:textId="77777777" w:rsidR="00C01005" w:rsidRPr="00C01005" w:rsidRDefault="00C01005" w:rsidP="00F81AFB">
            <w:pPr>
              <w:rPr>
                <w:lang w:val="en-GB"/>
              </w:rPr>
            </w:pPr>
            <w:r>
              <w:rPr>
                <w:noProof/>
                <w:lang w:val="en-GB"/>
              </w:rPr>
              <w:drawing>
                <wp:inline distT="0" distB="0" distL="0" distR="0" wp14:anchorId="3BE80F7A" wp14:editId="3754FB9D">
                  <wp:extent cx="711200" cy="711200"/>
                  <wp:effectExtent l="0" t="0" r="0" b="0"/>
                  <wp:docPr id="567828005" name="Picture 2" descr="Lung icon&#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Lung icon&#1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E88E456" w14:textId="5B78103D" w:rsidR="00C01005" w:rsidRDefault="7B21D6FC" w:rsidP="00F81AFB">
            <w:pPr>
              <w:rPr>
                <w:lang w:val="en-GB"/>
              </w:rPr>
            </w:pPr>
            <w:r w:rsidRPr="347155AC">
              <w:rPr>
                <w:b/>
                <w:bCs/>
                <w:lang w:val="en-GB"/>
              </w:rPr>
              <w:t xml:space="preserve">Have no symptoms or signs that suggest lung cancer </w:t>
            </w:r>
            <w:r w:rsidRPr="347155AC">
              <w:rPr>
                <w:lang w:val="en-GB"/>
              </w:rPr>
              <w:t xml:space="preserve">(for example, </w:t>
            </w:r>
            <w:r w:rsidR="59BC8DAF" w:rsidRPr="347155AC">
              <w:rPr>
                <w:lang w:val="en-GB"/>
              </w:rPr>
              <w:t xml:space="preserve">unexplained </w:t>
            </w:r>
            <w:r w:rsidRPr="347155AC">
              <w:rPr>
                <w:lang w:val="en-GB"/>
              </w:rPr>
              <w:t>persistent cough, coughing up blood, shortness of breath</w:t>
            </w:r>
            <w:r w:rsidR="3E97686A" w:rsidRPr="347155AC">
              <w:rPr>
                <w:lang w:val="en-GB"/>
              </w:rPr>
              <w:t xml:space="preserve"> for no reason</w:t>
            </w:r>
            <w:r w:rsidRPr="347155AC">
              <w:rPr>
                <w:lang w:val="en-GB"/>
              </w:rPr>
              <w:t>).</w:t>
            </w:r>
          </w:p>
          <w:p w14:paraId="44AC8DDC" w14:textId="77777777" w:rsidR="00C01005" w:rsidRDefault="00C01005" w:rsidP="00F81AFB">
            <w:pPr>
              <w:rPr>
                <w:lang w:val="en-GB"/>
              </w:rPr>
            </w:pPr>
            <w:r w:rsidRPr="00257C83">
              <w:rPr>
                <w:lang w:val="en-GB"/>
              </w:rPr>
              <w:t>AND</w:t>
            </w:r>
          </w:p>
          <w:p w14:paraId="2ACB09DD" w14:textId="77777777" w:rsidR="00C01005" w:rsidRPr="00257C83" w:rsidRDefault="00C01005" w:rsidP="00F81AFB">
            <w:pPr>
              <w:rPr>
                <w:lang w:val="en-GB"/>
              </w:rPr>
            </w:pPr>
            <w:r>
              <w:rPr>
                <w:noProof/>
                <w:lang w:val="en-GB"/>
              </w:rPr>
              <w:drawing>
                <wp:inline distT="0" distB="0" distL="0" distR="0" wp14:anchorId="2211136E" wp14:editId="56C99995">
                  <wp:extent cx="711200" cy="711200"/>
                  <wp:effectExtent l="0" t="0" r="0" b="0"/>
                  <wp:docPr id="617405126" name="Picture 3" descr="Cigarette carton icon&#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Cigarette carton icon&#1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4A462E10" w14:textId="1B3E84A9" w:rsidR="00C01005" w:rsidRDefault="00C01005" w:rsidP="00F81AFB">
            <w:pPr>
              <w:rPr>
                <w:lang w:val="en-GB"/>
              </w:rPr>
            </w:pPr>
            <w:r w:rsidRPr="00F54F79">
              <w:rPr>
                <w:b/>
                <w:bCs/>
                <w:lang w:val="en-GB"/>
              </w:rPr>
              <w:t xml:space="preserve">Smoke tobacco cigarettes or have a </w:t>
            </w:r>
            <w:r w:rsidR="00F54F79">
              <w:rPr>
                <w:b/>
                <w:bCs/>
                <w:lang w:val="en-GB"/>
              </w:rPr>
              <w:t xml:space="preserve">history of </w:t>
            </w:r>
            <w:r w:rsidRPr="00F54F79">
              <w:rPr>
                <w:b/>
                <w:bCs/>
                <w:lang w:val="en-GB"/>
              </w:rPr>
              <w:t xml:space="preserve">cigarette smoking </w:t>
            </w:r>
            <w:r w:rsidRPr="00257C83">
              <w:rPr>
                <w:lang w:val="en-GB"/>
              </w:rPr>
              <w:t>(having quit within 10 years)</w:t>
            </w:r>
          </w:p>
          <w:p w14:paraId="0162004C" w14:textId="77777777" w:rsidR="00C01005" w:rsidRPr="00C01005" w:rsidRDefault="00C01005" w:rsidP="00F81AFB">
            <w:pPr>
              <w:rPr>
                <w:lang w:val="en-GB"/>
              </w:rPr>
            </w:pPr>
            <w:r w:rsidRPr="00257C83">
              <w:rPr>
                <w:lang w:val="en-GB"/>
              </w:rPr>
              <w:t>AND</w:t>
            </w:r>
          </w:p>
          <w:p w14:paraId="27B206FA" w14:textId="77777777" w:rsidR="00C01005" w:rsidRPr="00257C83" w:rsidRDefault="00C01005" w:rsidP="00F81AFB">
            <w:pPr>
              <w:rPr>
                <w:lang w:val="en-GB"/>
              </w:rPr>
            </w:pPr>
            <w:r>
              <w:rPr>
                <w:noProof/>
                <w:lang w:val="en-GB"/>
              </w:rPr>
              <w:drawing>
                <wp:inline distT="0" distB="0" distL="0" distR="0" wp14:anchorId="544B33E3" wp14:editId="7A1AB561">
                  <wp:extent cx="711200" cy="711200"/>
                  <wp:effectExtent l="0" t="0" r="0" b="0"/>
                  <wp:docPr id="467497681" name="Picture 4" descr="Calendar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Calendar icon">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0699F29" w14:textId="2EE2C363" w:rsidR="00C01005" w:rsidRDefault="449AF580" w:rsidP="60DE9AAF">
            <w:pPr>
              <w:rPr>
                <w:i/>
                <w:iCs/>
                <w:lang w:val="en-GB"/>
              </w:rPr>
            </w:pPr>
            <w:r w:rsidRPr="60DE9AAF">
              <w:rPr>
                <w:b/>
                <w:bCs/>
                <w:lang w:val="en-GB"/>
              </w:rPr>
              <w:t xml:space="preserve">Have a </w:t>
            </w:r>
            <w:r w:rsidR="00F54F79" w:rsidRPr="60DE9AAF">
              <w:rPr>
                <w:b/>
                <w:bCs/>
                <w:lang w:val="en-GB"/>
              </w:rPr>
              <w:t xml:space="preserve">history of </w:t>
            </w:r>
            <w:r w:rsidRPr="60DE9AAF">
              <w:rPr>
                <w:b/>
                <w:bCs/>
                <w:lang w:val="en-GB"/>
              </w:rPr>
              <w:t xml:space="preserve">tobacco cigarette smoking of at least 30 pack-years </w:t>
            </w:r>
            <w:r w:rsidRPr="60DE9AAF">
              <w:rPr>
                <w:lang w:val="en-GB"/>
              </w:rPr>
              <w:t>(for example, a pack a day for 30 years, or 2 packs a day for 15 years)</w:t>
            </w:r>
          </w:p>
        </w:tc>
      </w:tr>
    </w:tbl>
    <w:p w14:paraId="18A7A484" w14:textId="77777777" w:rsidR="00F60933" w:rsidRDefault="00F60933">
      <w:pPr>
        <w:spacing w:line="278" w:lineRule="auto"/>
        <w:rPr>
          <w:lang w:val="en-GB"/>
        </w:rPr>
      </w:pPr>
      <w:r w:rsidRPr="5578AF79">
        <w:rPr>
          <w:lang w:val="en-GB"/>
        </w:rPr>
        <w:br w:type="page"/>
      </w:r>
    </w:p>
    <w:p w14:paraId="717D3C95" w14:textId="5790D591" w:rsidR="5578AF79" w:rsidRDefault="5578AF79" w:rsidP="5578AF79">
      <w:pPr>
        <w:spacing w:line="278" w:lineRule="auto"/>
        <w:rPr>
          <w:lang w:val="en-GB"/>
        </w:rPr>
      </w:pPr>
    </w:p>
    <w:p w14:paraId="2C7F3072" w14:textId="77777777" w:rsidR="00F60933" w:rsidRDefault="00F60933" w:rsidP="00F60933">
      <w:pPr>
        <w:pStyle w:val="Heading2"/>
      </w:pPr>
      <w:r>
        <w:t>The checklist below will help you prepare for July 2025</w:t>
      </w:r>
    </w:p>
    <w:p w14:paraId="060A49C5" w14:textId="474352E5" w:rsidR="006E4EAF" w:rsidRPr="00BD6B94" w:rsidRDefault="00F60933" w:rsidP="006E4EAF">
      <w:proofErr w:type="gramStart"/>
      <w:r>
        <w:t>.</w:t>
      </w:r>
      <w:r w:rsidR="004C65FE">
        <w:t>The</w:t>
      </w:r>
      <w:proofErr w:type="gramEnd"/>
      <w:r w:rsidR="004C65FE">
        <w:t xml:space="preserve"> National Cancer Screening Register (NCSR) supports the program by welcoming participants into the program once they have been </w:t>
      </w:r>
      <w:r w:rsidR="004C65FE" w:rsidRPr="00F00C49">
        <w:t xml:space="preserve">enrolled </w:t>
      </w:r>
      <w:r w:rsidR="004C65FE">
        <w:t xml:space="preserve">by their healthcare </w:t>
      </w:r>
      <w:r w:rsidR="00BD6B94">
        <w:t>provider and</w:t>
      </w:r>
      <w:r w:rsidR="004C65FE">
        <w:t xml:space="preserve"> supports the participant journey by reminding participants to screen. If participants do not want to be </w:t>
      </w:r>
      <w:r w:rsidR="004C65FE" w:rsidRPr="00F00C49">
        <w:t xml:space="preserve">enrolled </w:t>
      </w:r>
      <w:r w:rsidR="004C65FE">
        <w:t xml:space="preserve">on the NCSR, it will be the responsibility of the referring doctor to notify the participant when they are </w:t>
      </w:r>
      <w:r w:rsidR="004C65FE" w:rsidRPr="00F00C49">
        <w:t>due for re-screening</w:t>
      </w:r>
    </w:p>
    <w:p w14:paraId="4B5F4AD0" w14:textId="5645E796" w:rsidR="00DC07A8" w:rsidRDefault="00DC07A8" w:rsidP="00DC07A8">
      <w:pPr>
        <w:pStyle w:val="Heading3"/>
      </w:pPr>
      <w:r>
        <w:t>Review information about the program</w:t>
      </w:r>
    </w:p>
    <w:p w14:paraId="70C050A2" w14:textId="1C5DA4A9" w:rsidR="00AF5BE3" w:rsidRDefault="00CB0510" w:rsidP="0047775A">
      <w:pPr>
        <w:framePr w:hSpace="180" w:wrap="around" w:vAnchor="text" w:hAnchor="text" w:y="1"/>
        <w:spacing w:after="0" w:line="240" w:lineRule="auto"/>
        <w:suppressOverlap/>
        <w:rPr>
          <w:b/>
          <w:bCs/>
        </w:rPr>
      </w:pPr>
      <w:sdt>
        <w:sdtPr>
          <w:rPr>
            <w:sz w:val="56"/>
            <w:szCs w:val="56"/>
            <w:lang w:val="en-GB"/>
          </w:rPr>
          <w:id w:val="-1588071624"/>
          <w15:color w:val="000000"/>
          <w14:checkbox>
            <w14:checked w14:val="0"/>
            <w14:checkedState w14:val="2612" w14:font="MS Gothic"/>
            <w14:uncheckedState w14:val="2610" w14:font="MS Gothic"/>
          </w14:checkbox>
        </w:sdtPr>
        <w:sdtEndPr/>
        <w:sdtContent>
          <w:r w:rsidR="00DC07A8" w:rsidRPr="021B1920">
            <w:rPr>
              <w:rFonts w:ascii="MS Gothic" w:eastAsia="MS Gothic" w:hAnsi="MS Gothic"/>
              <w:sz w:val="56"/>
              <w:szCs w:val="56"/>
              <w:lang w:val="en-GB"/>
            </w:rPr>
            <w:t>☐</w:t>
          </w:r>
        </w:sdtContent>
      </w:sdt>
      <w:r w:rsidR="00DC07A8" w:rsidRPr="021B1920">
        <w:rPr>
          <w:b/>
          <w:bCs/>
        </w:rPr>
        <w:t xml:space="preserve">The Australian Government </w:t>
      </w:r>
      <w:r w:rsidR="006320F9" w:rsidRPr="021B1920">
        <w:rPr>
          <w:b/>
          <w:bCs/>
        </w:rPr>
        <w:t xml:space="preserve">has published the </w:t>
      </w:r>
      <w:r w:rsidR="00DC07A8" w:rsidRPr="021B1920">
        <w:rPr>
          <w:b/>
          <w:bCs/>
        </w:rPr>
        <w:t>health professional and consumer information materials</w:t>
      </w:r>
      <w:r w:rsidR="0047775A" w:rsidRPr="021B1920">
        <w:rPr>
          <w:b/>
          <w:bCs/>
        </w:rPr>
        <w:t xml:space="preserve"> </w:t>
      </w:r>
      <w:r w:rsidR="00DC07A8" w:rsidRPr="00193439">
        <w:rPr>
          <w:b/>
          <w:bCs/>
        </w:rPr>
        <w:t xml:space="preserve">and health professional online education which </w:t>
      </w:r>
      <w:r w:rsidR="0047775A">
        <w:rPr>
          <w:b/>
          <w:bCs/>
        </w:rPr>
        <w:t xml:space="preserve">is </w:t>
      </w:r>
      <w:r w:rsidR="00DC07A8" w:rsidRPr="00193439">
        <w:rPr>
          <w:b/>
          <w:bCs/>
        </w:rPr>
        <w:t xml:space="preserve">available </w:t>
      </w:r>
      <w:r w:rsidR="00AF5BE3" w:rsidRPr="001B6AAE">
        <w:t xml:space="preserve">on the </w:t>
      </w:r>
      <w:hyperlink r:id="rId16" w:history="1">
        <w:r w:rsidR="00AF5BE3" w:rsidRPr="00C27904">
          <w:rPr>
            <w:rStyle w:val="Hyperlink"/>
            <w:rFonts w:ascii="Open Sans Light" w:hAnsi="Open Sans Light"/>
            <w:bCs/>
          </w:rPr>
          <w:t>Department of Health and Aged Care’s website</w:t>
        </w:r>
      </w:hyperlink>
      <w:r w:rsidR="00AF5BE3">
        <w:rPr>
          <w:b/>
          <w:bCs/>
          <w:color w:val="00708B"/>
          <w:u w:val="single" w:color="00718B"/>
        </w:rPr>
        <w:t xml:space="preserve"> </w:t>
      </w:r>
    </w:p>
    <w:p w14:paraId="68683B40" w14:textId="22AD631F" w:rsidR="00DC07A8" w:rsidRPr="00DC07A8" w:rsidRDefault="00DC07A8" w:rsidP="00F00C49">
      <w:pPr>
        <w:framePr w:hSpace="180" w:wrap="around" w:vAnchor="text" w:hAnchor="text" w:y="1"/>
        <w:spacing w:after="0" w:line="240" w:lineRule="auto"/>
        <w:suppressOverlap/>
        <w:rPr>
          <w:lang w:val="en-GB"/>
        </w:rPr>
      </w:pPr>
      <w:r w:rsidRPr="00193439">
        <w:rPr>
          <w:b/>
          <w:bCs/>
        </w:rPr>
        <w:t>The education will offer Continuing Professional Development points</w:t>
      </w:r>
      <w:r w:rsidR="00F54F79">
        <w:rPr>
          <w:b/>
          <w:bCs/>
        </w:rPr>
        <w:t>.</w:t>
      </w:r>
    </w:p>
    <w:p w14:paraId="60D1EB8D" w14:textId="618FF5EA" w:rsidR="001B6AAE" w:rsidRPr="001B6AAE" w:rsidRDefault="001B6AAE" w:rsidP="001B6AAE">
      <w:pPr>
        <w:pStyle w:val="Heading3"/>
      </w:pPr>
      <w:r w:rsidRPr="002359FD">
        <w:t>Register with the National Cancer Screening</w:t>
      </w:r>
      <w:r>
        <w:t xml:space="preserve"> </w:t>
      </w:r>
      <w:r w:rsidRPr="002359FD">
        <w:t>Register</w:t>
      </w:r>
    </w:p>
    <w:p w14:paraId="5012E973" w14:textId="0779A4C8" w:rsidR="00DC07A8" w:rsidRDefault="00CB0510" w:rsidP="001B6AAE">
      <w:pPr>
        <w:spacing w:after="0" w:line="240" w:lineRule="auto"/>
        <w:rPr>
          <w:b/>
          <w:bCs/>
          <w:color w:val="231F20"/>
        </w:rPr>
      </w:pPr>
      <w:sdt>
        <w:sdtPr>
          <w:rPr>
            <w:sz w:val="56"/>
            <w:szCs w:val="56"/>
            <w:lang w:val="en-GB"/>
          </w:rPr>
          <w:id w:val="-1995862437"/>
          <w15:color w:val="000000"/>
          <w14:checkbox>
            <w14:checked w14:val="0"/>
            <w14:checkedState w14:val="2612" w14:font="MS Gothic"/>
            <w14:uncheckedState w14:val="2610" w14:font="MS Gothic"/>
          </w14:checkbox>
        </w:sdtPr>
        <w:sdtEndPr/>
        <w:sdtContent>
          <w:r w:rsidR="6A8C6450" w:rsidRPr="37CFD3B3">
            <w:rPr>
              <w:rFonts w:ascii="MS Gothic" w:eastAsia="MS Gothic" w:hAnsi="MS Gothic" w:cs="MS Gothic"/>
              <w:sz w:val="56"/>
              <w:szCs w:val="56"/>
              <w:lang w:val="en-GB"/>
            </w:rPr>
            <w:t>☐</w:t>
          </w:r>
        </w:sdtContent>
      </w:sdt>
      <w:r w:rsidR="00225661" w:rsidRPr="00225661">
        <w:rPr>
          <w:rFonts w:ascii="Segoe UI" w:hAnsi="Segoe UI" w:cs="Segoe UI"/>
          <w:sz w:val="18"/>
          <w:szCs w:val="18"/>
        </w:rPr>
        <w:t xml:space="preserve"> </w:t>
      </w:r>
      <w:r w:rsidR="00225661" w:rsidRPr="00225661">
        <w:rPr>
          <w:b/>
          <w:bCs/>
          <w:color w:val="231F20"/>
        </w:rPr>
        <w:t>Integrate clinical software with your organisation’s HPI-O.</w:t>
      </w:r>
    </w:p>
    <w:p w14:paraId="777AB1FF" w14:textId="77777777" w:rsidR="00C5385E" w:rsidRDefault="00C5385E" w:rsidP="001B6AAE">
      <w:pPr>
        <w:spacing w:after="0" w:line="240" w:lineRule="auto"/>
      </w:pPr>
    </w:p>
    <w:p w14:paraId="3C3C1CB6" w14:textId="535436BB" w:rsidR="00DC07A8" w:rsidRDefault="00C5385E" w:rsidP="00F60933">
      <w:r>
        <w:t xml:space="preserve">You will be responsible for </w:t>
      </w:r>
      <w:r w:rsidRPr="021B1920">
        <w:rPr>
          <w:b/>
          <w:bCs/>
        </w:rPr>
        <w:t xml:space="preserve">enrolling </w:t>
      </w:r>
      <w:r>
        <w:t xml:space="preserve">the participant on the NCSR — this is different to bowel and cervical screening. You can view your patients’ screening status for bowel, cervical and lung cancer screening, including if they are overdue, and update their participant record. Software compatible for integration include </w:t>
      </w:r>
      <w:r w:rsidRPr="021B1920">
        <w:rPr>
          <w:b/>
          <w:bCs/>
        </w:rPr>
        <w:t>Medical Director</w:t>
      </w:r>
      <w:r>
        <w:t xml:space="preserve">, </w:t>
      </w:r>
      <w:proofErr w:type="spellStart"/>
      <w:r>
        <w:t>Communicare</w:t>
      </w:r>
      <w:proofErr w:type="spellEnd"/>
      <w:r>
        <w:t xml:space="preserve"> or Best Practice. </w:t>
      </w:r>
      <w:r w:rsidR="001B6AAE">
        <w:t>More</w:t>
      </w:r>
      <w:r w:rsidR="001B6AAE">
        <w:rPr>
          <w:spacing w:val="-14"/>
        </w:rPr>
        <w:t xml:space="preserve"> </w:t>
      </w:r>
      <w:r w:rsidR="001B6AAE">
        <w:t>information</w:t>
      </w:r>
      <w:r w:rsidR="001B6AAE">
        <w:rPr>
          <w:spacing w:val="-14"/>
        </w:rPr>
        <w:t xml:space="preserve"> </w:t>
      </w:r>
      <w:r w:rsidR="001B6AAE">
        <w:t>can</w:t>
      </w:r>
      <w:r w:rsidR="001B6AAE">
        <w:rPr>
          <w:spacing w:val="-14"/>
        </w:rPr>
        <w:t xml:space="preserve"> </w:t>
      </w:r>
      <w:r w:rsidR="001B6AAE">
        <w:t>be</w:t>
      </w:r>
      <w:r w:rsidR="001B6AAE">
        <w:rPr>
          <w:spacing w:val="-14"/>
        </w:rPr>
        <w:t xml:space="preserve"> </w:t>
      </w:r>
      <w:r w:rsidR="001B6AAE">
        <w:t>found</w:t>
      </w:r>
      <w:r w:rsidR="001B6AAE">
        <w:rPr>
          <w:spacing w:val="-14"/>
        </w:rPr>
        <w:t xml:space="preserve"> </w:t>
      </w:r>
      <w:r w:rsidR="001B6AAE">
        <w:t>on</w:t>
      </w:r>
      <w:r w:rsidR="001B6AAE">
        <w:rPr>
          <w:spacing w:val="-14"/>
        </w:rPr>
        <w:t xml:space="preserve"> </w:t>
      </w:r>
      <w:r w:rsidR="001B6AAE">
        <w:t>the</w:t>
      </w:r>
      <w:r w:rsidR="001B6AAE">
        <w:rPr>
          <w:spacing w:val="-14"/>
        </w:rPr>
        <w:t xml:space="preserve"> </w:t>
      </w:r>
      <w:hyperlink r:id="rId17" w:history="1">
        <w:r w:rsidR="001B6AAE" w:rsidRPr="119A19A0">
          <w:rPr>
            <w:rStyle w:val="Hyperlink"/>
            <w:rFonts w:ascii="Open Sans Light" w:hAnsi="Open Sans Light"/>
          </w:rPr>
          <w:t>NCSR</w:t>
        </w:r>
        <w:r w:rsidR="001B6AAE" w:rsidRPr="119A19A0">
          <w:rPr>
            <w:rStyle w:val="Hyperlink"/>
            <w:rFonts w:ascii="Open Sans Light" w:hAnsi="Open Sans Light"/>
            <w:spacing w:val="-16"/>
          </w:rPr>
          <w:t xml:space="preserve"> </w:t>
        </w:r>
        <w:r w:rsidR="001B6AAE" w:rsidRPr="119A19A0">
          <w:rPr>
            <w:rStyle w:val="Hyperlink"/>
            <w:rFonts w:ascii="Open Sans Light" w:hAnsi="Open Sans Light"/>
          </w:rPr>
          <w:t>website</w:t>
        </w:r>
      </w:hyperlink>
      <w:r w:rsidR="001B6AAE" w:rsidRPr="006B6EF0">
        <w:rPr>
          <w:color w:val="00708B"/>
          <w:spacing w:val="6"/>
        </w:rPr>
        <w:t xml:space="preserve"> </w:t>
      </w:r>
      <w:r w:rsidR="001B6AAE">
        <w:t>, including links to user guides and walkthrough video guides. If you require assistance registering or integrating</w:t>
      </w:r>
      <w:r w:rsidR="001B6AAE">
        <w:rPr>
          <w:spacing w:val="-5"/>
        </w:rPr>
        <w:t xml:space="preserve"> </w:t>
      </w:r>
      <w:r w:rsidR="001B6AAE">
        <w:t>your</w:t>
      </w:r>
      <w:r w:rsidR="001B6AAE">
        <w:rPr>
          <w:spacing w:val="-5"/>
        </w:rPr>
        <w:t xml:space="preserve"> </w:t>
      </w:r>
      <w:r w:rsidR="001B6AAE">
        <w:t>clinical</w:t>
      </w:r>
      <w:r w:rsidR="001B6AAE">
        <w:rPr>
          <w:spacing w:val="-5"/>
        </w:rPr>
        <w:t xml:space="preserve"> </w:t>
      </w:r>
      <w:r w:rsidR="001B6AAE">
        <w:t>software,</w:t>
      </w:r>
      <w:r w:rsidR="001B6AAE">
        <w:rPr>
          <w:spacing w:val="-5"/>
        </w:rPr>
        <w:t xml:space="preserve"> </w:t>
      </w:r>
      <w:r w:rsidR="001B6AAE">
        <w:t>call</w:t>
      </w:r>
      <w:r w:rsidR="001B6AAE">
        <w:rPr>
          <w:spacing w:val="-5"/>
        </w:rPr>
        <w:t xml:space="preserve"> </w:t>
      </w:r>
      <w:r w:rsidR="001B6AAE" w:rsidRPr="005F5637">
        <w:rPr>
          <w:b/>
          <w:bCs/>
        </w:rPr>
        <w:t>1800</w:t>
      </w:r>
      <w:r w:rsidR="001B6AAE" w:rsidRPr="005F5637">
        <w:rPr>
          <w:b/>
          <w:bCs/>
          <w:spacing w:val="-16"/>
        </w:rPr>
        <w:t xml:space="preserve"> </w:t>
      </w:r>
      <w:r w:rsidR="001B6AAE" w:rsidRPr="005F5637">
        <w:rPr>
          <w:b/>
          <w:bCs/>
        </w:rPr>
        <w:t>627</w:t>
      </w:r>
      <w:r w:rsidR="001B6AAE" w:rsidRPr="005F5637">
        <w:rPr>
          <w:b/>
          <w:bCs/>
          <w:spacing w:val="-16"/>
        </w:rPr>
        <w:t xml:space="preserve"> </w:t>
      </w:r>
      <w:r w:rsidR="001B6AAE" w:rsidRPr="005F5637">
        <w:rPr>
          <w:b/>
          <w:bCs/>
        </w:rPr>
        <w:t>701</w:t>
      </w:r>
      <w:r w:rsidR="001B6AAE">
        <w:rPr>
          <w:spacing w:val="-17"/>
        </w:rPr>
        <w:t xml:space="preserve"> </w:t>
      </w:r>
      <w:r w:rsidR="001B6AAE">
        <w:t>to speak to a member of the NCSR Contact Centre.</w:t>
      </w:r>
    </w:p>
    <w:p w14:paraId="7BEF56AD" w14:textId="72B67EA0" w:rsidR="00DC07A8" w:rsidRDefault="001B6AAE" w:rsidP="001B6AAE">
      <w:pPr>
        <w:pStyle w:val="Heading3"/>
      </w:pPr>
      <w:r w:rsidRPr="00DF5510">
        <w:t>Identify potential participants</w:t>
      </w:r>
    </w:p>
    <w:p w14:paraId="0B951D11" w14:textId="03A61898" w:rsidR="001B6AAE" w:rsidRPr="001B6AAE" w:rsidRDefault="00CB0510" w:rsidP="001B6AAE">
      <w:pPr>
        <w:framePr w:hSpace="180" w:wrap="around" w:vAnchor="text" w:hAnchor="text" w:y="1"/>
        <w:spacing w:after="0" w:line="240" w:lineRule="auto"/>
        <w:suppressOverlap/>
      </w:pPr>
      <w:sdt>
        <w:sdtPr>
          <w:rPr>
            <w:sz w:val="56"/>
            <w:szCs w:val="96"/>
            <w:lang w:val="en-GB"/>
          </w:rPr>
          <w:id w:val="19830387"/>
          <w15:color w:val="000000"/>
          <w14:checkbox>
            <w14:checked w14:val="0"/>
            <w14:checkedState w14:val="2612" w14:font="MS Gothic"/>
            <w14:uncheckedState w14:val="2610" w14:font="MS Gothic"/>
          </w14:checkbox>
        </w:sdtPr>
        <w:sdtEndPr/>
        <w:sdtContent>
          <w:r w:rsidR="001B6AAE">
            <w:rPr>
              <w:rFonts w:ascii="MS Gothic" w:eastAsia="MS Gothic" w:hAnsi="MS Gothic" w:hint="eastAsia"/>
              <w:sz w:val="56"/>
              <w:szCs w:val="96"/>
              <w:lang w:val="en-GB"/>
            </w:rPr>
            <w:t>☐</w:t>
          </w:r>
        </w:sdtContent>
      </w:sdt>
      <w:r w:rsidR="001B6AAE" w:rsidRPr="006E4EAF">
        <w:rPr>
          <w:b/>
          <w:bCs/>
        </w:rPr>
        <w:t xml:space="preserve"> Work with your practice to identify patients</w:t>
      </w:r>
      <w:r w:rsidR="001B6AAE" w:rsidRPr="001B6AAE">
        <w:rPr>
          <w:b/>
          <w:bCs/>
        </w:rPr>
        <w:t xml:space="preserve"> </w:t>
      </w:r>
      <w:r w:rsidR="001B6AAE" w:rsidRPr="006E4EAF">
        <w:rPr>
          <w:b/>
          <w:bCs/>
        </w:rPr>
        <w:t>who could be eligible from July 2025. This includes reviewing and updating smoking history in your clinical patient records.</w:t>
      </w:r>
    </w:p>
    <w:p w14:paraId="11D4D78A" w14:textId="6D004A17" w:rsidR="001B6AAE" w:rsidRDefault="001B6AAE" w:rsidP="001B6AAE">
      <w:pPr>
        <w:spacing w:before="160"/>
      </w:pPr>
      <w:r>
        <w:t>Unlike other types of cancer screening, this is a targeted screening program which includes an assessment of someone’s smoking status along with their age. Because of this, the NCSR will not be sending invitations to potential participants.</w:t>
      </w:r>
    </w:p>
    <w:p w14:paraId="311AC537" w14:textId="3C3F18A6" w:rsidR="001B6AAE" w:rsidRDefault="00CB0510" w:rsidP="001B6AAE">
      <w:pPr>
        <w:framePr w:hSpace="180" w:wrap="around" w:vAnchor="text" w:hAnchor="text" w:y="1"/>
        <w:spacing w:after="0" w:line="240" w:lineRule="auto"/>
        <w:suppressOverlap/>
        <w:rPr>
          <w:b/>
          <w:bCs/>
        </w:rPr>
      </w:pPr>
      <w:sdt>
        <w:sdtPr>
          <w:rPr>
            <w:sz w:val="56"/>
            <w:szCs w:val="96"/>
            <w:lang w:val="en-GB"/>
          </w:rPr>
          <w:id w:val="-888643736"/>
          <w15:color w:val="000000"/>
          <w14:checkbox>
            <w14:checked w14:val="0"/>
            <w14:checkedState w14:val="2612" w14:font="MS Gothic"/>
            <w14:uncheckedState w14:val="2610" w14:font="MS Gothic"/>
          </w14:checkbox>
        </w:sdtPr>
        <w:sdtEndPr/>
        <w:sdtContent>
          <w:r w:rsidR="001B6AAE">
            <w:rPr>
              <w:rFonts w:ascii="MS Gothic" w:eastAsia="MS Gothic" w:hAnsi="MS Gothic" w:hint="eastAsia"/>
              <w:sz w:val="56"/>
              <w:szCs w:val="96"/>
              <w:lang w:val="en-GB"/>
            </w:rPr>
            <w:t>☐</w:t>
          </w:r>
        </w:sdtContent>
      </w:sdt>
      <w:r w:rsidR="001B6AAE" w:rsidRPr="006E4EAF">
        <w:rPr>
          <w:b/>
          <w:bCs/>
        </w:rPr>
        <w:t xml:space="preserve"> Establish electronic medical record (EMR)-based prompts to help identify potential participants as they become eligible.</w:t>
      </w:r>
    </w:p>
    <w:p w14:paraId="14307948" w14:textId="22A96FA3" w:rsidR="00B81BED" w:rsidRDefault="00B81BED" w:rsidP="119A19A0">
      <w:pPr>
        <w:spacing w:line="278" w:lineRule="auto"/>
        <w:rPr>
          <w:rFonts w:eastAsiaTheme="majorEastAsia" w:cs="Open Sans Light"/>
          <w:b/>
          <w:bCs/>
          <w:lang w:val="en-GB"/>
        </w:rPr>
      </w:pPr>
      <w:r w:rsidRPr="119A19A0">
        <w:rPr>
          <w:rFonts w:cs="Open Sans Light"/>
        </w:rPr>
        <w:br w:type="page"/>
      </w:r>
    </w:p>
    <w:p w14:paraId="3F903CCC" w14:textId="1B79369A" w:rsidR="00B81BED" w:rsidRPr="006E4EAF" w:rsidRDefault="00B81BED" w:rsidP="00B81BED">
      <w:pPr>
        <w:pStyle w:val="Heading3"/>
        <w:rPr>
          <w:rFonts w:ascii="Open Sans Light" w:hAnsi="Open Sans Light" w:cs="Open Sans Light"/>
          <w:color w:val="auto"/>
          <w:sz w:val="20"/>
          <w:szCs w:val="22"/>
        </w:rPr>
      </w:pPr>
      <w:r w:rsidRPr="021B1920">
        <w:rPr>
          <w:rFonts w:ascii="Open Sans Light" w:hAnsi="Open Sans Light" w:cs="Open Sans Light"/>
          <w:color w:val="auto"/>
          <w:sz w:val="20"/>
          <w:szCs w:val="20"/>
        </w:rPr>
        <w:lastRenderedPageBreak/>
        <w:t>References:</w:t>
      </w:r>
    </w:p>
    <w:p w14:paraId="0B3EA20A" w14:textId="08C1E651" w:rsidR="021B1920" w:rsidRDefault="021B1920" w:rsidP="021B1920"/>
    <w:p w14:paraId="37B4F782" w14:textId="378DB4C7" w:rsidR="76C1B291" w:rsidRDefault="76C1B291" w:rsidP="00F00C49">
      <w:pPr>
        <w:pStyle w:val="ListParagraph"/>
        <w:spacing w:after="0"/>
        <w:rPr>
          <w:rFonts w:eastAsia="Open Sans Light" w:cs="Open Sans Light"/>
          <w:szCs w:val="20"/>
          <w:lang w:val="en-AU"/>
        </w:rPr>
      </w:pPr>
      <w:r w:rsidRPr="7F71C81A">
        <w:rPr>
          <w:rFonts w:eastAsia="Open Sans Light" w:cs="Open Sans Light"/>
          <w:szCs w:val="20"/>
          <w:lang w:val="en-AU"/>
        </w:rPr>
        <w:t>Sung, H. et al. Global Cancer Statistics 2020: GLOBOCAN Estimates of Incidence and Mortality Worldwide for 36 Cancers in 185 Countries. CA: A Cancer Journal for Clinicians 71, 209–249 (2021).</w:t>
      </w:r>
    </w:p>
    <w:p w14:paraId="6F8A3A11" w14:textId="1A552AD8" w:rsidR="76C1B291" w:rsidRDefault="76C1B291" w:rsidP="021B1920">
      <w:pPr>
        <w:pStyle w:val="ListParagraph"/>
        <w:spacing w:after="0"/>
        <w:rPr>
          <w:rFonts w:eastAsia="Open Sans Light" w:cs="Open Sans Light"/>
          <w:szCs w:val="20"/>
          <w:lang w:val="en-AU"/>
        </w:rPr>
      </w:pPr>
      <w:r w:rsidRPr="021B1920">
        <w:rPr>
          <w:rFonts w:eastAsia="Open Sans Light" w:cs="Open Sans Light"/>
          <w:szCs w:val="20"/>
          <w:lang w:val="en-AU"/>
        </w:rPr>
        <w:t xml:space="preserve"> Australian Institute of Health and Welfare. Cancer in Australia 2021 [Internet]. Canberra, Australia: Australian Institute of Health and Welfare; 2021. Available from: https://www.aihw.gov.au/reports/cancer/cancer-in-australia-2021/summary</w:t>
      </w:r>
    </w:p>
    <w:p w14:paraId="13B3023A" w14:textId="421CB0D6" w:rsidR="76C1B291" w:rsidRDefault="76C1B291" w:rsidP="021B1920">
      <w:pPr>
        <w:pStyle w:val="ListParagraph"/>
        <w:spacing w:after="0"/>
        <w:rPr>
          <w:rFonts w:eastAsia="Open Sans Light" w:cs="Open Sans Light"/>
          <w:szCs w:val="20"/>
          <w:lang w:val="en-AU"/>
        </w:rPr>
      </w:pPr>
      <w:r w:rsidRPr="021B1920">
        <w:rPr>
          <w:rFonts w:eastAsia="Open Sans Light" w:cs="Open Sans Light"/>
          <w:szCs w:val="20"/>
          <w:lang w:val="en-AU"/>
        </w:rPr>
        <w:t xml:space="preserve">Medical Services Advisory Committee. 1699 – National Lung Cancer Screening Program Public Summary Document [Internet]. Canberra, Australia: Australian Government Department of Health; 2022 Jul [cited 2024 Mar 28]. Report No.:1699. Available from: </w:t>
      </w:r>
      <w:r w:rsidR="53BD8DE1" w:rsidRPr="021B1920">
        <w:rPr>
          <w:rFonts w:eastAsia="Open Sans Light" w:cs="Open Sans Light"/>
          <w:szCs w:val="20"/>
          <w:lang w:val="en-AU"/>
        </w:rPr>
        <w:t>http://www.msac.gov.au/internet/msac/publishing.nsf/Content/1699-public</w:t>
      </w:r>
    </w:p>
    <w:p w14:paraId="7971F065" w14:textId="2EFCD9CB" w:rsidR="76C1B291" w:rsidRDefault="76C1B291" w:rsidP="021B1920">
      <w:pPr>
        <w:pStyle w:val="ListParagraph"/>
        <w:spacing w:after="0"/>
        <w:rPr>
          <w:rFonts w:eastAsia="Open Sans Light" w:cs="Open Sans Light"/>
          <w:szCs w:val="20"/>
          <w:lang w:val="en-AU"/>
        </w:rPr>
      </w:pPr>
      <w:r w:rsidRPr="021B1920">
        <w:rPr>
          <w:rFonts w:eastAsia="Open Sans Light" w:cs="Open Sans Light"/>
          <w:szCs w:val="20"/>
          <w:lang w:val="en-AU"/>
        </w:rPr>
        <w:t xml:space="preserve"> Aberle, D. et al. National Lung Screening Trial Research Team. Reduced lung cancer mortality with </w:t>
      </w:r>
      <w:proofErr w:type="gramStart"/>
      <w:r w:rsidRPr="021B1920">
        <w:rPr>
          <w:rFonts w:eastAsia="Open Sans Light" w:cs="Open Sans Light"/>
          <w:szCs w:val="20"/>
          <w:lang w:val="en-AU"/>
        </w:rPr>
        <w:t>low-dose</w:t>
      </w:r>
      <w:proofErr w:type="gramEnd"/>
      <w:r w:rsidRPr="021B1920">
        <w:rPr>
          <w:rFonts w:eastAsia="Open Sans Light" w:cs="Open Sans Light"/>
          <w:szCs w:val="20"/>
          <w:lang w:val="en-AU"/>
        </w:rPr>
        <w:t xml:space="preserve"> computed tomographic screening. New England Journal of Medicine 365, 395–409 (2011). </w:t>
      </w:r>
    </w:p>
    <w:p w14:paraId="75A372A9" w14:textId="32C17084" w:rsidR="76C1B291" w:rsidRDefault="76C1B291" w:rsidP="021B1920">
      <w:pPr>
        <w:pStyle w:val="ListParagraph"/>
        <w:spacing w:after="0"/>
        <w:rPr>
          <w:rFonts w:eastAsia="Open Sans Light" w:cs="Open Sans Light"/>
          <w:szCs w:val="20"/>
          <w:lang w:val="en-AU"/>
        </w:rPr>
      </w:pPr>
      <w:r w:rsidRPr="021B1920">
        <w:rPr>
          <w:rFonts w:eastAsia="Open Sans Light" w:cs="Open Sans Light"/>
          <w:szCs w:val="20"/>
          <w:lang w:val="en-AU"/>
        </w:rPr>
        <w:t>5. De Koning, H. J. et al. Reduced lung-cancer mortality with volume CT screening</w:t>
      </w:r>
    </w:p>
    <w:p w14:paraId="60A4D2DD" w14:textId="6A7D15F6" w:rsidR="021B1920" w:rsidRDefault="021B1920" w:rsidP="021B1920"/>
    <w:sectPr w:rsidR="021B1920" w:rsidSect="00EE5C0E">
      <w:footerReference w:type="default" r:id="rId18"/>
      <w:headerReference w:type="first" r:id="rId19"/>
      <w:footerReference w:type="first" r:id="rId20"/>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5CEE5" w14:textId="77777777" w:rsidR="00A47B0E" w:rsidRDefault="00A47B0E" w:rsidP="00F81AFB">
      <w:r>
        <w:separator/>
      </w:r>
    </w:p>
  </w:endnote>
  <w:endnote w:type="continuationSeparator" w:id="0">
    <w:p w14:paraId="07F45423" w14:textId="77777777" w:rsidR="00A47B0E" w:rsidRDefault="00A47B0E" w:rsidP="00F81AFB">
      <w:r>
        <w:continuationSeparator/>
      </w:r>
    </w:p>
  </w:endnote>
  <w:endnote w:type="continuationNotice" w:id="1">
    <w:p w14:paraId="69B7CC71" w14:textId="77777777" w:rsidR="00A47B0E" w:rsidRDefault="00A47B0E">
      <w:pPr>
        <w:spacing w:after="0" w:line="240" w:lineRule="auto"/>
      </w:pPr>
    </w:p>
  </w:endnote>
  <w:endnote w:id="2">
    <w:p w14:paraId="09BA2B59" w14:textId="0EC2A246" w:rsidR="00EF5EF5" w:rsidRPr="006E4EAF" w:rsidRDefault="00EF5EF5" w:rsidP="006E4EAF">
      <w:pPr>
        <w:pStyle w:val="EndnoteText"/>
        <w:spacing w:before="120" w:after="120" w:line="312" w:lineRule="auto"/>
        <w:ind w:left="142" w:hanging="142"/>
        <w:rPr>
          <w:rFonts w:ascii="Open Sans" w:hAnsi="Open Sans" w:cs="Open Sans"/>
          <w:sz w:val="16"/>
          <w:szCs w:val="16"/>
        </w:rPr>
      </w:pPr>
      <w:r w:rsidRPr="006E4EAF">
        <w:rPr>
          <w:rStyle w:val="EndnoteReference"/>
          <w:rFonts w:ascii="Open Sans" w:hAnsi="Open Sans" w:cs="Open Sans"/>
          <w:sz w:val="16"/>
          <w:szCs w:val="16"/>
        </w:rPr>
        <w:endnoteRef/>
      </w:r>
      <w:r w:rsidRPr="006E4EAF">
        <w:rPr>
          <w:rFonts w:ascii="Open Sans" w:hAnsi="Open Sans" w:cs="Open Sans"/>
          <w:sz w:val="16"/>
          <w:szCs w:val="16"/>
        </w:rPr>
        <w:t xml:space="preserve"> </w:t>
      </w:r>
      <w:r w:rsidR="006E4EAF">
        <w:rPr>
          <w:rFonts w:ascii="Open Sans" w:hAnsi="Open Sans" w:cs="Open Sans"/>
          <w:sz w:val="16"/>
          <w:szCs w:val="16"/>
        </w:rPr>
        <w:tab/>
      </w:r>
      <w:r w:rsidRPr="006E4EAF">
        <w:rPr>
          <w:rFonts w:ascii="Open Sans" w:hAnsi="Open Sans" w:cs="Open Sans"/>
          <w:sz w:val="16"/>
          <w:szCs w:val="16"/>
        </w:rPr>
        <w:t>Sung, H. et al. Global Cancer Statistics 2020: GLOBOCAN Estimates of Incidence and Mortality Worldwide for 36 Cancers in 185 Countries. CA: A Cancer Journal for Clinicians 71, 209–249 (2021).</w:t>
      </w:r>
    </w:p>
  </w:endnote>
  <w:endnote w:id="3">
    <w:p w14:paraId="4B2B9190" w14:textId="5BD7FE77" w:rsidR="00EF5EF5" w:rsidRPr="006E4EAF" w:rsidRDefault="00EF5EF5" w:rsidP="006E4EAF">
      <w:pPr>
        <w:pStyle w:val="EndnoteText"/>
        <w:spacing w:before="120" w:after="120" w:line="312" w:lineRule="auto"/>
        <w:ind w:left="142" w:hanging="142"/>
        <w:rPr>
          <w:rFonts w:ascii="Open Sans" w:hAnsi="Open Sans" w:cs="Open Sans"/>
          <w:sz w:val="16"/>
          <w:szCs w:val="16"/>
        </w:rPr>
      </w:pPr>
      <w:r w:rsidRPr="006E4EAF">
        <w:rPr>
          <w:rStyle w:val="EndnoteReference"/>
          <w:rFonts w:ascii="Open Sans" w:hAnsi="Open Sans" w:cs="Open Sans"/>
          <w:sz w:val="16"/>
          <w:szCs w:val="16"/>
        </w:rPr>
        <w:endnoteRef/>
      </w:r>
      <w:r w:rsidRPr="006E4EAF">
        <w:rPr>
          <w:rFonts w:ascii="Open Sans" w:hAnsi="Open Sans" w:cs="Open Sans"/>
          <w:sz w:val="16"/>
          <w:szCs w:val="16"/>
        </w:rPr>
        <w:t xml:space="preserve"> </w:t>
      </w:r>
      <w:r w:rsidR="006E4EAF">
        <w:rPr>
          <w:rFonts w:ascii="Open Sans" w:hAnsi="Open Sans" w:cs="Open Sans"/>
          <w:sz w:val="16"/>
          <w:szCs w:val="16"/>
        </w:rPr>
        <w:tab/>
      </w:r>
      <w:r w:rsidRPr="006E4EAF">
        <w:rPr>
          <w:rFonts w:ascii="Open Sans" w:hAnsi="Open Sans" w:cs="Open Sans"/>
          <w:sz w:val="16"/>
          <w:szCs w:val="16"/>
        </w:rPr>
        <w:t xml:space="preserve">Australian Institute of Health and Welfare. </w:t>
      </w:r>
      <w:r w:rsidRPr="00F54F79">
        <w:rPr>
          <w:rFonts w:ascii="Open Sans" w:hAnsi="Open Sans" w:cs="Open Sans"/>
          <w:i/>
          <w:iCs/>
          <w:sz w:val="16"/>
          <w:szCs w:val="16"/>
        </w:rPr>
        <w:t>Cancer in Australia 2021</w:t>
      </w:r>
      <w:r w:rsidRPr="006E4EAF">
        <w:rPr>
          <w:rFonts w:ascii="Open Sans" w:hAnsi="Open Sans" w:cs="Open Sans"/>
          <w:sz w:val="16"/>
          <w:szCs w:val="16"/>
        </w:rPr>
        <w:t xml:space="preserve"> [Internet]. Canberra, Australia: Australian Institute of Health and Welfare; 2021. Available from: </w:t>
      </w:r>
      <w:hyperlink r:id="rId1" w:history="1">
        <w:r w:rsidRPr="006E4EAF">
          <w:rPr>
            <w:rStyle w:val="Hyperlink"/>
            <w:rFonts w:ascii="Open Sans" w:hAnsi="Open Sans" w:cs="Open Sans"/>
            <w:b w:val="0"/>
            <w:bCs/>
            <w:color w:val="auto"/>
            <w:sz w:val="16"/>
            <w:szCs w:val="16"/>
          </w:rPr>
          <w:t>https://www.aihw.gov.au/reports/cancer/cancer-in-australia-2021/summary</w:t>
        </w:r>
      </w:hyperlink>
    </w:p>
  </w:endnote>
  <w:endnote w:id="4">
    <w:p w14:paraId="2596E392" w14:textId="1A1EC7C4" w:rsidR="00EF5EF5" w:rsidRPr="006E4EAF" w:rsidRDefault="00EF5EF5" w:rsidP="006E4EAF">
      <w:pPr>
        <w:pStyle w:val="EndnoteText"/>
        <w:spacing w:before="120" w:after="120" w:line="312" w:lineRule="auto"/>
        <w:ind w:left="142" w:hanging="142"/>
        <w:rPr>
          <w:rFonts w:ascii="Open Sans" w:hAnsi="Open Sans" w:cs="Open Sans"/>
          <w:sz w:val="16"/>
          <w:szCs w:val="16"/>
        </w:rPr>
      </w:pPr>
      <w:r w:rsidRPr="006E4EAF">
        <w:rPr>
          <w:rStyle w:val="EndnoteReference"/>
          <w:rFonts w:ascii="Open Sans" w:hAnsi="Open Sans" w:cs="Open Sans"/>
          <w:sz w:val="16"/>
          <w:szCs w:val="16"/>
        </w:rPr>
        <w:endnoteRef/>
      </w:r>
      <w:r w:rsidR="006E4EAF">
        <w:rPr>
          <w:rFonts w:ascii="Open Sans" w:hAnsi="Open Sans" w:cs="Open Sans"/>
          <w:sz w:val="16"/>
          <w:szCs w:val="16"/>
        </w:rPr>
        <w:t xml:space="preserve"> </w:t>
      </w:r>
      <w:r w:rsidR="006E4EAF">
        <w:rPr>
          <w:rFonts w:ascii="Open Sans" w:hAnsi="Open Sans" w:cs="Open Sans"/>
          <w:sz w:val="16"/>
          <w:szCs w:val="16"/>
        </w:rPr>
        <w:tab/>
      </w:r>
      <w:r w:rsidRPr="006E4EAF">
        <w:rPr>
          <w:rFonts w:ascii="Open Sans" w:hAnsi="Open Sans" w:cs="Open Sans"/>
          <w:sz w:val="16"/>
          <w:szCs w:val="16"/>
        </w:rPr>
        <w:t xml:space="preserve">Medical Services Advisory Committee. 1699 – National Lung Cancer Screening Program Public Summary Document [Internet]. Canberra, Australia: Australian Government Department of Health; 2022 Jul [cited 2024 Mar 28]. Report No.:1699. Available from: </w:t>
      </w:r>
      <w:hyperlink r:id="rId2" w:history="1">
        <w:r w:rsidRPr="006E4EAF">
          <w:rPr>
            <w:rStyle w:val="Hyperlink"/>
            <w:rFonts w:ascii="Open Sans" w:hAnsi="Open Sans" w:cs="Open Sans"/>
            <w:b w:val="0"/>
            <w:bCs/>
            <w:color w:val="auto"/>
            <w:sz w:val="16"/>
            <w:szCs w:val="16"/>
          </w:rPr>
          <w:t>http://www.msac.gov.au/internet/msac/publishing.nsf/Content/1699-public</w:t>
        </w:r>
      </w:hyperlink>
    </w:p>
  </w:endnote>
  <w:endnote w:id="5">
    <w:p w14:paraId="0CF928AA" w14:textId="29E2622D" w:rsidR="00EF5EF5" w:rsidRPr="006E4EAF" w:rsidRDefault="00EF5EF5" w:rsidP="006E4EAF">
      <w:pPr>
        <w:pStyle w:val="EndnoteText"/>
        <w:spacing w:before="120" w:after="120" w:line="312" w:lineRule="auto"/>
        <w:ind w:left="142" w:hanging="142"/>
        <w:rPr>
          <w:rFonts w:ascii="Open Sans" w:hAnsi="Open Sans" w:cs="Open Sans"/>
          <w:sz w:val="16"/>
          <w:szCs w:val="16"/>
        </w:rPr>
      </w:pPr>
      <w:r w:rsidRPr="006E4EAF">
        <w:rPr>
          <w:rStyle w:val="EndnoteReference"/>
          <w:rFonts w:ascii="Open Sans" w:hAnsi="Open Sans" w:cs="Open Sans"/>
          <w:sz w:val="16"/>
          <w:szCs w:val="16"/>
        </w:rPr>
        <w:endnoteRef/>
      </w:r>
      <w:r w:rsidRPr="006E4EAF">
        <w:rPr>
          <w:rFonts w:ascii="Open Sans" w:hAnsi="Open Sans" w:cs="Open Sans"/>
          <w:sz w:val="16"/>
          <w:szCs w:val="16"/>
        </w:rPr>
        <w:t xml:space="preserve"> </w:t>
      </w:r>
      <w:r w:rsidR="006E4EAF">
        <w:rPr>
          <w:rFonts w:ascii="Open Sans" w:hAnsi="Open Sans" w:cs="Open Sans"/>
          <w:sz w:val="16"/>
          <w:szCs w:val="16"/>
        </w:rPr>
        <w:tab/>
      </w:r>
      <w:r w:rsidRPr="006E4EAF">
        <w:rPr>
          <w:rFonts w:ascii="Open Sans" w:hAnsi="Open Sans" w:cs="Open Sans"/>
          <w:sz w:val="16"/>
          <w:szCs w:val="16"/>
        </w:rPr>
        <w:t xml:space="preserve">Aberle, D. et al. National Lung Screening Trial Research Team. Reduced lung cancer mortality with </w:t>
      </w:r>
      <w:r w:rsidRPr="006E4EAF">
        <w:rPr>
          <w:rFonts w:ascii="Open Sans" w:hAnsi="Open Sans" w:cs="Open Sans"/>
          <w:sz w:val="16"/>
          <w:szCs w:val="16"/>
        </w:rPr>
        <w:t xml:space="preserve">low-dose computed tomographic screening. </w:t>
      </w:r>
      <w:r w:rsidRPr="00F54F79">
        <w:rPr>
          <w:rFonts w:ascii="Open Sans" w:hAnsi="Open Sans" w:cs="Open Sans"/>
          <w:i/>
          <w:iCs/>
          <w:sz w:val="16"/>
          <w:szCs w:val="16"/>
        </w:rPr>
        <w:t>New England Journal of Medicine</w:t>
      </w:r>
      <w:r w:rsidRPr="006E4EAF">
        <w:rPr>
          <w:rFonts w:ascii="Open Sans" w:hAnsi="Open Sans" w:cs="Open Sans"/>
          <w:sz w:val="16"/>
          <w:szCs w:val="16"/>
        </w:rPr>
        <w:t xml:space="preserve"> 365, 395–409 (2011).</w:t>
      </w:r>
    </w:p>
  </w:endnote>
  <w:endnote w:id="6">
    <w:p w14:paraId="7CD50ACE" w14:textId="6CDD261F" w:rsidR="00EF5EF5" w:rsidRDefault="00EF5EF5" w:rsidP="006E4EAF">
      <w:pPr>
        <w:pStyle w:val="EndnoteText"/>
        <w:spacing w:before="120" w:after="120" w:line="312" w:lineRule="auto"/>
        <w:ind w:left="142" w:hanging="142"/>
      </w:pPr>
      <w:r w:rsidRPr="006E4EAF">
        <w:rPr>
          <w:rStyle w:val="EndnoteReference"/>
          <w:rFonts w:ascii="Open Sans" w:hAnsi="Open Sans" w:cs="Open Sans"/>
          <w:sz w:val="16"/>
          <w:szCs w:val="16"/>
        </w:rPr>
        <w:endnoteRef/>
      </w:r>
      <w:r w:rsidRPr="006E4EAF">
        <w:rPr>
          <w:rFonts w:ascii="Open Sans" w:hAnsi="Open Sans" w:cs="Open Sans"/>
          <w:sz w:val="16"/>
          <w:szCs w:val="16"/>
        </w:rPr>
        <w:t xml:space="preserve"> </w:t>
      </w:r>
      <w:r w:rsidR="006E4EAF">
        <w:rPr>
          <w:rFonts w:ascii="Open Sans" w:hAnsi="Open Sans" w:cs="Open Sans"/>
          <w:sz w:val="16"/>
          <w:szCs w:val="16"/>
        </w:rPr>
        <w:tab/>
      </w:r>
      <w:r w:rsidRPr="006E4EAF">
        <w:rPr>
          <w:rFonts w:ascii="Open Sans" w:hAnsi="Open Sans" w:cs="Open Sans"/>
          <w:sz w:val="16"/>
          <w:szCs w:val="16"/>
        </w:rPr>
        <w:t xml:space="preserve">De Koning, H. J. et al. Reduced lung-cancer mortality with volume CT screening in a randomized trial. </w:t>
      </w:r>
      <w:r w:rsidRPr="00F54F79">
        <w:rPr>
          <w:rFonts w:ascii="Open Sans" w:hAnsi="Open Sans" w:cs="Open Sans"/>
          <w:i/>
          <w:iCs/>
          <w:sz w:val="16"/>
          <w:szCs w:val="16"/>
        </w:rPr>
        <w:t>New England Journal of Medicine</w:t>
      </w:r>
      <w:r w:rsidRPr="006E4EAF">
        <w:rPr>
          <w:rFonts w:ascii="Open Sans" w:hAnsi="Open Sans" w:cs="Open Sans"/>
          <w:sz w:val="16"/>
          <w:szCs w:val="16"/>
        </w:rPr>
        <w:t xml:space="preserve"> 382, 503–513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F7CA" w14:textId="5EEAF603" w:rsidR="00430D73" w:rsidRPr="00EE5C0E" w:rsidRDefault="00430D73" w:rsidP="00EE5C0E">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Get your practice ready for the National Lung Cancer Screening Program</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8B27A" w14:textId="77777777" w:rsidR="00430D73" w:rsidRDefault="00430D73" w:rsidP="00EE5C0E">
    <w:pPr>
      <w:pStyle w:val="Footer"/>
      <w:numPr>
        <w:ilvl w:val="0"/>
        <w:numId w:val="0"/>
      </w:numPr>
      <w:ind w:left="72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6E549" w14:textId="77777777" w:rsidR="00A47B0E" w:rsidRDefault="00A47B0E" w:rsidP="00F81AFB">
      <w:r>
        <w:separator/>
      </w:r>
    </w:p>
  </w:footnote>
  <w:footnote w:type="continuationSeparator" w:id="0">
    <w:p w14:paraId="12C67823" w14:textId="77777777" w:rsidR="00A47B0E" w:rsidRDefault="00A47B0E" w:rsidP="00F81AFB">
      <w:r>
        <w:continuationSeparator/>
      </w:r>
    </w:p>
  </w:footnote>
  <w:footnote w:type="continuationNotice" w:id="1">
    <w:p w14:paraId="684A3BF4" w14:textId="77777777" w:rsidR="00A47B0E" w:rsidRDefault="00A47B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97F6" w14:textId="41E9562C" w:rsidR="00117A63" w:rsidRDefault="00117A63" w:rsidP="00A02653">
    <w:pPr>
      <w:pStyle w:val="Header"/>
    </w:pPr>
    <w:r>
      <w:rPr>
        <w:noProof/>
        <w:lang w:val="en-GB"/>
      </w:rPr>
      <w:drawing>
        <wp:inline distT="0" distB="0" distL="0" distR="0" wp14:anchorId="2F9B9C0B" wp14:editId="7FBE2576">
          <wp:extent cx="3030220" cy="719455"/>
          <wp:effectExtent l="0" t="0" r="0" b="4445"/>
          <wp:docPr id="348311707"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4243086" o:spid="_x0000_i1026" type="#_x0000_t75" style="width:21.5pt;height:20pt;visibility:visible;mso-wrap-style:square" o:bullet="t">
        <v:imagedata r:id="rId1" o:title=""/>
      </v:shape>
    </w:pict>
  </w:numPicBullet>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PicBulletId w:val="0"/>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PicBulletId w:val="0"/>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PicBulletId w:val="0"/>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850A9"/>
    <w:multiLevelType w:val="hybridMultilevel"/>
    <w:tmpl w:val="589EF69E"/>
    <w:lvl w:ilvl="0" w:tplc="A1ACC7CE">
      <w:start w:val="1"/>
      <w:numFmt w:val="decimal"/>
      <w:lvlText w:val="%1."/>
      <w:lvlJc w:val="left"/>
      <w:pPr>
        <w:ind w:left="720" w:hanging="360"/>
      </w:pPr>
    </w:lvl>
    <w:lvl w:ilvl="1" w:tplc="AAD8B76E">
      <w:start w:val="1"/>
      <w:numFmt w:val="lowerLetter"/>
      <w:lvlText w:val="%2."/>
      <w:lvlJc w:val="left"/>
      <w:pPr>
        <w:ind w:left="1440" w:hanging="360"/>
      </w:pPr>
    </w:lvl>
    <w:lvl w:ilvl="2" w:tplc="8A545816">
      <w:start w:val="1"/>
      <w:numFmt w:val="lowerRoman"/>
      <w:lvlText w:val="%3."/>
      <w:lvlJc w:val="right"/>
      <w:pPr>
        <w:ind w:left="2160" w:hanging="180"/>
      </w:pPr>
    </w:lvl>
    <w:lvl w:ilvl="3" w:tplc="AE80E718">
      <w:start w:val="1"/>
      <w:numFmt w:val="decimal"/>
      <w:lvlText w:val="%4."/>
      <w:lvlJc w:val="left"/>
      <w:pPr>
        <w:ind w:left="2880" w:hanging="360"/>
      </w:pPr>
    </w:lvl>
    <w:lvl w:ilvl="4" w:tplc="09A44FAA">
      <w:start w:val="1"/>
      <w:numFmt w:val="lowerLetter"/>
      <w:lvlText w:val="%5."/>
      <w:lvlJc w:val="left"/>
      <w:pPr>
        <w:ind w:left="3600" w:hanging="360"/>
      </w:pPr>
    </w:lvl>
    <w:lvl w:ilvl="5" w:tplc="8BA82492">
      <w:start w:val="1"/>
      <w:numFmt w:val="lowerRoman"/>
      <w:lvlText w:val="%6."/>
      <w:lvlJc w:val="right"/>
      <w:pPr>
        <w:ind w:left="4320" w:hanging="180"/>
      </w:pPr>
    </w:lvl>
    <w:lvl w:ilvl="6" w:tplc="58D8B0AA">
      <w:start w:val="1"/>
      <w:numFmt w:val="decimal"/>
      <w:lvlText w:val="%7."/>
      <w:lvlJc w:val="left"/>
      <w:pPr>
        <w:ind w:left="5040" w:hanging="360"/>
      </w:pPr>
    </w:lvl>
    <w:lvl w:ilvl="7" w:tplc="F47E1114">
      <w:start w:val="1"/>
      <w:numFmt w:val="lowerLetter"/>
      <w:lvlText w:val="%8."/>
      <w:lvlJc w:val="left"/>
      <w:pPr>
        <w:ind w:left="5760" w:hanging="360"/>
      </w:pPr>
    </w:lvl>
    <w:lvl w:ilvl="8" w:tplc="6B1A4452">
      <w:start w:val="1"/>
      <w:numFmt w:val="lowerRoman"/>
      <w:lvlText w:val="%9."/>
      <w:lvlJc w:val="right"/>
      <w:pPr>
        <w:ind w:left="6480" w:hanging="180"/>
      </w:p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hybridMultilevel"/>
    <w:tmpl w:val="13B8E652"/>
    <w:lvl w:ilvl="0" w:tplc="65FE60FE">
      <w:start w:val="1"/>
      <w:numFmt w:val="lowerRoman"/>
      <w:pStyle w:val="ListParagraph"/>
      <w:lvlText w:val="%1."/>
      <w:lvlJc w:val="right"/>
      <w:pPr>
        <w:ind w:left="720" w:hanging="360"/>
      </w:pPr>
      <w:rPr>
        <w:color w:val="00708B"/>
        <w:sz w:val="20"/>
        <w:u w:color="00708B"/>
      </w:rPr>
    </w:lvl>
    <w:lvl w:ilvl="1" w:tplc="647A013A" w:tentative="1">
      <w:start w:val="1"/>
      <w:numFmt w:val="bullet"/>
      <w:lvlText w:val="o"/>
      <w:lvlJc w:val="left"/>
      <w:pPr>
        <w:tabs>
          <w:tab w:val="num" w:pos="1440"/>
        </w:tabs>
        <w:ind w:left="1440" w:hanging="360"/>
      </w:pPr>
      <w:rPr>
        <w:rFonts w:ascii="Courier New" w:hAnsi="Courier New" w:hint="default"/>
        <w:sz w:val="20"/>
      </w:rPr>
    </w:lvl>
    <w:lvl w:ilvl="2" w:tplc="8728694A" w:tentative="1">
      <w:start w:val="1"/>
      <w:numFmt w:val="bullet"/>
      <w:lvlText w:val=""/>
      <w:lvlJc w:val="left"/>
      <w:pPr>
        <w:tabs>
          <w:tab w:val="num" w:pos="2160"/>
        </w:tabs>
        <w:ind w:left="2160" w:hanging="360"/>
      </w:pPr>
      <w:rPr>
        <w:rFonts w:ascii="Wingdings" w:hAnsi="Wingdings" w:hint="default"/>
        <w:sz w:val="20"/>
      </w:rPr>
    </w:lvl>
    <w:lvl w:ilvl="3" w:tplc="BE12669E" w:tentative="1">
      <w:start w:val="1"/>
      <w:numFmt w:val="bullet"/>
      <w:lvlText w:val=""/>
      <w:lvlJc w:val="left"/>
      <w:pPr>
        <w:tabs>
          <w:tab w:val="num" w:pos="2880"/>
        </w:tabs>
        <w:ind w:left="2880" w:hanging="360"/>
      </w:pPr>
      <w:rPr>
        <w:rFonts w:ascii="Wingdings" w:hAnsi="Wingdings" w:hint="default"/>
        <w:sz w:val="20"/>
      </w:rPr>
    </w:lvl>
    <w:lvl w:ilvl="4" w:tplc="43A0A650" w:tentative="1">
      <w:start w:val="1"/>
      <w:numFmt w:val="bullet"/>
      <w:lvlText w:val=""/>
      <w:lvlJc w:val="left"/>
      <w:pPr>
        <w:tabs>
          <w:tab w:val="num" w:pos="3600"/>
        </w:tabs>
        <w:ind w:left="3600" w:hanging="360"/>
      </w:pPr>
      <w:rPr>
        <w:rFonts w:ascii="Wingdings" w:hAnsi="Wingdings" w:hint="default"/>
        <w:sz w:val="20"/>
      </w:rPr>
    </w:lvl>
    <w:lvl w:ilvl="5" w:tplc="FDE02912" w:tentative="1">
      <w:start w:val="1"/>
      <w:numFmt w:val="bullet"/>
      <w:lvlText w:val=""/>
      <w:lvlJc w:val="left"/>
      <w:pPr>
        <w:tabs>
          <w:tab w:val="num" w:pos="4320"/>
        </w:tabs>
        <w:ind w:left="4320" w:hanging="360"/>
      </w:pPr>
      <w:rPr>
        <w:rFonts w:ascii="Wingdings" w:hAnsi="Wingdings" w:hint="default"/>
        <w:sz w:val="20"/>
      </w:rPr>
    </w:lvl>
    <w:lvl w:ilvl="6" w:tplc="176CF912" w:tentative="1">
      <w:start w:val="1"/>
      <w:numFmt w:val="bullet"/>
      <w:lvlText w:val=""/>
      <w:lvlJc w:val="left"/>
      <w:pPr>
        <w:tabs>
          <w:tab w:val="num" w:pos="5040"/>
        </w:tabs>
        <w:ind w:left="5040" w:hanging="360"/>
      </w:pPr>
      <w:rPr>
        <w:rFonts w:ascii="Wingdings" w:hAnsi="Wingdings" w:hint="default"/>
        <w:sz w:val="20"/>
      </w:rPr>
    </w:lvl>
    <w:lvl w:ilvl="7" w:tplc="E6B441F2" w:tentative="1">
      <w:start w:val="1"/>
      <w:numFmt w:val="bullet"/>
      <w:lvlText w:val=""/>
      <w:lvlJc w:val="left"/>
      <w:pPr>
        <w:tabs>
          <w:tab w:val="num" w:pos="5760"/>
        </w:tabs>
        <w:ind w:left="5760" w:hanging="360"/>
      </w:pPr>
      <w:rPr>
        <w:rFonts w:ascii="Wingdings" w:hAnsi="Wingdings" w:hint="default"/>
        <w:sz w:val="20"/>
      </w:rPr>
    </w:lvl>
    <w:lvl w:ilvl="8" w:tplc="2BDCFC8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809825">
    <w:abstractNumId w:val="8"/>
  </w:num>
  <w:num w:numId="2" w16cid:durableId="1434130511">
    <w:abstractNumId w:val="14"/>
  </w:num>
  <w:num w:numId="3" w16cid:durableId="1828205814">
    <w:abstractNumId w:val="9"/>
  </w:num>
  <w:num w:numId="4" w16cid:durableId="1370641551">
    <w:abstractNumId w:val="17"/>
  </w:num>
  <w:num w:numId="5" w16cid:durableId="500003193">
    <w:abstractNumId w:val="1"/>
  </w:num>
  <w:num w:numId="6" w16cid:durableId="1345788340">
    <w:abstractNumId w:val="7"/>
  </w:num>
  <w:num w:numId="7" w16cid:durableId="948708404">
    <w:abstractNumId w:val="5"/>
  </w:num>
  <w:num w:numId="8" w16cid:durableId="92751195">
    <w:abstractNumId w:val="12"/>
  </w:num>
  <w:num w:numId="9" w16cid:durableId="1662388270">
    <w:abstractNumId w:val="15"/>
  </w:num>
  <w:num w:numId="10" w16cid:durableId="1746534922">
    <w:abstractNumId w:val="16"/>
  </w:num>
  <w:num w:numId="11" w16cid:durableId="338508578">
    <w:abstractNumId w:val="13"/>
  </w:num>
  <w:num w:numId="12" w16cid:durableId="1514297494">
    <w:abstractNumId w:val="11"/>
  </w:num>
  <w:num w:numId="13" w16cid:durableId="586156076">
    <w:abstractNumId w:val="0"/>
  </w:num>
  <w:num w:numId="14" w16cid:durableId="552499296">
    <w:abstractNumId w:val="10"/>
  </w:num>
  <w:num w:numId="15" w16cid:durableId="231962535">
    <w:abstractNumId w:val="3"/>
  </w:num>
  <w:num w:numId="16" w16cid:durableId="1761297460">
    <w:abstractNumId w:val="4"/>
  </w:num>
  <w:num w:numId="17" w16cid:durableId="1490093695">
    <w:abstractNumId w:val="2"/>
  </w:num>
  <w:num w:numId="18" w16cid:durableId="1249970461">
    <w:abstractNumId w:val="16"/>
    <w:lvlOverride w:ilvl="0">
      <w:startOverride w:val="1"/>
    </w:lvlOverride>
  </w:num>
  <w:num w:numId="19" w16cid:durableId="1023745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3211"/>
    <w:rsid w:val="000B470C"/>
    <w:rsid w:val="00105FAF"/>
    <w:rsid w:val="001079B0"/>
    <w:rsid w:val="00117A63"/>
    <w:rsid w:val="00127472"/>
    <w:rsid w:val="00173FD9"/>
    <w:rsid w:val="00193439"/>
    <w:rsid w:val="001A486B"/>
    <w:rsid w:val="001B6AAE"/>
    <w:rsid w:val="0021100D"/>
    <w:rsid w:val="00225661"/>
    <w:rsid w:val="002359FD"/>
    <w:rsid w:val="00240632"/>
    <w:rsid w:val="00244F4A"/>
    <w:rsid w:val="00254591"/>
    <w:rsid w:val="00257C83"/>
    <w:rsid w:val="0027220C"/>
    <w:rsid w:val="00281012"/>
    <w:rsid w:val="002B48C6"/>
    <w:rsid w:val="002E6626"/>
    <w:rsid w:val="00300B86"/>
    <w:rsid w:val="00301C06"/>
    <w:rsid w:val="00366FF9"/>
    <w:rsid w:val="003801E0"/>
    <w:rsid w:val="0038261D"/>
    <w:rsid w:val="003E6469"/>
    <w:rsid w:val="003F58E6"/>
    <w:rsid w:val="00401382"/>
    <w:rsid w:val="004045DB"/>
    <w:rsid w:val="00417992"/>
    <w:rsid w:val="00430D73"/>
    <w:rsid w:val="00470034"/>
    <w:rsid w:val="00470FEC"/>
    <w:rsid w:val="0047775A"/>
    <w:rsid w:val="004A6051"/>
    <w:rsid w:val="004C436A"/>
    <w:rsid w:val="004C65FE"/>
    <w:rsid w:val="00534019"/>
    <w:rsid w:val="00565A48"/>
    <w:rsid w:val="005969AA"/>
    <w:rsid w:val="005A17B7"/>
    <w:rsid w:val="005A45F6"/>
    <w:rsid w:val="005B3F67"/>
    <w:rsid w:val="005B5EF0"/>
    <w:rsid w:val="005E1542"/>
    <w:rsid w:val="005F348B"/>
    <w:rsid w:val="005F5637"/>
    <w:rsid w:val="0061317C"/>
    <w:rsid w:val="006251DF"/>
    <w:rsid w:val="006320F9"/>
    <w:rsid w:val="006373F9"/>
    <w:rsid w:val="006419DF"/>
    <w:rsid w:val="006616EB"/>
    <w:rsid w:val="00664F4E"/>
    <w:rsid w:val="00673424"/>
    <w:rsid w:val="006A47F9"/>
    <w:rsid w:val="006A4B23"/>
    <w:rsid w:val="006B6EF0"/>
    <w:rsid w:val="006C366B"/>
    <w:rsid w:val="006E4EAF"/>
    <w:rsid w:val="00736C8C"/>
    <w:rsid w:val="007509E7"/>
    <w:rsid w:val="00777B26"/>
    <w:rsid w:val="00790384"/>
    <w:rsid w:val="007A2877"/>
    <w:rsid w:val="00804307"/>
    <w:rsid w:val="00820ADA"/>
    <w:rsid w:val="00840BC2"/>
    <w:rsid w:val="00841B26"/>
    <w:rsid w:val="008B676D"/>
    <w:rsid w:val="008B780E"/>
    <w:rsid w:val="008C1D3C"/>
    <w:rsid w:val="008C3E41"/>
    <w:rsid w:val="008F23B6"/>
    <w:rsid w:val="00903043"/>
    <w:rsid w:val="00925A16"/>
    <w:rsid w:val="00965C35"/>
    <w:rsid w:val="009A4D75"/>
    <w:rsid w:val="009B1426"/>
    <w:rsid w:val="00A02653"/>
    <w:rsid w:val="00A354B9"/>
    <w:rsid w:val="00A3599F"/>
    <w:rsid w:val="00A41A0A"/>
    <w:rsid w:val="00A434E5"/>
    <w:rsid w:val="00A457C6"/>
    <w:rsid w:val="00A47B0E"/>
    <w:rsid w:val="00A72840"/>
    <w:rsid w:val="00AA1246"/>
    <w:rsid w:val="00AA4DB0"/>
    <w:rsid w:val="00AA7182"/>
    <w:rsid w:val="00AF5BE3"/>
    <w:rsid w:val="00B06575"/>
    <w:rsid w:val="00B204E3"/>
    <w:rsid w:val="00B322D2"/>
    <w:rsid w:val="00B81BED"/>
    <w:rsid w:val="00B97FEB"/>
    <w:rsid w:val="00BB3544"/>
    <w:rsid w:val="00BC2FE2"/>
    <w:rsid w:val="00BD6830"/>
    <w:rsid w:val="00BD6B94"/>
    <w:rsid w:val="00BF1150"/>
    <w:rsid w:val="00C00776"/>
    <w:rsid w:val="00C01005"/>
    <w:rsid w:val="00C24AC4"/>
    <w:rsid w:val="00C27904"/>
    <w:rsid w:val="00C33AA3"/>
    <w:rsid w:val="00C5385E"/>
    <w:rsid w:val="00C6164F"/>
    <w:rsid w:val="00C975A4"/>
    <w:rsid w:val="00CA672B"/>
    <w:rsid w:val="00CB0510"/>
    <w:rsid w:val="00CC15F6"/>
    <w:rsid w:val="00CC7A5D"/>
    <w:rsid w:val="00CE575C"/>
    <w:rsid w:val="00CF3A28"/>
    <w:rsid w:val="00CF4A6A"/>
    <w:rsid w:val="00D05474"/>
    <w:rsid w:val="00D2420D"/>
    <w:rsid w:val="00D306DF"/>
    <w:rsid w:val="00D31FF7"/>
    <w:rsid w:val="00D4128E"/>
    <w:rsid w:val="00D5345D"/>
    <w:rsid w:val="00D54D4A"/>
    <w:rsid w:val="00D765AA"/>
    <w:rsid w:val="00DA2FDA"/>
    <w:rsid w:val="00DB276F"/>
    <w:rsid w:val="00DC07A8"/>
    <w:rsid w:val="00DD2CCC"/>
    <w:rsid w:val="00DF1E0B"/>
    <w:rsid w:val="00DF5510"/>
    <w:rsid w:val="00E110C6"/>
    <w:rsid w:val="00E57400"/>
    <w:rsid w:val="00EB0A77"/>
    <w:rsid w:val="00EB23CC"/>
    <w:rsid w:val="00EC24D8"/>
    <w:rsid w:val="00EE5C0E"/>
    <w:rsid w:val="00EF5EF5"/>
    <w:rsid w:val="00F00C49"/>
    <w:rsid w:val="00F04032"/>
    <w:rsid w:val="00F27197"/>
    <w:rsid w:val="00F33A55"/>
    <w:rsid w:val="00F44D31"/>
    <w:rsid w:val="00F530A2"/>
    <w:rsid w:val="00F54F79"/>
    <w:rsid w:val="00F60933"/>
    <w:rsid w:val="00F8026C"/>
    <w:rsid w:val="00F81AFB"/>
    <w:rsid w:val="00FB62C7"/>
    <w:rsid w:val="00FB7C1F"/>
    <w:rsid w:val="00FC151A"/>
    <w:rsid w:val="021B1920"/>
    <w:rsid w:val="02267981"/>
    <w:rsid w:val="0B08D896"/>
    <w:rsid w:val="0CAA451C"/>
    <w:rsid w:val="119A19A0"/>
    <w:rsid w:val="1345E8B2"/>
    <w:rsid w:val="1403C3B0"/>
    <w:rsid w:val="1817FDDA"/>
    <w:rsid w:val="1A1F15C7"/>
    <w:rsid w:val="1B128BDF"/>
    <w:rsid w:val="1B9AF77F"/>
    <w:rsid w:val="1E1571B8"/>
    <w:rsid w:val="234196C2"/>
    <w:rsid w:val="24822319"/>
    <w:rsid w:val="265B9EF2"/>
    <w:rsid w:val="33F64017"/>
    <w:rsid w:val="347155AC"/>
    <w:rsid w:val="37CFD3B3"/>
    <w:rsid w:val="3AD3E60C"/>
    <w:rsid w:val="3D21B131"/>
    <w:rsid w:val="3E97686A"/>
    <w:rsid w:val="449AF580"/>
    <w:rsid w:val="49018FE1"/>
    <w:rsid w:val="4E8B6BB0"/>
    <w:rsid w:val="53BD8DE1"/>
    <w:rsid w:val="5578AF79"/>
    <w:rsid w:val="5867FCFA"/>
    <w:rsid w:val="586FB644"/>
    <w:rsid w:val="59BC8DAF"/>
    <w:rsid w:val="5D8EFE2A"/>
    <w:rsid w:val="5E21A191"/>
    <w:rsid w:val="5FBB0F20"/>
    <w:rsid w:val="60D140CD"/>
    <w:rsid w:val="60DE9AAF"/>
    <w:rsid w:val="6A8C6450"/>
    <w:rsid w:val="6B2CC8ED"/>
    <w:rsid w:val="6CAD1ED7"/>
    <w:rsid w:val="71A4878F"/>
    <w:rsid w:val="71F49419"/>
    <w:rsid w:val="753D9D49"/>
    <w:rsid w:val="76C1B291"/>
    <w:rsid w:val="787C9351"/>
    <w:rsid w:val="79C4DAA8"/>
    <w:rsid w:val="79CE2D7D"/>
    <w:rsid w:val="7B21D6FC"/>
    <w:rsid w:val="7D59E4FB"/>
    <w:rsid w:val="7D6411A9"/>
    <w:rsid w:val="7F71C8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DC107DE"/>
  <w15:chartTrackingRefBased/>
  <w15:docId w15:val="{8A10C841-D3A7-944B-9A30-37AE5033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2"/>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10"/>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4"/>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17A63"/>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C27904"/>
    <w:rPr>
      <w:b/>
      <w:bCs/>
    </w:rPr>
  </w:style>
  <w:style w:type="character" w:customStyle="1" w:styleId="CommentSubjectChar">
    <w:name w:val="Comment Subject Char"/>
    <w:basedOn w:val="CommentTextChar"/>
    <w:link w:val="CommentSubject"/>
    <w:uiPriority w:val="99"/>
    <w:semiHidden/>
    <w:rsid w:val="00C27904"/>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csr.gov.au/information-for-healthcare-providers/accessing-the-ncsr/healthcare-provider-portal/" TargetMode="External"/><Relationship Id="rId2" Type="http://schemas.openxmlformats.org/officeDocument/2006/relationships/customXml" Target="../customXml/item2.xml"/><Relationship Id="rId16" Type="http://schemas.openxmlformats.org/officeDocument/2006/relationships/hyperlink" Target="http://www.health.gov.au/nlc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ceraustralia.gov.au/ISLCguide" TargetMode="External"/><Relationship Id="rId5" Type="http://schemas.openxmlformats.org/officeDocument/2006/relationships/numbering" Target="numbering.xml"/><Relationship Id="rId15" Type="http://schemas.openxmlformats.org/officeDocument/2006/relationships/image" Target="media/image5.png"/><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msac.gov.au/internet/msac/publishing.nsf/Content/1699-public" TargetMode="External"/><Relationship Id="rId1" Type="http://schemas.openxmlformats.org/officeDocument/2006/relationships/hyperlink" Target="https://www.aihw.gov.au/reports/cancer/cancer-in-australia-2021/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2175B49-0916-4811-99E8-2BF393C7CA36}">
    <t:Anchor>
      <t:Comment id="507020320"/>
    </t:Anchor>
    <t:History>
      <t:Event id="{80DBB892-2015-4890-B0D3-4EC84B503D23}" time="2025-04-07T23:32:45.909Z">
        <t:Attribution userId="S::elise.harding@health.gov.au::bb2f9722-d90c-48bf-8347-3eb771c9630a" userProvider="AD" userName="HARDING, Elise"/>
        <t:Anchor>
          <t:Comment id="507020320"/>
        </t:Anchor>
        <t:Create/>
      </t:Event>
      <t:Event id="{686BDC2C-9975-4099-A52C-02237644D635}" time="2025-04-07T23:32:45.909Z">
        <t:Attribution userId="S::elise.harding@health.gov.au::bb2f9722-d90c-48bf-8347-3eb771c9630a" userProvider="AD" userName="HARDING, Elise"/>
        <t:Anchor>
          <t:Comment id="507020320"/>
        </t:Anchor>
        <t:Assign userId="S::Shreya.GANGOPADHYAY@Health.gov.au::f0d18d5c-afd0-47da-b508-0886d8414e25" userProvider="AD" userName="GANGOPADHYAY, Shreya"/>
      </t:Event>
      <t:Event id="{3846413A-15C5-45D9-BF01-2C735026EDFE}" time="2025-04-07T23:32:45.909Z">
        <t:Attribution userId="S::elise.harding@health.gov.au::bb2f9722-d90c-48bf-8347-3eb771c9630a" userProvider="AD" userName="HARDING, Elise"/>
        <t:Anchor>
          <t:Comment id="507020320"/>
        </t:Anchor>
        <t:SetTitle title="@GANGOPADHYAY, Shreya @STASSINOPOULOS, Alex for discussion: do we want to add: &quot;Once an individual is participating in the program, their smoking history eligibility criteria does not need to be re-assessed. To remain eligible, the participant must b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1DFA4-6B4F-4FFD-B86E-33C4AF24EE3B}">
  <ds:schemaRefs>
    <ds:schemaRef ds:uri="http://schemas.microsoft.com/sharepoint/v3/contenttype/forms"/>
  </ds:schemaRefs>
</ds:datastoreItem>
</file>

<file path=customXml/itemProps2.xml><?xml version="1.0" encoding="utf-8"?>
<ds:datastoreItem xmlns:ds="http://schemas.openxmlformats.org/officeDocument/2006/customXml" ds:itemID="{E95D2810-E372-4136-99CD-8A8A8B56B191}">
  <ds:schemaRefs>
    <ds:schemaRef ds:uri="http://purl.org/dc/elements/1.1/"/>
    <ds:schemaRef ds:uri="234a1180-165c-4ddb-a7a0-8c33db459a51"/>
    <ds:schemaRef ds:uri="http://schemas.microsoft.com/office/2006/metadata/properties"/>
    <ds:schemaRef ds:uri="http://purl.org/dc/terms/"/>
    <ds:schemaRef ds:uri="http://schemas.microsoft.com/office/2006/documentManagement/types"/>
    <ds:schemaRef ds:uri="http://schemas.openxmlformats.org/package/2006/metadata/core-properties"/>
    <ds:schemaRef ds:uri="6a11bf8d-7caa-406f-aac4-39f7ba1f5f2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A055BFDB-457A-42EA-B436-BDFE05A15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Get your practice ready for the National Lung Cancer Screening Program</dc:title>
  <dc:subject>National Lung Cancer Screening Program (NLCSP)</dc:subject>
  <dc:creator>Australian Government Department of Health and Aged Care</dc:creator>
  <cp:keywords>Cancer</cp:keywords>
  <dc:description/>
  <cp:revision>2</cp:revision>
  <dcterms:created xsi:type="dcterms:W3CDTF">2025-04-28T04:22:00Z</dcterms:created>
  <dcterms:modified xsi:type="dcterms:W3CDTF">2025-04-28T04:22:00Z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ies>
</file>