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D6425" w14:textId="0ABF00AF" w:rsidR="006B0128" w:rsidRPr="002657C0" w:rsidRDefault="006B0128" w:rsidP="002657C0">
      <w:pPr>
        <w:rPr>
          <w:rFonts w:ascii="Franklin Gothic Medium" w:hAnsi="Franklin Gothic Medium"/>
          <w:sz w:val="24"/>
          <w:szCs w:val="24"/>
        </w:rPr>
      </w:pPr>
      <w:r w:rsidRPr="002657C0">
        <w:rPr>
          <w:rFonts w:ascii="Franklin Gothic Medium" w:hAnsi="Franklin Gothic Medium"/>
          <w:sz w:val="24"/>
          <w:szCs w:val="24"/>
        </w:rPr>
        <w:t>Medical Research Future Fund</w:t>
      </w:r>
    </w:p>
    <w:p w14:paraId="141124D0" w14:textId="7F562162" w:rsidR="004E620D" w:rsidRPr="00776E33" w:rsidRDefault="006B0128" w:rsidP="006B0128">
      <w:pPr>
        <w:pStyle w:val="Heading1"/>
        <w:pageBreakBefore w:val="0"/>
        <w:rPr>
          <w:rFonts w:ascii="Franklin Gothic Medium" w:hAnsi="Franklin Gothic Medium"/>
          <w:b w:val="0"/>
          <w:bCs w:val="0"/>
        </w:rPr>
      </w:pPr>
      <w:r w:rsidRPr="00776E33">
        <w:rPr>
          <w:rFonts w:ascii="Franklin Gothic Medium" w:hAnsi="Franklin Gothic Medium"/>
          <w:b w:val="0"/>
          <w:bCs w:val="0"/>
        </w:rPr>
        <w:t>Traumatic Brain Injury Mission</w:t>
      </w:r>
      <w:r w:rsidR="002C1F19">
        <w:rPr>
          <w:rFonts w:ascii="Franklin Gothic Medium" w:hAnsi="Franklin Gothic Medium"/>
          <w:b w:val="0"/>
          <w:bCs w:val="0"/>
        </w:rPr>
        <w:t xml:space="preserve"> roadmap</w:t>
      </w:r>
    </w:p>
    <w:p w14:paraId="5D0446A1" w14:textId="4BBA0BE0" w:rsidR="006B0128" w:rsidRDefault="006B0128" w:rsidP="006B0128">
      <w:r>
        <w:t>The Traumatic Brain Injury (TBI) Mission will provide $50 million over 10 years under the Medical Research Future Fund (MRFF) to support research designed to improve the lives of all Australians who experience TBI.</w:t>
      </w:r>
    </w:p>
    <w:p w14:paraId="31804718" w14:textId="548207C9" w:rsidR="006B0128" w:rsidRDefault="006B0128" w:rsidP="006B0128">
      <w:r>
        <w:t>TBI arises from a range of circumstances, including concussion while playing sport, falls in older people or severe injury after major trauma. The resulting injuries are diverse in presentation, vary in severity from mild to severe, and can lead to dramatic and often long-lasting negative consequences for patients, their families and caregivers. TBI can also involve significant health care resources and have a substantial effect on society. Research under this mission will build the evidence base and drive improvements in TBI care, as well as innovate new strategies for treatment, rehabilitation and community integration.</w:t>
      </w:r>
    </w:p>
    <w:p w14:paraId="1B719ADD" w14:textId="7845E780" w:rsidR="00A021A8" w:rsidRPr="00776E33" w:rsidRDefault="00A021A8" w:rsidP="00A021A8">
      <w:pPr>
        <w:pStyle w:val="Heading2"/>
        <w:rPr>
          <w:rFonts w:ascii="Franklin Gothic Medium" w:hAnsi="Franklin Gothic Medium"/>
          <w:b w:val="0"/>
          <w:bCs w:val="0"/>
        </w:rPr>
      </w:pPr>
      <w:r w:rsidRPr="00776E33">
        <w:rPr>
          <w:rFonts w:ascii="Franklin Gothic Medium" w:hAnsi="Franklin Gothic Medium"/>
          <w:b w:val="0"/>
          <w:bCs w:val="0"/>
        </w:rPr>
        <w:t>Scope</w:t>
      </w:r>
    </w:p>
    <w:p w14:paraId="151FE4E3" w14:textId="77777777" w:rsidR="00A021A8" w:rsidRDefault="00A021A8" w:rsidP="00A021A8">
      <w:pPr>
        <w:pStyle w:val="NormalBeforeBullet"/>
      </w:pPr>
      <w:r>
        <w:t>The TBI Mission will invest in research that:</w:t>
      </w:r>
    </w:p>
    <w:p w14:paraId="0917EE2B" w14:textId="77777777" w:rsidR="00A021A8" w:rsidRDefault="00A021A8" w:rsidP="00A021A8">
      <w:pPr>
        <w:pStyle w:val="Bullet"/>
      </w:pPr>
      <w:r>
        <w:t>identifies predictors of outcomes that facilitate personalisation of care following TBI</w:t>
      </w:r>
    </w:p>
    <w:p w14:paraId="6379F824" w14:textId="77777777" w:rsidR="00A021A8" w:rsidRDefault="00A021A8" w:rsidP="00A021A8">
      <w:pPr>
        <w:pStyle w:val="Bullet"/>
      </w:pPr>
      <w:r>
        <w:t>develops and assesses interventions that improve lives following TBI</w:t>
      </w:r>
    </w:p>
    <w:p w14:paraId="50ACFD17" w14:textId="77777777" w:rsidR="00A021A8" w:rsidRDefault="00A021A8" w:rsidP="00A021A8">
      <w:pPr>
        <w:pStyle w:val="Bullet"/>
      </w:pPr>
      <w:r>
        <w:t>identifies opportunities for improvement in care</w:t>
      </w:r>
    </w:p>
    <w:p w14:paraId="0169CAFB" w14:textId="77777777" w:rsidR="00A021A8" w:rsidRDefault="00A021A8" w:rsidP="00A021A8">
      <w:pPr>
        <w:pStyle w:val="Bullet"/>
      </w:pPr>
      <w:r>
        <w:t>investigates effective pathways to translate research findings into nationally consistent clinical practice</w:t>
      </w:r>
    </w:p>
    <w:p w14:paraId="24F33152" w14:textId="77777777" w:rsidR="00A021A8" w:rsidRDefault="00A021A8" w:rsidP="00A021A8">
      <w:pPr>
        <w:pStyle w:val="Bullet"/>
      </w:pPr>
      <w:r>
        <w:t>identifies best management for people with TBI in the presence of other injuries and comorbidities</w:t>
      </w:r>
    </w:p>
    <w:p w14:paraId="236EC1B8" w14:textId="77777777" w:rsidR="00A021A8" w:rsidRDefault="00A021A8" w:rsidP="00A021A8">
      <w:pPr>
        <w:pStyle w:val="Bullet"/>
      </w:pPr>
      <w:r>
        <w:t>identifies mechanisms for improving public awareness to help people with TBI integrate into the community</w:t>
      </w:r>
    </w:p>
    <w:p w14:paraId="2CCF235F" w14:textId="6B0A6545" w:rsidR="00A021A8" w:rsidRDefault="00A021A8" w:rsidP="00A021A8">
      <w:pPr>
        <w:pStyle w:val="BulletLast"/>
      </w:pPr>
      <w:r>
        <w:t>supports evolution of TBI management and care</w:t>
      </w:r>
    </w:p>
    <w:p w14:paraId="08DBE61B" w14:textId="413083D6" w:rsidR="00A021A8" w:rsidRPr="00776E33" w:rsidRDefault="00A021A8" w:rsidP="00A021A8">
      <w:pPr>
        <w:pStyle w:val="Heading2"/>
        <w:rPr>
          <w:rFonts w:ascii="Franklin Gothic Medium" w:hAnsi="Franklin Gothic Medium"/>
          <w:b w:val="0"/>
          <w:bCs w:val="0"/>
        </w:rPr>
      </w:pPr>
      <w:r w:rsidRPr="00776E33">
        <w:rPr>
          <w:rFonts w:ascii="Franklin Gothic Medium" w:hAnsi="Franklin Gothic Medium"/>
          <w:b w:val="0"/>
          <w:bCs w:val="0"/>
        </w:rPr>
        <w:t>Our goal</w:t>
      </w:r>
    </w:p>
    <w:p w14:paraId="7D3E8965" w14:textId="3684EB9E" w:rsidR="00A021A8" w:rsidRDefault="00A021A8" w:rsidP="00A021A8">
      <w:r w:rsidRPr="00A021A8">
        <w:t>To better predict recovery outcomes after a TBI, identify the most effective care and treatments and reduce barriers to support people to live their best possible life after TBI.</w:t>
      </w:r>
    </w:p>
    <w:p w14:paraId="244FD24F" w14:textId="3ED841BE" w:rsidR="00A021A8" w:rsidRPr="00776E33" w:rsidRDefault="00A021A8" w:rsidP="00A021A8">
      <w:pPr>
        <w:pStyle w:val="Heading2"/>
        <w:rPr>
          <w:rFonts w:ascii="Franklin Gothic Medium" w:hAnsi="Franklin Gothic Medium"/>
          <w:b w:val="0"/>
          <w:bCs w:val="0"/>
        </w:rPr>
      </w:pPr>
      <w:r w:rsidRPr="00776E33">
        <w:rPr>
          <w:rFonts w:ascii="Franklin Gothic Medium" w:hAnsi="Franklin Gothic Medium"/>
          <w:b w:val="0"/>
          <w:bCs w:val="0"/>
        </w:rPr>
        <w:t>Our mission</w:t>
      </w:r>
    </w:p>
    <w:p w14:paraId="095EF902" w14:textId="2678B8B2" w:rsidR="00A021A8" w:rsidRDefault="00A021A8" w:rsidP="00A021A8">
      <w:r>
        <w:t>To accelerate Australian TBI research that develops and delivers innovative and effective treatments that substantially and equitably optimise and improve outcomes for people who experience TBI, in partnership with people with TBI and carers.</w:t>
      </w:r>
    </w:p>
    <w:p w14:paraId="00524C86" w14:textId="179F8D95" w:rsidR="00A021A8" w:rsidRPr="00776E33" w:rsidRDefault="00A021A8" w:rsidP="00A021A8">
      <w:pPr>
        <w:pStyle w:val="Heading2"/>
        <w:rPr>
          <w:rFonts w:ascii="Franklin Gothic Medium" w:hAnsi="Franklin Gothic Medium"/>
          <w:b w:val="0"/>
          <w:bCs w:val="0"/>
        </w:rPr>
      </w:pPr>
      <w:r w:rsidRPr="00776E33">
        <w:rPr>
          <w:rFonts w:ascii="Franklin Gothic Medium" w:hAnsi="Franklin Gothic Medium"/>
          <w:b w:val="0"/>
          <w:bCs w:val="0"/>
        </w:rPr>
        <w:t>Funding principles</w:t>
      </w:r>
    </w:p>
    <w:p w14:paraId="54307162" w14:textId="77777777" w:rsidR="00A021A8" w:rsidRDefault="00A021A8" w:rsidP="00A021A8">
      <w:pPr>
        <w:pStyle w:val="NormalBeforeBullet"/>
      </w:pPr>
      <w:r>
        <w:t>Activities funded under this mission should:</w:t>
      </w:r>
    </w:p>
    <w:p w14:paraId="2CD3273B" w14:textId="77777777" w:rsidR="00A021A8" w:rsidRDefault="00A021A8" w:rsidP="00A021A8">
      <w:pPr>
        <w:pStyle w:val="Bullet"/>
      </w:pPr>
      <w:r>
        <w:t xml:space="preserve">be, or contribute to, large programs of work of national strategic importance that are informed by the key priority areas outlined in the implementation plan. The research activities are </w:t>
      </w:r>
      <w:r>
        <w:lastRenderedPageBreak/>
        <w:t>expected to foster collaboration and harness resources across the system to deliver improved health outcomes for Australians</w:t>
      </w:r>
    </w:p>
    <w:p w14:paraId="7B83CD45" w14:textId="77777777" w:rsidR="00A021A8" w:rsidRDefault="00A021A8" w:rsidP="00A021A8">
      <w:pPr>
        <w:pStyle w:val="Bullet"/>
      </w:pPr>
      <w:r>
        <w:t>support nationally integrated, coordinated and evidence-based TBI research of the highest quality that leads to the development of standardised and optimised models of care, translation into existing service delivery frameworks and improved outcomes</w:t>
      </w:r>
    </w:p>
    <w:p w14:paraId="146C2EA6" w14:textId="77777777" w:rsidR="00A021A8" w:rsidRDefault="00A021A8" w:rsidP="00A021A8">
      <w:pPr>
        <w:pStyle w:val="Bullet"/>
      </w:pPr>
      <w:r>
        <w:t>support optimised TBI care in regional, rural and remote Australia, in particular the vulnerable populations of Aboriginal and/or Torres Strait Islander people, and culturally and linguistically diverse people with TBI</w:t>
      </w:r>
    </w:p>
    <w:p w14:paraId="31ED5757" w14:textId="77777777" w:rsidR="00A021A8" w:rsidRDefault="00A021A8" w:rsidP="00A021A8">
      <w:pPr>
        <w:pStyle w:val="Bullet"/>
      </w:pPr>
      <w:r>
        <w:t>be co-designed in partnership with people with TBI, their families and the wider community</w:t>
      </w:r>
    </w:p>
    <w:p w14:paraId="10625C73" w14:textId="77777777" w:rsidR="00A021A8" w:rsidRDefault="00A021A8" w:rsidP="00A021A8">
      <w:pPr>
        <w:pStyle w:val="Bullet"/>
      </w:pPr>
      <w:r>
        <w:t>include a data governance framework that encompasses accessibility, data linkage and value for money</w:t>
      </w:r>
    </w:p>
    <w:p w14:paraId="56DD8116" w14:textId="77777777" w:rsidR="00A021A8" w:rsidRDefault="00A021A8" w:rsidP="00A021A8">
      <w:pPr>
        <w:pStyle w:val="Bullet"/>
      </w:pPr>
      <w:r>
        <w:t>integrate with service delivery to inform prevention opportunities, including in vulnerable populations</w:t>
      </w:r>
    </w:p>
    <w:p w14:paraId="5A264A0C" w14:textId="77777777" w:rsidR="00A021A8" w:rsidRDefault="00A021A8" w:rsidP="00A021A8">
      <w:pPr>
        <w:pStyle w:val="Bullet"/>
      </w:pPr>
      <w:r>
        <w:t>encompass multicentre research including rural clinical researchers and Aboriginal and/or Torres Strait Islander researchers, linked with international efforts and in line with world best practice</w:t>
      </w:r>
    </w:p>
    <w:p w14:paraId="5F0744CD" w14:textId="09F3892D" w:rsidR="00A021A8" w:rsidRDefault="00A021A8" w:rsidP="00A021A8">
      <w:pPr>
        <w:pStyle w:val="BulletLast"/>
      </w:pPr>
      <w:r>
        <w:t>support collaboration with other missions, funding bodies and relevant philanthropic organisations to ensure sustainable and continuous improvement in TBI outcomes for all Australians</w:t>
      </w:r>
    </w:p>
    <w:p w14:paraId="5EE23C84" w14:textId="7352ED33" w:rsidR="00A021A8" w:rsidRPr="00776E33" w:rsidRDefault="00A021A8" w:rsidP="00A021A8">
      <w:pPr>
        <w:pStyle w:val="Heading2"/>
        <w:rPr>
          <w:rFonts w:ascii="Franklin Gothic Medium" w:hAnsi="Franklin Gothic Medium"/>
          <w:b w:val="0"/>
          <w:bCs w:val="0"/>
        </w:rPr>
      </w:pPr>
      <w:r w:rsidRPr="00776E33">
        <w:rPr>
          <w:rFonts w:ascii="Franklin Gothic Medium" w:hAnsi="Franklin Gothic Medium"/>
          <w:b w:val="0"/>
          <w:bCs w:val="0"/>
        </w:rPr>
        <w:t>Priority areas for investment</w:t>
      </w:r>
    </w:p>
    <w:p w14:paraId="646807B8" w14:textId="77777777" w:rsidR="00A021A8" w:rsidRDefault="00A021A8" w:rsidP="00A021A8">
      <w:pPr>
        <w:pStyle w:val="NormalBeforeBullet"/>
      </w:pPr>
      <w:r>
        <w:t>Funding will focus on:</w:t>
      </w:r>
    </w:p>
    <w:p w14:paraId="7EC0CD5E" w14:textId="77777777" w:rsidR="00A021A8" w:rsidRDefault="00A021A8" w:rsidP="00A021A8">
      <w:pPr>
        <w:pStyle w:val="Bullet"/>
      </w:pPr>
      <w:r>
        <w:t>personalising care after moderate to severe TBI to achieve the best possible outcomes, including using predictive modelling to improve care pathways and outcomes, and helping to ensure that patients consistently receive best-practice treatment and care for moderate to severe TBI</w:t>
      </w:r>
    </w:p>
    <w:p w14:paraId="2FCD83E6" w14:textId="77777777" w:rsidR="00604D80" w:rsidRDefault="00A021A8" w:rsidP="00A021A8">
      <w:pPr>
        <w:pStyle w:val="Bullet"/>
      </w:pPr>
      <w:r>
        <w:t>improving the lives of people with TBI by using better interventions, including new treatments and care applications for moderate to severe TBI, enhanced rehabilitation for people with moderate to severe TBI, and helping to ensure that patients consistently receive best-practice treatment and care for mild TBI</w:t>
      </w:r>
    </w:p>
    <w:p w14:paraId="4F62BFC1" w14:textId="0D0C66B9" w:rsidR="00A021A8" w:rsidRDefault="00A021A8" w:rsidP="00604D80">
      <w:pPr>
        <w:pStyle w:val="BulletLast"/>
      </w:pPr>
      <w:r>
        <w:t>identifying how to reduce barriers to support people to live their best possible life after TBI, including understanding the impact of community awareness on health and psychosocial outcomes, reducing inequalities in treatment and care, and assessing cost-effectiveness of TBI treatments and pathways</w:t>
      </w:r>
    </w:p>
    <w:p w14:paraId="299E8B3B" w14:textId="77777777" w:rsidR="00940F4E" w:rsidRPr="00776E33" w:rsidRDefault="00940F4E" w:rsidP="00940F4E">
      <w:pPr>
        <w:pStyle w:val="Heading3"/>
        <w:rPr>
          <w:rFonts w:ascii="Franklin Gothic Medium" w:hAnsi="Franklin Gothic Medium"/>
          <w:b w:val="0"/>
          <w:bCs w:val="0"/>
        </w:rPr>
      </w:pPr>
      <w:r w:rsidRPr="00776E33">
        <w:rPr>
          <w:rFonts w:ascii="Franklin Gothic Medium" w:hAnsi="Franklin Gothic Medium"/>
          <w:b w:val="0"/>
          <w:bCs w:val="0"/>
        </w:rPr>
        <w:t>Personalising care</w:t>
      </w:r>
    </w:p>
    <w:p w14:paraId="4250148D" w14:textId="77777777" w:rsidR="00940F4E" w:rsidRDefault="00940F4E" w:rsidP="00940F4E">
      <w:r>
        <w:t>The mission may support national collaborative initiatives that build the evidence base for the effects of a range of factors on long-term outcomes, including pre-injury, injury-related factors, treatment, management and rehabilitation. This may help predict outcomes following TBI and inform optimal care, enabling personalisation of care and development of clinical practice guidelines. People with lived experience of TBI, and experts in all areas of TBI research, should be included in the research.</w:t>
      </w:r>
    </w:p>
    <w:p w14:paraId="15312EF4" w14:textId="77777777" w:rsidR="00940F4E" w:rsidRPr="00776E33" w:rsidRDefault="00940F4E" w:rsidP="00940F4E">
      <w:pPr>
        <w:pStyle w:val="Heading3"/>
        <w:rPr>
          <w:rFonts w:ascii="Franklin Gothic Medium" w:hAnsi="Franklin Gothic Medium"/>
          <w:b w:val="0"/>
          <w:bCs w:val="0"/>
        </w:rPr>
      </w:pPr>
      <w:r w:rsidRPr="00776E33">
        <w:rPr>
          <w:rFonts w:ascii="Franklin Gothic Medium" w:hAnsi="Franklin Gothic Medium"/>
          <w:b w:val="0"/>
          <w:bCs w:val="0"/>
        </w:rPr>
        <w:t>Improving interventions</w:t>
      </w:r>
    </w:p>
    <w:p w14:paraId="14DAF1F2" w14:textId="1FFAD4E4" w:rsidR="00940F4E" w:rsidRDefault="00940F4E" w:rsidP="00940F4E">
      <w:r>
        <w:t xml:space="preserve">Rigorous testing of interventions and innovations in care delivery is needed to substantially improve outcomes for people with TBI. The mission may fund multicentre trials or national collaborative trials of promising treatments and interventions for concussion, moderate or severe TBI. Trials of </w:t>
      </w:r>
      <w:r>
        <w:lastRenderedPageBreak/>
        <w:t>interventions that are appropriate for regional</w:t>
      </w:r>
      <w:r w:rsidR="00604D80">
        <w:t xml:space="preserve"> </w:t>
      </w:r>
      <w:r>
        <w:t>and remote Australia, including vulnerable populations, are also needed. For maximum effectiveness, projects need to build on collaborative data frameworks to enable data sharing, linkage and efficient study design.</w:t>
      </w:r>
    </w:p>
    <w:p w14:paraId="2E809B52" w14:textId="77777777" w:rsidR="00940F4E" w:rsidRPr="00776E33" w:rsidRDefault="00940F4E" w:rsidP="00604D80">
      <w:pPr>
        <w:pStyle w:val="Heading3"/>
        <w:rPr>
          <w:rFonts w:ascii="Franklin Gothic Medium" w:hAnsi="Franklin Gothic Medium"/>
          <w:b w:val="0"/>
          <w:bCs w:val="0"/>
        </w:rPr>
      </w:pPr>
      <w:r w:rsidRPr="00776E33">
        <w:rPr>
          <w:rFonts w:ascii="Franklin Gothic Medium" w:hAnsi="Franklin Gothic Medium"/>
          <w:b w:val="0"/>
          <w:bCs w:val="0"/>
        </w:rPr>
        <w:t>Reducing barriers</w:t>
      </w:r>
    </w:p>
    <w:p w14:paraId="6E4709D3" w14:textId="6F7675A0" w:rsidR="00940F4E" w:rsidRDefault="00940F4E" w:rsidP="00940F4E">
      <w:r>
        <w:t>The community lacks awareness about</w:t>
      </w:r>
      <w:r w:rsidR="00604D80">
        <w:t xml:space="preserve"> </w:t>
      </w:r>
      <w:r>
        <w:t>the possible consequences of concussion and the difficulties faced by people with more severe TBI reintegrating with the community. Evidence-based materials</w:t>
      </w:r>
      <w:r w:rsidR="00604D80">
        <w:t xml:space="preserve"> </w:t>
      </w:r>
      <w:r>
        <w:t>need to be made more readily available to clinicians to increase implementation of</w:t>
      </w:r>
      <w:r w:rsidR="00604D80">
        <w:t xml:space="preserve"> </w:t>
      </w:r>
      <w:r>
        <w:t>best practice and optimisation of care for all Australians. The true incidence and cost of TBI to the Australian health care system and community is unknown, and data are needed to inform current and future investment policy. Projects may collaborate with other MRFF initiatives to enhance translation</w:t>
      </w:r>
      <w:r w:rsidR="00604D80">
        <w:t xml:space="preserve"> </w:t>
      </w:r>
      <w:r>
        <w:t>of continuous improvements, and ensure ethical and equitable access to best-practice personalised care.</w:t>
      </w:r>
    </w:p>
    <w:p w14:paraId="2E8B7F73" w14:textId="1E022670" w:rsidR="00604D80" w:rsidRPr="00776E33" w:rsidRDefault="00604D80" w:rsidP="00604D80">
      <w:pPr>
        <w:pStyle w:val="Heading2"/>
        <w:rPr>
          <w:rFonts w:ascii="Franklin Gothic Medium" w:hAnsi="Franklin Gothic Medium"/>
          <w:b w:val="0"/>
          <w:bCs w:val="0"/>
        </w:rPr>
      </w:pPr>
      <w:r w:rsidRPr="00776E33">
        <w:rPr>
          <w:rFonts w:ascii="Franklin Gothic Medium" w:hAnsi="Franklin Gothic Medium"/>
          <w:b w:val="0"/>
          <w:bCs w:val="0"/>
        </w:rPr>
        <w:t>Enabling priorities</w:t>
      </w:r>
    </w:p>
    <w:p w14:paraId="4664A0E3" w14:textId="77777777" w:rsidR="00604D80" w:rsidRPr="00776E33" w:rsidRDefault="00604D80" w:rsidP="00604D80">
      <w:pPr>
        <w:pStyle w:val="Heading3"/>
        <w:rPr>
          <w:rFonts w:ascii="Franklin Gothic Medium" w:hAnsi="Franklin Gothic Medium"/>
          <w:b w:val="0"/>
          <w:bCs w:val="0"/>
        </w:rPr>
      </w:pPr>
      <w:r w:rsidRPr="00776E33">
        <w:rPr>
          <w:rFonts w:ascii="Franklin Gothic Medium" w:hAnsi="Franklin Gothic Medium"/>
          <w:b w:val="0"/>
          <w:bCs w:val="0"/>
        </w:rPr>
        <w:t>Infrastructure</w:t>
      </w:r>
    </w:p>
    <w:p w14:paraId="1D7D037A" w14:textId="77777777" w:rsidR="00604D80" w:rsidRDefault="00604D80" w:rsidP="00604D80">
      <w:r>
        <w:t>The MRFF has opportunities outside this mission to support ‘soft’ infrastructure, such as data portals, multi-</w:t>
      </w:r>
      <w:proofErr w:type="spellStart"/>
      <w:r>
        <w:t>omic</w:t>
      </w:r>
      <w:proofErr w:type="spellEnd"/>
      <w:r>
        <w:t xml:space="preserve"> platforms and computational bioinformatics. Additional funding may be required to support development and implementation of collaborative data platforms for key data elements, to maximise linkage and enable tracking across the continuum of care for TBI. Support may also be required to develop infrastructure for biorepositories.</w:t>
      </w:r>
    </w:p>
    <w:p w14:paraId="5FFB1F15" w14:textId="77777777" w:rsidR="00604D80" w:rsidRPr="00776E33" w:rsidRDefault="00604D80" w:rsidP="00604D80">
      <w:pPr>
        <w:pStyle w:val="Heading3"/>
        <w:rPr>
          <w:rFonts w:ascii="Franklin Gothic Medium" w:hAnsi="Franklin Gothic Medium"/>
          <w:b w:val="0"/>
          <w:bCs w:val="0"/>
        </w:rPr>
      </w:pPr>
      <w:r w:rsidRPr="00776E33">
        <w:rPr>
          <w:rFonts w:ascii="Franklin Gothic Medium" w:hAnsi="Franklin Gothic Medium"/>
          <w:b w:val="0"/>
          <w:bCs w:val="0"/>
        </w:rPr>
        <w:t>Ethics, engagement and policy</w:t>
      </w:r>
    </w:p>
    <w:p w14:paraId="68A0867F" w14:textId="77777777" w:rsidR="00604D80" w:rsidRDefault="00604D80" w:rsidP="00604D80">
      <w:pPr>
        <w:pStyle w:val="NormalBeforeBullet"/>
      </w:pPr>
      <w:r>
        <w:t>This mission includes opportunities to raise awareness of TBI, embed community engagement in funded research projects and inform clinicians about evidence-based best practice. Partnerships with nongovernment organisations and additional government support from outside the MRFF (including the National Disability Insurance Scheme) will be needed to:</w:t>
      </w:r>
    </w:p>
    <w:p w14:paraId="6C4A90E7" w14:textId="77777777" w:rsidR="00604D80" w:rsidRDefault="00604D80" w:rsidP="00604D80">
      <w:pPr>
        <w:pStyle w:val="Bullet"/>
      </w:pPr>
      <w:r>
        <w:t>support research on the ethical, legal and social implications of TBI treatment</w:t>
      </w:r>
    </w:p>
    <w:p w14:paraId="1513225E" w14:textId="77777777" w:rsidR="00604D80" w:rsidRDefault="00604D80" w:rsidP="00604D80">
      <w:pPr>
        <w:pStyle w:val="Bullet"/>
      </w:pPr>
      <w:r>
        <w:t>continually raise awareness of TBI in the community</w:t>
      </w:r>
    </w:p>
    <w:p w14:paraId="37E4B780" w14:textId="698B0386" w:rsidR="00604D80" w:rsidRDefault="00604D80" w:rsidP="00604D80">
      <w:pPr>
        <w:pStyle w:val="BulletLast"/>
      </w:pPr>
      <w:r>
        <w:t>ensure translation of research findings, service delivery and equity of access to best-practice treatments for TBI</w:t>
      </w:r>
    </w:p>
    <w:p w14:paraId="5C607387" w14:textId="77777777" w:rsidR="00604D80" w:rsidRPr="00776E33" w:rsidRDefault="00604D80" w:rsidP="00604D80">
      <w:pPr>
        <w:pStyle w:val="Heading3"/>
        <w:rPr>
          <w:rFonts w:ascii="Franklin Gothic Medium" w:hAnsi="Franklin Gothic Medium"/>
          <w:b w:val="0"/>
          <w:bCs w:val="0"/>
        </w:rPr>
      </w:pPr>
      <w:r w:rsidRPr="00776E33">
        <w:rPr>
          <w:rFonts w:ascii="Franklin Gothic Medium" w:hAnsi="Franklin Gothic Medium"/>
          <w:b w:val="0"/>
          <w:bCs w:val="0"/>
        </w:rPr>
        <w:t>Capacity building and workforce</w:t>
      </w:r>
    </w:p>
    <w:p w14:paraId="53895494" w14:textId="7BF75334" w:rsidR="00604D80" w:rsidRPr="00604D80" w:rsidRDefault="00604D80" w:rsidP="00604D80">
      <w:r>
        <w:t>Highly skilled researchers trained in the multidisciplinary environment of brain injury research and care are needed to accelerate the development of world-leading treatments. The next generation of TBI researchers will need to be supported.</w:t>
      </w:r>
    </w:p>
    <w:sectPr w:rsidR="00604D80" w:rsidRPr="00604D80">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AC3ED" w14:textId="77777777" w:rsidR="00A26782" w:rsidRDefault="00A26782" w:rsidP="00776E33">
      <w:pPr>
        <w:spacing w:after="0"/>
      </w:pPr>
      <w:r>
        <w:separator/>
      </w:r>
    </w:p>
  </w:endnote>
  <w:endnote w:type="continuationSeparator" w:id="0">
    <w:p w14:paraId="6302A8E8" w14:textId="77777777" w:rsidR="00A26782" w:rsidRDefault="00A26782" w:rsidP="00776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729462"/>
      <w:docPartObj>
        <w:docPartGallery w:val="Page Numbers (Bottom of Page)"/>
        <w:docPartUnique/>
      </w:docPartObj>
    </w:sdtPr>
    <w:sdtEndPr>
      <w:rPr>
        <w:rStyle w:val="PageNumber"/>
      </w:rPr>
    </w:sdtEndPr>
    <w:sdtContent>
      <w:p w14:paraId="5E9B8FB8" w14:textId="4DC7C963" w:rsidR="00776E33" w:rsidRDefault="00776E33" w:rsidP="00F73F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E51D23" w14:textId="77777777" w:rsidR="00776E33" w:rsidRDefault="00776E33" w:rsidP="00776E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6940103"/>
      <w:docPartObj>
        <w:docPartGallery w:val="Page Numbers (Bottom of Page)"/>
        <w:docPartUnique/>
      </w:docPartObj>
    </w:sdtPr>
    <w:sdtEndPr>
      <w:rPr>
        <w:rStyle w:val="PageNumber"/>
        <w:rFonts w:ascii="Calibri" w:hAnsi="Calibri"/>
        <w:b w:val="0"/>
        <w:bCs/>
      </w:rPr>
    </w:sdtEndPr>
    <w:sdtContent>
      <w:p w14:paraId="5FFC7C5B" w14:textId="7DB96580" w:rsidR="00776E33" w:rsidRPr="00776E33" w:rsidRDefault="00776E33" w:rsidP="00F73FB8">
        <w:pPr>
          <w:pStyle w:val="Footer"/>
          <w:framePr w:wrap="none" w:vAnchor="text" w:hAnchor="margin" w:xAlign="right" w:y="1"/>
          <w:rPr>
            <w:rStyle w:val="PageNumber"/>
            <w:rFonts w:ascii="Calibri" w:hAnsi="Calibri"/>
            <w:b w:val="0"/>
            <w:bCs/>
          </w:rPr>
        </w:pPr>
        <w:r w:rsidRPr="00776E33">
          <w:rPr>
            <w:rStyle w:val="PageNumber"/>
            <w:rFonts w:ascii="Calibri" w:hAnsi="Calibri"/>
            <w:b w:val="0"/>
            <w:bCs/>
          </w:rPr>
          <w:fldChar w:fldCharType="begin"/>
        </w:r>
        <w:r w:rsidRPr="00776E33">
          <w:rPr>
            <w:rStyle w:val="PageNumber"/>
            <w:rFonts w:ascii="Calibri" w:hAnsi="Calibri"/>
            <w:b w:val="0"/>
            <w:bCs/>
          </w:rPr>
          <w:instrText xml:space="preserve"> PAGE </w:instrText>
        </w:r>
        <w:r w:rsidRPr="00776E33">
          <w:rPr>
            <w:rStyle w:val="PageNumber"/>
            <w:rFonts w:ascii="Calibri" w:hAnsi="Calibri"/>
            <w:b w:val="0"/>
            <w:bCs/>
          </w:rPr>
          <w:fldChar w:fldCharType="separate"/>
        </w:r>
        <w:r w:rsidRPr="00776E33">
          <w:rPr>
            <w:rStyle w:val="PageNumber"/>
            <w:rFonts w:ascii="Calibri" w:hAnsi="Calibri"/>
            <w:b w:val="0"/>
            <w:bCs/>
            <w:noProof/>
          </w:rPr>
          <w:t>1</w:t>
        </w:r>
        <w:r w:rsidRPr="00776E33">
          <w:rPr>
            <w:rStyle w:val="PageNumber"/>
            <w:rFonts w:ascii="Calibri" w:hAnsi="Calibri"/>
            <w:b w:val="0"/>
            <w:bCs/>
          </w:rPr>
          <w:fldChar w:fldCharType="end"/>
        </w:r>
      </w:p>
    </w:sdtContent>
  </w:sdt>
  <w:p w14:paraId="05C48A5B" w14:textId="77777777" w:rsidR="00776E33" w:rsidRDefault="00776E33" w:rsidP="00776E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9E55A" w14:textId="77777777" w:rsidR="00A26782" w:rsidRDefault="00A26782" w:rsidP="00776E33">
      <w:pPr>
        <w:spacing w:after="0"/>
      </w:pPr>
      <w:r>
        <w:separator/>
      </w:r>
    </w:p>
  </w:footnote>
  <w:footnote w:type="continuationSeparator" w:id="0">
    <w:p w14:paraId="23A550AC" w14:textId="77777777" w:rsidR="00A26782" w:rsidRDefault="00A26782" w:rsidP="00776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24"/>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2"/>
  </w:num>
  <w:num w:numId="17">
    <w:abstractNumId w:val="0"/>
  </w:num>
  <w:num w:numId="18">
    <w:abstractNumId w:val="14"/>
  </w:num>
  <w:num w:numId="19">
    <w:abstractNumId w:val="23"/>
  </w:num>
  <w:num w:numId="20">
    <w:abstractNumId w:val="15"/>
  </w:num>
  <w:num w:numId="21">
    <w:abstractNumId w:val="17"/>
  </w:num>
  <w:num w:numId="22">
    <w:abstractNumId w:val="18"/>
  </w:num>
  <w:num w:numId="23">
    <w:abstractNumId w:val="13"/>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28"/>
    <w:rsid w:val="00074BA7"/>
    <w:rsid w:val="0017707E"/>
    <w:rsid w:val="002657C0"/>
    <w:rsid w:val="002C1F19"/>
    <w:rsid w:val="00301DFF"/>
    <w:rsid w:val="003C6A47"/>
    <w:rsid w:val="004E620D"/>
    <w:rsid w:val="00532C95"/>
    <w:rsid w:val="005C77F3"/>
    <w:rsid w:val="005D0AAD"/>
    <w:rsid w:val="00604D80"/>
    <w:rsid w:val="006A6A3E"/>
    <w:rsid w:val="006B0128"/>
    <w:rsid w:val="00741242"/>
    <w:rsid w:val="00776E33"/>
    <w:rsid w:val="00940F4E"/>
    <w:rsid w:val="009F2E25"/>
    <w:rsid w:val="00A018ED"/>
    <w:rsid w:val="00A021A8"/>
    <w:rsid w:val="00A26782"/>
    <w:rsid w:val="00AB53B3"/>
    <w:rsid w:val="00BC0788"/>
    <w:rsid w:val="00C81674"/>
    <w:rsid w:val="00CA5DC6"/>
    <w:rsid w:val="00E45F16"/>
    <w:rsid w:val="00F4752D"/>
    <w:rsid w:val="00FD43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612966A"/>
  <w15:chartTrackingRefBased/>
  <w15:docId w15:val="{CF304F95-7F84-AE47-BA05-D7C1DE75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128"/>
    <w:pPr>
      <w:spacing w:after="240"/>
    </w:pPr>
    <w:rPr>
      <w:rFonts w:ascii="Calibri" w:eastAsia="Times New Roman" w:hAnsi="Calibri" w:cs="Times New Roman"/>
      <w:color w:val="000000"/>
      <w:sz w:val="22"/>
      <w:szCs w:val="20"/>
      <w:lang w:eastAsia="en-AU"/>
    </w:rPr>
  </w:style>
  <w:style w:type="paragraph" w:styleId="Heading1">
    <w:name w:val="heading 1"/>
    <w:basedOn w:val="Normal"/>
    <w:next w:val="Normal"/>
    <w:link w:val="Heading1Char"/>
    <w:qFormat/>
    <w:rsid w:val="006B0128"/>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6B0128"/>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6B0128"/>
    <w:pPr>
      <w:keepNext/>
      <w:spacing w:before="240"/>
      <w:ind w:left="720" w:hanging="720"/>
      <w:outlineLvl w:val="2"/>
    </w:pPr>
    <w:rPr>
      <w:rFonts w:cs="Arial"/>
      <w:b/>
      <w:bCs/>
      <w:szCs w:val="26"/>
    </w:rPr>
  </w:style>
  <w:style w:type="paragraph" w:styleId="Heading4">
    <w:name w:val="heading 4"/>
    <w:basedOn w:val="Normal"/>
    <w:next w:val="Normal"/>
    <w:link w:val="Heading4Char"/>
    <w:rsid w:val="006B0128"/>
    <w:pPr>
      <w:keepNext/>
      <w:spacing w:before="120" w:after="120"/>
      <w:outlineLvl w:val="3"/>
    </w:pPr>
    <w:rPr>
      <w:b/>
      <w:bCs/>
      <w:i/>
      <w:szCs w:val="28"/>
    </w:rPr>
  </w:style>
  <w:style w:type="paragraph" w:styleId="Heading5">
    <w:name w:val="heading 5"/>
    <w:basedOn w:val="Normal"/>
    <w:next w:val="Normal"/>
    <w:link w:val="Heading5Char"/>
    <w:rsid w:val="006B0128"/>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128"/>
    <w:rPr>
      <w:rFonts w:ascii="Calibri" w:eastAsia="Times New Roman" w:hAnsi="Calibri" w:cs="Arial"/>
      <w:b/>
      <w:bCs/>
      <w:color w:val="000000"/>
      <w:kern w:val="32"/>
      <w:sz w:val="40"/>
      <w:szCs w:val="32"/>
      <w:lang w:eastAsia="en-AU"/>
    </w:rPr>
  </w:style>
  <w:style w:type="character" w:customStyle="1" w:styleId="Heading2Char">
    <w:name w:val="Heading 2 Char"/>
    <w:basedOn w:val="DefaultParagraphFont"/>
    <w:link w:val="Heading2"/>
    <w:rsid w:val="006B0128"/>
    <w:rPr>
      <w:rFonts w:ascii="Calibri" w:eastAsia="Times New Roman" w:hAnsi="Calibri" w:cs="Arial"/>
      <w:b/>
      <w:bCs/>
      <w:iCs/>
      <w:color w:val="000000"/>
      <w:sz w:val="28"/>
      <w:szCs w:val="28"/>
      <w:lang w:eastAsia="en-AU"/>
    </w:rPr>
  </w:style>
  <w:style w:type="character" w:customStyle="1" w:styleId="Heading3Char">
    <w:name w:val="Heading 3 Char"/>
    <w:basedOn w:val="DefaultParagraphFont"/>
    <w:link w:val="Heading3"/>
    <w:rsid w:val="006B0128"/>
    <w:rPr>
      <w:rFonts w:ascii="Calibri" w:eastAsia="Times New Roman" w:hAnsi="Calibri" w:cs="Arial"/>
      <w:b/>
      <w:bCs/>
      <w:color w:val="000000"/>
      <w:sz w:val="22"/>
      <w:szCs w:val="26"/>
      <w:lang w:eastAsia="en-AU"/>
    </w:rPr>
  </w:style>
  <w:style w:type="character" w:customStyle="1" w:styleId="Heading4Char">
    <w:name w:val="Heading 4 Char"/>
    <w:basedOn w:val="DefaultParagraphFont"/>
    <w:link w:val="Heading4"/>
    <w:rsid w:val="006B0128"/>
    <w:rPr>
      <w:rFonts w:ascii="Calibri" w:eastAsia="Times New Roman" w:hAnsi="Calibri" w:cs="Times New Roman"/>
      <w:b/>
      <w:bCs/>
      <w:i/>
      <w:color w:val="000000"/>
      <w:sz w:val="22"/>
      <w:szCs w:val="28"/>
      <w:lang w:eastAsia="en-AU"/>
    </w:rPr>
  </w:style>
  <w:style w:type="character" w:customStyle="1" w:styleId="Heading5Char">
    <w:name w:val="Heading 5 Char"/>
    <w:basedOn w:val="DefaultParagraphFont"/>
    <w:link w:val="Heading5"/>
    <w:rsid w:val="006B0128"/>
    <w:rPr>
      <w:rFonts w:ascii="Calibri" w:eastAsia="Times New Roman" w:hAnsi="Calibri" w:cs="Times New Roman"/>
      <w:bCs/>
      <w:i/>
      <w:iCs/>
      <w:color w:val="000000"/>
      <w:sz w:val="22"/>
      <w:szCs w:val="26"/>
      <w:lang w:eastAsia="en-AU"/>
    </w:rPr>
  </w:style>
  <w:style w:type="paragraph" w:styleId="Subtitle">
    <w:name w:val="Subtitle"/>
    <w:basedOn w:val="Normal"/>
    <w:next w:val="Normal"/>
    <w:link w:val="SubtitleChar"/>
    <w:uiPriority w:val="11"/>
    <w:rsid w:val="006B0128"/>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6B0128"/>
    <w:rPr>
      <w:rFonts w:ascii="Calibri" w:eastAsiaTheme="majorEastAsia" w:hAnsi="Calibri" w:cstheme="majorBidi"/>
      <w:b/>
      <w:iCs/>
      <w:sz w:val="40"/>
      <w:lang w:eastAsia="en-AU"/>
    </w:rPr>
  </w:style>
  <w:style w:type="paragraph" w:customStyle="1" w:styleId="PullQuote">
    <w:name w:val="PullQuote"/>
    <w:basedOn w:val="Normal"/>
    <w:next w:val="Normal"/>
    <w:rsid w:val="006B0128"/>
    <w:rPr>
      <w:b/>
      <w:color w:val="7B7B7B" w:themeColor="accent3" w:themeShade="BF"/>
    </w:rPr>
  </w:style>
  <w:style w:type="paragraph" w:customStyle="1" w:styleId="ReportDate">
    <w:name w:val="ReportDate"/>
    <w:basedOn w:val="Normal"/>
    <w:rsid w:val="006B0128"/>
    <w:pPr>
      <w:jc w:val="center"/>
    </w:pPr>
    <w:rPr>
      <w:sz w:val="40"/>
    </w:rPr>
  </w:style>
  <w:style w:type="paragraph" w:customStyle="1" w:styleId="Heading1a">
    <w:name w:val="Heading 1a"/>
    <w:basedOn w:val="Heading1"/>
    <w:next w:val="Normal"/>
    <w:rsid w:val="006B0128"/>
    <w:pPr>
      <w:outlineLvl w:val="9"/>
    </w:pPr>
  </w:style>
  <w:style w:type="paragraph" w:customStyle="1" w:styleId="Heading2a">
    <w:name w:val="Heading 2a"/>
    <w:basedOn w:val="Heading2"/>
    <w:next w:val="Normal"/>
    <w:rsid w:val="006B0128"/>
    <w:pPr>
      <w:ind w:left="0" w:firstLine="0"/>
      <w:outlineLvl w:val="9"/>
    </w:pPr>
  </w:style>
  <w:style w:type="paragraph" w:customStyle="1" w:styleId="Heading3a">
    <w:name w:val="Heading 3a"/>
    <w:basedOn w:val="Heading3"/>
    <w:next w:val="Normal"/>
    <w:rsid w:val="006B0128"/>
    <w:pPr>
      <w:ind w:left="0" w:firstLine="0"/>
      <w:outlineLvl w:val="9"/>
    </w:pPr>
  </w:style>
  <w:style w:type="paragraph" w:styleId="Header">
    <w:name w:val="header"/>
    <w:basedOn w:val="Normal"/>
    <w:link w:val="HeaderChar"/>
    <w:semiHidden/>
    <w:rsid w:val="006B0128"/>
    <w:pPr>
      <w:tabs>
        <w:tab w:val="right" w:pos="9000"/>
      </w:tabs>
      <w:spacing w:after="0"/>
    </w:pPr>
    <w:rPr>
      <w:sz w:val="18"/>
    </w:rPr>
  </w:style>
  <w:style w:type="character" w:customStyle="1" w:styleId="HeaderChar">
    <w:name w:val="Header Char"/>
    <w:basedOn w:val="DefaultParagraphFont"/>
    <w:link w:val="Header"/>
    <w:semiHidden/>
    <w:rsid w:val="006B0128"/>
    <w:rPr>
      <w:rFonts w:ascii="Calibri" w:eastAsia="Times New Roman" w:hAnsi="Calibri" w:cs="Times New Roman"/>
      <w:color w:val="000000"/>
      <w:sz w:val="18"/>
      <w:szCs w:val="20"/>
      <w:lang w:eastAsia="en-AU"/>
    </w:rPr>
  </w:style>
  <w:style w:type="paragraph" w:styleId="Footer">
    <w:name w:val="footer"/>
    <w:basedOn w:val="Normal"/>
    <w:link w:val="FooterChar"/>
    <w:uiPriority w:val="99"/>
    <w:rsid w:val="006B0128"/>
    <w:pPr>
      <w:tabs>
        <w:tab w:val="right" w:pos="9000"/>
      </w:tabs>
      <w:spacing w:after="0"/>
    </w:pPr>
    <w:rPr>
      <w:sz w:val="20"/>
    </w:rPr>
  </w:style>
  <w:style w:type="character" w:customStyle="1" w:styleId="FooterChar">
    <w:name w:val="Footer Char"/>
    <w:basedOn w:val="DefaultParagraphFont"/>
    <w:link w:val="Footer"/>
    <w:uiPriority w:val="99"/>
    <w:rsid w:val="006B0128"/>
    <w:rPr>
      <w:rFonts w:ascii="Calibri" w:eastAsia="Times New Roman" w:hAnsi="Calibri" w:cs="Times New Roman"/>
      <w:color w:val="000000"/>
      <w:sz w:val="20"/>
      <w:szCs w:val="20"/>
      <w:lang w:eastAsia="en-AU"/>
    </w:rPr>
  </w:style>
  <w:style w:type="character" w:styleId="PageNumber">
    <w:name w:val="page number"/>
    <w:basedOn w:val="DefaultParagraphFont"/>
    <w:semiHidden/>
    <w:rsid w:val="006B0128"/>
    <w:rPr>
      <w:rFonts w:ascii="Times New Roman" w:hAnsi="Times New Roman"/>
      <w:b/>
      <w:sz w:val="20"/>
    </w:rPr>
  </w:style>
  <w:style w:type="paragraph" w:customStyle="1" w:styleId="TableText">
    <w:name w:val="TableText"/>
    <w:basedOn w:val="Normal"/>
    <w:rsid w:val="006B0128"/>
    <w:pPr>
      <w:keepNext/>
      <w:spacing w:before="60" w:after="60"/>
    </w:pPr>
    <w:rPr>
      <w:sz w:val="21"/>
      <w:szCs w:val="21"/>
    </w:rPr>
  </w:style>
  <w:style w:type="paragraph" w:customStyle="1" w:styleId="TFListNotesSpace">
    <w:name w:val="TFListNotes+Space"/>
    <w:basedOn w:val="TableText"/>
    <w:next w:val="Normal"/>
    <w:rsid w:val="006B0128"/>
    <w:pPr>
      <w:keepNext w:val="0"/>
      <w:keepLines/>
      <w:spacing w:before="0" w:after="360"/>
      <w:ind w:left="170" w:hanging="170"/>
    </w:pPr>
    <w:rPr>
      <w:sz w:val="18"/>
      <w:szCs w:val="18"/>
    </w:rPr>
  </w:style>
  <w:style w:type="paragraph" w:customStyle="1" w:styleId="TFListNotes">
    <w:name w:val="TFListNotes"/>
    <w:basedOn w:val="TFListNotesSpace"/>
    <w:rsid w:val="006B0128"/>
    <w:pPr>
      <w:keepNext/>
      <w:spacing w:after="0"/>
    </w:pPr>
  </w:style>
  <w:style w:type="paragraph" w:customStyle="1" w:styleId="TableName">
    <w:name w:val="TableName"/>
    <w:basedOn w:val="TableText"/>
    <w:rsid w:val="006B0128"/>
    <w:pPr>
      <w:tabs>
        <w:tab w:val="left" w:pos="1080"/>
      </w:tabs>
      <w:spacing w:before="120" w:after="120"/>
      <w:ind w:left="1080" w:hanging="1080"/>
    </w:pPr>
    <w:rPr>
      <w:b/>
      <w:bCs/>
      <w:sz w:val="22"/>
    </w:rPr>
  </w:style>
  <w:style w:type="paragraph" w:customStyle="1" w:styleId="TableHeading">
    <w:name w:val="TableHeading"/>
    <w:basedOn w:val="TableText"/>
    <w:rsid w:val="006B0128"/>
    <w:rPr>
      <w:b/>
      <w:bCs/>
    </w:rPr>
  </w:style>
  <w:style w:type="paragraph" w:customStyle="1" w:styleId="TableBullet">
    <w:name w:val="TableBullet"/>
    <w:basedOn w:val="TableText"/>
    <w:rsid w:val="006B0128"/>
    <w:pPr>
      <w:numPr>
        <w:numId w:val="1"/>
      </w:numPr>
      <w:tabs>
        <w:tab w:val="clear" w:pos="360"/>
        <w:tab w:val="left" w:pos="216"/>
      </w:tabs>
      <w:ind w:left="216" w:hanging="216"/>
    </w:pPr>
  </w:style>
  <w:style w:type="paragraph" w:customStyle="1" w:styleId="TableDash">
    <w:name w:val="TableDash"/>
    <w:basedOn w:val="TableText"/>
    <w:rsid w:val="006B0128"/>
    <w:pPr>
      <w:numPr>
        <w:numId w:val="2"/>
      </w:numPr>
      <w:tabs>
        <w:tab w:val="clear" w:pos="216"/>
        <w:tab w:val="num" w:pos="432"/>
      </w:tabs>
    </w:pPr>
  </w:style>
  <w:style w:type="paragraph" w:styleId="Quote">
    <w:name w:val="Quote"/>
    <w:basedOn w:val="Normal"/>
    <w:link w:val="QuoteChar"/>
    <w:rsid w:val="006B0128"/>
    <w:pPr>
      <w:ind w:left="720" w:right="720"/>
    </w:pPr>
    <w:rPr>
      <w:sz w:val="20"/>
    </w:rPr>
  </w:style>
  <w:style w:type="character" w:customStyle="1" w:styleId="QuoteChar">
    <w:name w:val="Quote Char"/>
    <w:basedOn w:val="DefaultParagraphFont"/>
    <w:link w:val="Quote"/>
    <w:rsid w:val="006B0128"/>
    <w:rPr>
      <w:rFonts w:ascii="Calibri" w:eastAsia="Times New Roman" w:hAnsi="Calibri" w:cs="Times New Roman"/>
      <w:color w:val="000000"/>
      <w:sz w:val="20"/>
      <w:szCs w:val="20"/>
      <w:lang w:eastAsia="en-AU"/>
    </w:rPr>
  </w:style>
  <w:style w:type="paragraph" w:customStyle="1" w:styleId="References">
    <w:name w:val="References"/>
    <w:basedOn w:val="Normal"/>
    <w:rsid w:val="006B0128"/>
    <w:pPr>
      <w:keepLines/>
      <w:ind w:left="720" w:hanging="720"/>
    </w:pPr>
  </w:style>
  <w:style w:type="paragraph" w:styleId="FootnoteText">
    <w:name w:val="footnote text"/>
    <w:basedOn w:val="Normal"/>
    <w:link w:val="FootnoteTextChar"/>
    <w:semiHidden/>
    <w:rsid w:val="006B0128"/>
    <w:pPr>
      <w:spacing w:after="0"/>
      <w:ind w:left="360" w:hanging="360"/>
    </w:pPr>
    <w:rPr>
      <w:sz w:val="20"/>
    </w:rPr>
  </w:style>
  <w:style w:type="character" w:customStyle="1" w:styleId="FootnoteTextChar">
    <w:name w:val="Footnote Text Char"/>
    <w:basedOn w:val="DefaultParagraphFont"/>
    <w:link w:val="FootnoteText"/>
    <w:semiHidden/>
    <w:rsid w:val="006B0128"/>
    <w:rPr>
      <w:rFonts w:ascii="Calibri" w:eastAsia="Times New Roman" w:hAnsi="Calibri" w:cs="Times New Roman"/>
      <w:color w:val="000000"/>
      <w:sz w:val="20"/>
      <w:szCs w:val="20"/>
      <w:lang w:eastAsia="en-AU"/>
    </w:rPr>
  </w:style>
  <w:style w:type="character" w:styleId="FootnoteReference">
    <w:name w:val="footnote reference"/>
    <w:basedOn w:val="DefaultParagraphFont"/>
    <w:semiHidden/>
    <w:rsid w:val="006B0128"/>
    <w:rPr>
      <w:vertAlign w:val="superscript"/>
    </w:rPr>
  </w:style>
  <w:style w:type="paragraph" w:customStyle="1" w:styleId="FigTabPara">
    <w:name w:val="FigTabPara"/>
    <w:basedOn w:val="Normal"/>
    <w:next w:val="TFIHolder"/>
    <w:rsid w:val="006B0128"/>
    <w:pPr>
      <w:keepNext/>
      <w:spacing w:after="120"/>
      <w:ind w:left="1077"/>
    </w:pPr>
  </w:style>
  <w:style w:type="paragraph" w:customStyle="1" w:styleId="TFIHolder">
    <w:name w:val="TFIHolder"/>
    <w:basedOn w:val="TFAbbrevs"/>
    <w:qFormat/>
    <w:rsid w:val="006B0128"/>
    <w:rPr>
      <w:sz w:val="12"/>
    </w:rPr>
  </w:style>
  <w:style w:type="paragraph" w:customStyle="1" w:styleId="TFAbbrevs">
    <w:name w:val="TFAbbrevs"/>
    <w:basedOn w:val="TFListNotes"/>
    <w:rsid w:val="006B0128"/>
  </w:style>
  <w:style w:type="paragraph" w:customStyle="1" w:styleId="FigureNameSpace">
    <w:name w:val="FigureName+Space"/>
    <w:basedOn w:val="Normal"/>
    <w:next w:val="Normal"/>
    <w:rsid w:val="006B0128"/>
    <w:pPr>
      <w:keepLines/>
      <w:tabs>
        <w:tab w:val="left" w:pos="1080"/>
      </w:tabs>
      <w:spacing w:before="120" w:after="360"/>
      <w:ind w:left="1080" w:hanging="1080"/>
    </w:pPr>
    <w:rPr>
      <w:b/>
      <w:bCs/>
    </w:rPr>
  </w:style>
  <w:style w:type="paragraph" w:styleId="TOC1">
    <w:name w:val="toc 1"/>
    <w:basedOn w:val="Normal"/>
    <w:next w:val="Normal"/>
    <w:autoRedefine/>
    <w:uiPriority w:val="39"/>
    <w:rsid w:val="006B0128"/>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6B0128"/>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6B0128"/>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6B0128"/>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6B0128"/>
    <w:pPr>
      <w:numPr>
        <w:numId w:val="3"/>
      </w:numPr>
      <w:spacing w:after="0"/>
    </w:pPr>
  </w:style>
  <w:style w:type="paragraph" w:customStyle="1" w:styleId="Bullet">
    <w:name w:val="Bullet"/>
    <w:basedOn w:val="BulletBeforeDash"/>
    <w:qFormat/>
    <w:rsid w:val="006B0128"/>
    <w:pPr>
      <w:spacing w:after="120"/>
    </w:pPr>
  </w:style>
  <w:style w:type="paragraph" w:customStyle="1" w:styleId="BulletLast">
    <w:name w:val="BulletLast"/>
    <w:basedOn w:val="Bullet"/>
    <w:qFormat/>
    <w:rsid w:val="006B0128"/>
    <w:pPr>
      <w:spacing w:after="240"/>
    </w:pPr>
  </w:style>
  <w:style w:type="paragraph" w:customStyle="1" w:styleId="Dash">
    <w:name w:val="Dash"/>
    <w:basedOn w:val="Normal"/>
    <w:rsid w:val="006B0128"/>
    <w:pPr>
      <w:numPr>
        <w:numId w:val="4"/>
      </w:numPr>
      <w:tabs>
        <w:tab w:val="clear" w:pos="216"/>
        <w:tab w:val="left" w:pos="720"/>
      </w:tabs>
      <w:spacing w:after="0"/>
      <w:ind w:left="720" w:hanging="360"/>
    </w:pPr>
  </w:style>
  <w:style w:type="paragraph" w:customStyle="1" w:styleId="DashLast">
    <w:name w:val="DashLast"/>
    <w:basedOn w:val="Dash"/>
    <w:rsid w:val="006B0128"/>
    <w:pPr>
      <w:spacing w:after="120"/>
    </w:pPr>
  </w:style>
  <w:style w:type="paragraph" w:customStyle="1" w:styleId="DashLastSpace">
    <w:name w:val="DashLast+Space"/>
    <w:basedOn w:val="DashLast"/>
    <w:rsid w:val="006B0128"/>
    <w:pPr>
      <w:spacing w:after="240"/>
    </w:pPr>
  </w:style>
  <w:style w:type="paragraph" w:customStyle="1" w:styleId="NormalBeforeBullet">
    <w:name w:val="NormalBeforeBullet"/>
    <w:basedOn w:val="Normal"/>
    <w:qFormat/>
    <w:rsid w:val="006B0128"/>
    <w:pPr>
      <w:keepNext/>
      <w:spacing w:after="120"/>
    </w:pPr>
  </w:style>
  <w:style w:type="paragraph" w:customStyle="1" w:styleId="BoxText">
    <w:name w:val="BoxText"/>
    <w:basedOn w:val="Normal"/>
    <w:qFormat/>
    <w:rsid w:val="006B0128"/>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6B0128"/>
    <w:pPr>
      <w:spacing w:before="120" w:after="60"/>
    </w:pPr>
    <w:rPr>
      <w:sz w:val="18"/>
    </w:rPr>
  </w:style>
  <w:style w:type="paragraph" w:customStyle="1" w:styleId="BoxName">
    <w:name w:val="BoxName"/>
    <w:basedOn w:val="BoxText"/>
    <w:rsid w:val="006B0128"/>
    <w:pPr>
      <w:keepNext/>
      <w:spacing w:before="180"/>
      <w:ind w:left="1080" w:hanging="1080"/>
    </w:pPr>
    <w:rPr>
      <w:b/>
      <w:bCs/>
      <w:sz w:val="24"/>
    </w:rPr>
  </w:style>
  <w:style w:type="paragraph" w:customStyle="1" w:styleId="BoxHeading">
    <w:name w:val="BoxHeading"/>
    <w:basedOn w:val="BoxText"/>
    <w:rsid w:val="006B0128"/>
    <w:pPr>
      <w:keepNext/>
      <w:spacing w:before="120" w:after="60"/>
    </w:pPr>
    <w:rPr>
      <w:b/>
      <w:bCs/>
    </w:rPr>
  </w:style>
  <w:style w:type="paragraph" w:customStyle="1" w:styleId="BoxBullet">
    <w:name w:val="BoxBullet"/>
    <w:basedOn w:val="BoxText"/>
    <w:rsid w:val="006B0128"/>
    <w:pPr>
      <w:numPr>
        <w:numId w:val="23"/>
      </w:numPr>
    </w:pPr>
  </w:style>
  <w:style w:type="paragraph" w:customStyle="1" w:styleId="BoxDashManual">
    <w:name w:val="BoxDashManual"/>
    <w:basedOn w:val="BoxText"/>
    <w:rsid w:val="006B0128"/>
    <w:pPr>
      <w:tabs>
        <w:tab w:val="left" w:pos="360"/>
        <w:tab w:val="left" w:pos="720"/>
      </w:tabs>
      <w:ind w:left="720" w:hanging="720"/>
    </w:pPr>
  </w:style>
  <w:style w:type="paragraph" w:customStyle="1" w:styleId="FigureName">
    <w:name w:val="FigureName"/>
    <w:basedOn w:val="FigureNameSpace"/>
    <w:next w:val="Normal"/>
    <w:rsid w:val="006B0128"/>
    <w:pPr>
      <w:keepNext/>
      <w:spacing w:after="120"/>
      <w:ind w:left="1077" w:hanging="1077"/>
    </w:pPr>
  </w:style>
  <w:style w:type="paragraph" w:styleId="Index1">
    <w:name w:val="index 1"/>
    <w:basedOn w:val="Normal"/>
    <w:next w:val="Normal"/>
    <w:rsid w:val="006B0128"/>
    <w:pPr>
      <w:spacing w:after="0"/>
      <w:ind w:left="518" w:hanging="518"/>
    </w:pPr>
    <w:rPr>
      <w:noProof/>
    </w:rPr>
  </w:style>
  <w:style w:type="paragraph" w:styleId="Index2">
    <w:name w:val="index 2"/>
    <w:basedOn w:val="Index1"/>
    <w:next w:val="Normal"/>
    <w:rsid w:val="006B0128"/>
    <w:pPr>
      <w:ind w:left="816" w:hanging="476"/>
    </w:pPr>
  </w:style>
  <w:style w:type="paragraph" w:styleId="TOC4">
    <w:name w:val="toc 4"/>
    <w:basedOn w:val="Normal"/>
    <w:next w:val="Normal"/>
    <w:autoRedefine/>
    <w:semiHidden/>
    <w:rsid w:val="006B0128"/>
    <w:pPr>
      <w:tabs>
        <w:tab w:val="right" w:leader="dot" w:pos="9016"/>
      </w:tabs>
      <w:spacing w:after="0"/>
      <w:ind w:left="2160" w:right="720"/>
    </w:pPr>
    <w:rPr>
      <w:noProof/>
      <w:szCs w:val="24"/>
    </w:rPr>
  </w:style>
  <w:style w:type="paragraph" w:customStyle="1" w:styleId="NumberList">
    <w:name w:val="NumberList"/>
    <w:basedOn w:val="Normal"/>
    <w:rsid w:val="006B0128"/>
    <w:pPr>
      <w:tabs>
        <w:tab w:val="left" w:pos="360"/>
      </w:tabs>
      <w:ind w:left="360" w:hanging="360"/>
    </w:pPr>
  </w:style>
  <w:style w:type="paragraph" w:customStyle="1" w:styleId="TFNoteSourceSpace">
    <w:name w:val="TFNoteSource+Space"/>
    <w:basedOn w:val="TFListNotesSpace"/>
    <w:next w:val="Normal"/>
    <w:rsid w:val="006B0128"/>
  </w:style>
  <w:style w:type="paragraph" w:customStyle="1" w:styleId="TFNoteSource">
    <w:name w:val="TFNoteSource"/>
    <w:basedOn w:val="TFNoteSourceSpace"/>
    <w:rsid w:val="006B0128"/>
    <w:pPr>
      <w:spacing w:after="0"/>
    </w:pPr>
  </w:style>
  <w:style w:type="character" w:customStyle="1" w:styleId="DesignerNotesChar">
    <w:name w:val="DesignerNotesChar"/>
    <w:basedOn w:val="DefaultParagraphFont"/>
    <w:rsid w:val="006B0128"/>
    <w:rPr>
      <w:rFonts w:ascii="Arial" w:hAnsi="Arial"/>
      <w:b/>
      <w:color w:val="3366FF"/>
      <w:sz w:val="20"/>
    </w:rPr>
  </w:style>
  <w:style w:type="paragraph" w:customStyle="1" w:styleId="TFAbbrevsSpace">
    <w:name w:val="TFAbbrevs+Space"/>
    <w:basedOn w:val="TFAbbrevs"/>
    <w:next w:val="Normal"/>
    <w:rsid w:val="006B0128"/>
    <w:pPr>
      <w:spacing w:after="360"/>
    </w:pPr>
  </w:style>
  <w:style w:type="character" w:styleId="Strong">
    <w:name w:val="Strong"/>
    <w:basedOn w:val="DefaultParagraphFont"/>
    <w:uiPriority w:val="22"/>
    <w:qFormat/>
    <w:rsid w:val="006B0128"/>
    <w:rPr>
      <w:b/>
      <w:bCs/>
    </w:rPr>
  </w:style>
  <w:style w:type="character" w:styleId="Emphasis">
    <w:name w:val="Emphasis"/>
    <w:basedOn w:val="DefaultParagraphFont"/>
    <w:uiPriority w:val="20"/>
    <w:qFormat/>
    <w:rsid w:val="006B0128"/>
    <w:rPr>
      <w:i/>
      <w:iCs/>
    </w:rPr>
  </w:style>
  <w:style w:type="character" w:customStyle="1" w:styleId="Roman">
    <w:name w:val="Roman"/>
    <w:uiPriority w:val="1"/>
    <w:rsid w:val="006B0128"/>
    <w:rPr>
      <w:b w:val="0"/>
      <w:i/>
    </w:rPr>
  </w:style>
  <w:style w:type="character" w:customStyle="1" w:styleId="PullQuoteOrigin">
    <w:name w:val="PullQuoteOrigin"/>
    <w:basedOn w:val="DefaultParagraphFont"/>
    <w:uiPriority w:val="1"/>
    <w:rsid w:val="006B0128"/>
    <w:rPr>
      <w:b/>
      <w:noProof/>
      <w:color w:val="7B7B7B" w:themeColor="accent3" w:themeShade="BF"/>
    </w:rPr>
  </w:style>
  <w:style w:type="table" w:styleId="TableGrid">
    <w:name w:val="Table Grid"/>
    <w:basedOn w:val="TableNormal"/>
    <w:uiPriority w:val="59"/>
    <w:rsid w:val="006B0128"/>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6B0128"/>
    <w:pPr>
      <w:spacing w:after="240"/>
    </w:pPr>
  </w:style>
  <w:style w:type="paragraph" w:customStyle="1" w:styleId="DesignerNotes">
    <w:name w:val="DesignerNotes"/>
    <w:basedOn w:val="Normal"/>
    <w:rsid w:val="006B0128"/>
    <w:rPr>
      <w:rFonts w:ascii="Arial" w:hAnsi="Arial"/>
      <w:b/>
      <w:color w:val="3366FF"/>
      <w:sz w:val="20"/>
    </w:rPr>
  </w:style>
  <w:style w:type="character" w:customStyle="1" w:styleId="Subscript">
    <w:name w:val="Subscript"/>
    <w:basedOn w:val="DefaultParagraphFont"/>
    <w:uiPriority w:val="1"/>
    <w:rsid w:val="006B0128"/>
    <w:rPr>
      <w:noProof/>
      <w:vertAlign w:val="subscript"/>
    </w:rPr>
  </w:style>
  <w:style w:type="character" w:customStyle="1" w:styleId="Superscript">
    <w:name w:val="Superscript"/>
    <w:basedOn w:val="DefaultParagraphFont"/>
    <w:uiPriority w:val="1"/>
    <w:rsid w:val="006B0128"/>
    <w:rPr>
      <w:noProof/>
      <w:vertAlign w:val="superscript"/>
    </w:rPr>
  </w:style>
  <w:style w:type="character" w:customStyle="1" w:styleId="Symbol">
    <w:name w:val="Symbol"/>
    <w:basedOn w:val="DefaultParagraphFont"/>
    <w:uiPriority w:val="1"/>
    <w:rsid w:val="006B0128"/>
    <w:rPr>
      <w:noProof/>
    </w:rPr>
  </w:style>
  <w:style w:type="character" w:customStyle="1" w:styleId="NoBreak">
    <w:name w:val="NoBreak"/>
    <w:basedOn w:val="DefaultParagraphFont"/>
    <w:uiPriority w:val="1"/>
    <w:rsid w:val="006B0128"/>
    <w:rPr>
      <w:noProof/>
    </w:rPr>
  </w:style>
  <w:style w:type="paragraph" w:customStyle="1" w:styleId="MathEquation">
    <w:name w:val="MathEquation"/>
    <w:basedOn w:val="Normal"/>
    <w:rsid w:val="006B0128"/>
    <w:rPr>
      <w:rFonts w:ascii="Cambria Math" w:hAnsi="Cambria Math"/>
      <w:i/>
      <w:noProof/>
    </w:rPr>
  </w:style>
  <w:style w:type="paragraph" w:customStyle="1" w:styleId="ComputerCode">
    <w:name w:val="ComputerCode"/>
    <w:basedOn w:val="Normal"/>
    <w:rsid w:val="006B0128"/>
    <w:pPr>
      <w:ind w:left="567"/>
      <w:contextualSpacing/>
    </w:pPr>
    <w:rPr>
      <w:rFonts w:ascii="Courier New" w:hAnsi="Courier New"/>
      <w:color w:val="auto"/>
      <w:sz w:val="20"/>
      <w:szCs w:val="24"/>
    </w:rPr>
  </w:style>
  <w:style w:type="paragraph" w:customStyle="1" w:styleId="BulletChecklist">
    <w:name w:val="BulletChecklist"/>
    <w:basedOn w:val="Bullet"/>
    <w:rsid w:val="006B0128"/>
    <w:pPr>
      <w:numPr>
        <w:numId w:val="16"/>
      </w:numPr>
    </w:pPr>
    <w:rPr>
      <w:noProof/>
    </w:rPr>
  </w:style>
  <w:style w:type="paragraph" w:customStyle="1" w:styleId="ImprintText">
    <w:name w:val="ImprintText"/>
    <w:basedOn w:val="Normal"/>
    <w:rsid w:val="006B0128"/>
    <w:pPr>
      <w:spacing w:after="120"/>
    </w:pPr>
    <w:rPr>
      <w:sz w:val="20"/>
    </w:rPr>
  </w:style>
  <w:style w:type="paragraph" w:customStyle="1" w:styleId="AltText">
    <w:name w:val="AltText"/>
    <w:basedOn w:val="Normal"/>
    <w:rsid w:val="006B0128"/>
    <w:rPr>
      <w:rFonts w:ascii="Arial" w:hAnsi="Arial"/>
      <w:color w:val="538135" w:themeColor="accent6" w:themeShade="BF"/>
      <w:sz w:val="20"/>
    </w:rPr>
  </w:style>
  <w:style w:type="paragraph" w:styleId="Caption">
    <w:name w:val="caption"/>
    <w:basedOn w:val="Normal"/>
    <w:next w:val="Credit"/>
    <w:uiPriority w:val="35"/>
    <w:unhideWhenUsed/>
    <w:rsid w:val="006B0128"/>
    <w:pPr>
      <w:spacing w:after="0"/>
    </w:pPr>
    <w:rPr>
      <w:b/>
      <w:bCs/>
      <w:color w:val="auto"/>
      <w:sz w:val="18"/>
      <w:szCs w:val="18"/>
    </w:rPr>
  </w:style>
  <w:style w:type="paragraph" w:customStyle="1" w:styleId="Credit">
    <w:name w:val="Credit"/>
    <w:basedOn w:val="Caption"/>
    <w:next w:val="Normal"/>
    <w:rsid w:val="006B0128"/>
    <w:pPr>
      <w:spacing w:after="240"/>
    </w:pPr>
    <w:rPr>
      <w:b w:val="0"/>
      <w:noProof/>
    </w:rPr>
  </w:style>
  <w:style w:type="paragraph" w:customStyle="1" w:styleId="NormalFirstPara">
    <w:name w:val="NormalFirstPara"/>
    <w:basedOn w:val="Normal"/>
    <w:rsid w:val="006B0128"/>
    <w:rPr>
      <w:noProof/>
      <w:color w:val="A5A5A5" w:themeColor="accent3"/>
    </w:rPr>
  </w:style>
  <w:style w:type="paragraph" w:customStyle="1" w:styleId="TableHeadingCA">
    <w:name w:val="TableHeadingCA"/>
    <w:basedOn w:val="TableHeading"/>
    <w:rsid w:val="006B0128"/>
    <w:pPr>
      <w:jc w:val="center"/>
    </w:pPr>
  </w:style>
  <w:style w:type="paragraph" w:customStyle="1" w:styleId="TableTextCA">
    <w:name w:val="TableTextCA"/>
    <w:basedOn w:val="TableText"/>
    <w:rsid w:val="006B0128"/>
    <w:pPr>
      <w:jc w:val="center"/>
    </w:pPr>
  </w:style>
  <w:style w:type="paragraph" w:customStyle="1" w:styleId="TableTextDecimalAlign">
    <w:name w:val="TableTextDecimalAlign"/>
    <w:basedOn w:val="TableText"/>
    <w:rsid w:val="006B0128"/>
    <w:pPr>
      <w:tabs>
        <w:tab w:val="decimal" w:pos="1119"/>
      </w:tabs>
    </w:pPr>
  </w:style>
  <w:style w:type="paragraph" w:customStyle="1" w:styleId="NormalIndent">
    <w:name w:val="NormalIndent"/>
    <w:basedOn w:val="Normal"/>
    <w:rsid w:val="006B0128"/>
    <w:pPr>
      <w:ind w:left="357"/>
    </w:pPr>
  </w:style>
  <w:style w:type="paragraph" w:styleId="BalloonText">
    <w:name w:val="Balloon Text"/>
    <w:basedOn w:val="Normal"/>
    <w:link w:val="BalloonTextChar"/>
    <w:uiPriority w:val="99"/>
    <w:semiHidden/>
    <w:unhideWhenUsed/>
    <w:rsid w:val="006B01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128"/>
    <w:rPr>
      <w:rFonts w:ascii="Tahoma" w:eastAsia="Times New Roman" w:hAnsi="Tahoma" w:cs="Tahoma"/>
      <w:color w:val="000000"/>
      <w:sz w:val="16"/>
      <w:szCs w:val="16"/>
      <w:lang w:eastAsia="en-AU"/>
    </w:rPr>
  </w:style>
  <w:style w:type="paragraph" w:styleId="Title">
    <w:name w:val="Title"/>
    <w:basedOn w:val="Normal"/>
    <w:next w:val="Normal"/>
    <w:link w:val="TitleChar"/>
    <w:uiPriority w:val="10"/>
    <w:rsid w:val="006B0128"/>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6B0128"/>
    <w:rPr>
      <w:rFonts w:ascii="Calibri" w:eastAsiaTheme="majorEastAsia" w:hAnsi="Calibri" w:cstheme="majorBidi"/>
      <w:b/>
      <w:spacing w:val="5"/>
      <w:kern w:val="28"/>
      <w:sz w:val="48"/>
      <w:szCs w:val="52"/>
      <w:lang w:eastAsia="en-AU"/>
    </w:rPr>
  </w:style>
  <w:style w:type="paragraph" w:customStyle="1" w:styleId="SectionTitle">
    <w:name w:val="SectionTitle"/>
    <w:basedOn w:val="Normal"/>
    <w:next w:val="Normal"/>
    <w:rsid w:val="006B0128"/>
    <w:pPr>
      <w:jc w:val="center"/>
    </w:pPr>
    <w:rPr>
      <w:b/>
      <w:sz w:val="40"/>
    </w:rPr>
  </w:style>
  <w:style w:type="paragraph" w:customStyle="1" w:styleId="SectionSubtitle">
    <w:name w:val="SectionSubtitle"/>
    <w:basedOn w:val="Normal"/>
    <w:rsid w:val="006B0128"/>
    <w:pPr>
      <w:spacing w:after="0"/>
      <w:jc w:val="center"/>
    </w:pPr>
    <w:rPr>
      <w:sz w:val="32"/>
    </w:rPr>
  </w:style>
  <w:style w:type="paragraph" w:customStyle="1" w:styleId="QuoteNumberList">
    <w:name w:val="QuoteNumberList"/>
    <w:basedOn w:val="Quote"/>
    <w:rsid w:val="006B0128"/>
    <w:pPr>
      <w:ind w:left="1117" w:hanging="397"/>
    </w:pPr>
    <w:rPr>
      <w:noProof/>
    </w:rPr>
  </w:style>
  <w:style w:type="paragraph" w:customStyle="1" w:styleId="QuoteBullet">
    <w:name w:val="QuoteBullet"/>
    <w:basedOn w:val="Quote"/>
    <w:rsid w:val="006B0128"/>
    <w:pPr>
      <w:numPr>
        <w:numId w:val="18"/>
      </w:numPr>
      <w:ind w:left="1117" w:hanging="397"/>
    </w:pPr>
    <w:rPr>
      <w:noProof/>
    </w:rPr>
  </w:style>
  <w:style w:type="paragraph" w:customStyle="1" w:styleId="BoxDash">
    <w:name w:val="BoxDash"/>
    <w:basedOn w:val="BoxBullet"/>
    <w:rsid w:val="006B0128"/>
    <w:pPr>
      <w:numPr>
        <w:numId w:val="5"/>
      </w:numPr>
    </w:pPr>
  </w:style>
  <w:style w:type="character" w:customStyle="1" w:styleId="CrossRef">
    <w:name w:val="CrossRef"/>
    <w:basedOn w:val="DefaultParagraphFont"/>
    <w:uiPriority w:val="1"/>
    <w:rsid w:val="006B0128"/>
    <w:rPr>
      <w:rFonts w:ascii="Calibri" w:hAnsi="Calibri"/>
      <w:b/>
      <w:noProof/>
      <w:color w:val="ED7D31" w:themeColor="accent2"/>
      <w:sz w:val="24"/>
    </w:rPr>
  </w:style>
  <w:style w:type="character" w:customStyle="1" w:styleId="StrongEmphasis">
    <w:name w:val="StrongEmphasis"/>
    <w:basedOn w:val="DefaultParagraphFont"/>
    <w:rsid w:val="006B0128"/>
    <w:rPr>
      <w:b/>
      <w:bCs/>
      <w:i/>
      <w:iCs/>
    </w:rPr>
  </w:style>
  <w:style w:type="character" w:customStyle="1" w:styleId="MathEquationChar">
    <w:name w:val="MathEquationChar"/>
    <w:basedOn w:val="DefaultParagraphFont"/>
    <w:uiPriority w:val="1"/>
    <w:rsid w:val="006B0128"/>
    <w:rPr>
      <w:rFonts w:ascii="Cambria Math" w:hAnsi="Cambria Math"/>
      <w:noProof/>
    </w:rPr>
  </w:style>
  <w:style w:type="character" w:customStyle="1" w:styleId="SubscriptEmphasis">
    <w:name w:val="SubscriptEmphasis"/>
    <w:basedOn w:val="DefaultParagraphFont"/>
    <w:uiPriority w:val="1"/>
    <w:rsid w:val="006B0128"/>
    <w:rPr>
      <w:i/>
      <w:noProof/>
      <w:vertAlign w:val="subscript"/>
    </w:rPr>
  </w:style>
  <w:style w:type="paragraph" w:styleId="NormalWeb">
    <w:name w:val="Normal (Web)"/>
    <w:basedOn w:val="Normal"/>
    <w:uiPriority w:val="99"/>
    <w:unhideWhenUsed/>
    <w:rsid w:val="006B0128"/>
    <w:pPr>
      <w:spacing w:before="100" w:beforeAutospacing="1" w:after="100" w:afterAutospacing="1"/>
    </w:pPr>
    <w:rPr>
      <w:rFonts w:ascii="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362789">
      <w:bodyDiv w:val="1"/>
      <w:marLeft w:val="0"/>
      <w:marRight w:val="0"/>
      <w:marTop w:val="0"/>
      <w:marBottom w:val="0"/>
      <w:divBdr>
        <w:top w:val="none" w:sz="0" w:space="0" w:color="auto"/>
        <w:left w:val="none" w:sz="0" w:space="0" w:color="auto"/>
        <w:bottom w:val="none" w:sz="0" w:space="0" w:color="auto"/>
        <w:right w:val="none" w:sz="0" w:space="0" w:color="auto"/>
      </w:divBdr>
      <w:divsChild>
        <w:div w:id="861549637">
          <w:marLeft w:val="0"/>
          <w:marRight w:val="0"/>
          <w:marTop w:val="0"/>
          <w:marBottom w:val="0"/>
          <w:divBdr>
            <w:top w:val="none" w:sz="0" w:space="0" w:color="auto"/>
            <w:left w:val="none" w:sz="0" w:space="0" w:color="auto"/>
            <w:bottom w:val="none" w:sz="0" w:space="0" w:color="auto"/>
            <w:right w:val="none" w:sz="0" w:space="0" w:color="auto"/>
          </w:divBdr>
          <w:divsChild>
            <w:div w:id="1271086552">
              <w:marLeft w:val="0"/>
              <w:marRight w:val="0"/>
              <w:marTop w:val="0"/>
              <w:marBottom w:val="0"/>
              <w:divBdr>
                <w:top w:val="none" w:sz="0" w:space="0" w:color="auto"/>
                <w:left w:val="none" w:sz="0" w:space="0" w:color="auto"/>
                <w:bottom w:val="none" w:sz="0" w:space="0" w:color="auto"/>
                <w:right w:val="none" w:sz="0" w:space="0" w:color="auto"/>
              </w:divBdr>
              <w:divsChild>
                <w:div w:id="1290093328">
                  <w:marLeft w:val="0"/>
                  <w:marRight w:val="0"/>
                  <w:marTop w:val="0"/>
                  <w:marBottom w:val="0"/>
                  <w:divBdr>
                    <w:top w:val="none" w:sz="0" w:space="0" w:color="auto"/>
                    <w:left w:val="none" w:sz="0" w:space="0" w:color="auto"/>
                    <w:bottom w:val="none" w:sz="0" w:space="0" w:color="auto"/>
                    <w:right w:val="none" w:sz="0" w:space="0" w:color="auto"/>
                  </w:divBdr>
                  <w:divsChild>
                    <w:div w:id="192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roups/02-Project%20resources/02-Templates%20and%20forms/01-Word%20templates/BT_basic-Calibri(10May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BT_basic-Calibri(10May18).dotx</Template>
  <TotalTime>48</TotalTime>
  <Pages>3</Pages>
  <Words>1070</Words>
  <Characters>6581</Characters>
  <Application>Microsoft Office Word</Application>
  <DocSecurity>0</DocSecurity>
  <Lines>109</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Traumatic Brain Injury Mission roadmap</dc:title>
  <dc:subject>Traumatic Brain Injury Mission Roadmap</dc:subject>
  <dc:creator>Australian Government Department of Health</dc:creator>
  <cp:keywords>Medical research; Medical Research Future Fund</cp:keywords>
  <dc:description/>
  <dcterms:created xsi:type="dcterms:W3CDTF">2021-07-12T23:42:00Z</dcterms:created>
  <dcterms:modified xsi:type="dcterms:W3CDTF">2021-07-19T05:20:00Z</dcterms:modified>
  <cp:category/>
</cp:coreProperties>
</file>