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15E4" w14:textId="77777777" w:rsidR="00045E79" w:rsidRPr="00D3145A" w:rsidRDefault="001F5C18" w:rsidP="00C376DA">
      <w:pPr>
        <w:pStyle w:val="StyleTitle"/>
      </w:pPr>
      <w:r w:rsidRPr="00D3145A">
        <w:drawing>
          <wp:anchor distT="0" distB="0" distL="114300" distR="114300" simplePos="0" relativeHeight="251659264" behindDoc="1" locked="0" layoutInCell="1" allowOverlap="1" wp14:anchorId="138526E9" wp14:editId="4BE70587">
            <wp:simplePos x="0" y="0"/>
            <wp:positionH relativeFrom="page">
              <wp:align>center</wp:align>
            </wp:positionH>
            <wp:positionV relativeFrom="page">
              <wp:align>center</wp:align>
            </wp:positionV>
            <wp:extent cx="7558767" cy="10691999"/>
            <wp:effectExtent l="0" t="0" r="444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page">
              <wp14:pctWidth>0</wp14:pctWidth>
            </wp14:sizeRelH>
            <wp14:sizeRelV relativeFrom="page">
              <wp14:pctHeight>0</wp14:pctHeight>
            </wp14:sizeRelV>
          </wp:anchor>
        </w:drawing>
      </w:r>
      <w:r w:rsidR="00045E79" w:rsidRPr="00D3145A">
        <w:t>Medical Research</w:t>
      </w:r>
      <w:r w:rsidR="00045E79" w:rsidRPr="00D3145A">
        <w:br/>
        <w:t>Future Fund</w:t>
      </w:r>
    </w:p>
    <w:p w14:paraId="38CCBB06" w14:textId="75B8E1B7" w:rsidR="00045E79" w:rsidRPr="00D3145A" w:rsidRDefault="00045E79" w:rsidP="00D60C91">
      <w:pPr>
        <w:pStyle w:val="Subtitle"/>
        <w:jc w:val="left"/>
        <w:rPr>
          <w:bCs/>
        </w:rPr>
        <w:sectPr w:rsidR="00045E79" w:rsidRPr="00D3145A"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r w:rsidRPr="00D3145A">
        <w:rPr>
          <w:bCs/>
          <w:noProof/>
        </w:rPr>
        <mc:AlternateContent>
          <mc:Choice Requires="wps">
            <w:drawing>
              <wp:anchor distT="45720" distB="45720" distL="114300" distR="114300" simplePos="0" relativeHeight="251661312" behindDoc="0" locked="0" layoutInCell="1" allowOverlap="1" wp14:anchorId="086A876D" wp14:editId="7807B004">
                <wp:simplePos x="0" y="0"/>
                <wp:positionH relativeFrom="margin">
                  <wp:posOffset>-81280</wp:posOffset>
                </wp:positionH>
                <wp:positionV relativeFrom="paragraph">
                  <wp:posOffset>5903636</wp:posOffset>
                </wp:positionV>
                <wp:extent cx="3370997"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7" cy="1404620"/>
                        </a:xfrm>
                        <a:prstGeom prst="rect">
                          <a:avLst/>
                        </a:prstGeom>
                        <a:noFill/>
                        <a:ln w="9525">
                          <a:noFill/>
                          <a:miter lim="800000"/>
                          <a:headEnd/>
                          <a:tailEnd/>
                        </a:ln>
                      </wps:spPr>
                      <wps:txbx>
                        <w:txbxContent>
                          <w:p w14:paraId="1C3FA054" w14:textId="676FF5C7" w:rsidR="00045E79" w:rsidRPr="00045E79" w:rsidRDefault="00860368" w:rsidP="00306B4C">
                            <w:pPr>
                              <w:pStyle w:val="Subtitle"/>
                            </w:pPr>
                            <w:r>
                              <w:t>6 February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A876D" id="_x0000_t202" coordsize="21600,21600" o:spt="202" path="m,l,21600r21600,l21600,xe">
                <v:stroke joinstyle="miter"/>
                <v:path gradientshapeok="t" o:connecttype="rect"/>
              </v:shapetype>
              <v:shape id="Text Box 2" o:spid="_x0000_s1026" type="#_x0000_t202" alt="&quot;&quot;" style="position:absolute;left:0;text-align:left;margin-left:-6.4pt;margin-top:464.85pt;width:265.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" filled="f" stroked="f">
                <v:textbox style="mso-fit-shape-to-text:t">
                  <w:txbxContent>
                    <w:p w14:paraId="1C3FA054" w14:textId="676FF5C7" w:rsidR="00045E79" w:rsidRPr="00045E79" w:rsidRDefault="00860368" w:rsidP="00306B4C">
                      <w:pPr>
                        <w:pStyle w:val="Subtitle"/>
                      </w:pPr>
                      <w:r>
                        <w:t>6 February 2025</w:t>
                      </w:r>
                    </w:p>
                  </w:txbxContent>
                </v:textbox>
                <w10:wrap anchorx="margin"/>
              </v:shape>
            </w:pict>
          </mc:Fallback>
        </mc:AlternateContent>
      </w:r>
      <w:r w:rsidR="00F61608" w:rsidRPr="00FB4E3E">
        <w:t xml:space="preserve">Traumatic Brain Injury Mission International </w:t>
      </w:r>
      <w:r w:rsidR="00F61608">
        <w:t>R</w:t>
      </w:r>
      <w:r w:rsidR="00F61608" w:rsidRPr="00FB4E3E">
        <w:t>eview of the Roadmap and Implementation Plan</w:t>
      </w:r>
    </w:p>
    <w:p w14:paraId="2AD13EED" w14:textId="2A0F1E27" w:rsidR="00CF14A6" w:rsidRPr="00D3145A" w:rsidRDefault="00880A44" w:rsidP="00306B4C">
      <w:pPr>
        <w:pStyle w:val="Heading1"/>
      </w:pPr>
      <w:r>
        <w:lastRenderedPageBreak/>
        <w:t>Introduction</w:t>
      </w:r>
    </w:p>
    <w:p w14:paraId="361259B7" w14:textId="74E8238A" w:rsidR="008D2811" w:rsidRPr="00306B4C" w:rsidRDefault="008D2811" w:rsidP="00B64846">
      <w:pPr>
        <w:spacing w:before="240"/>
      </w:pPr>
      <w:r w:rsidRPr="00306B4C">
        <w:t>The Medical Research Future Fund (MRFF) is a $22 billion long-term investment supporting Australian health and medical research. The MRFF aims to transform health and medical research and innovation to improve lives, build the economy and contribute to health system sustainability.</w:t>
      </w:r>
    </w:p>
    <w:p w14:paraId="49743E1F" w14:textId="5363BC7E" w:rsidR="008D2811" w:rsidRPr="00306B4C" w:rsidRDefault="008D2811" w:rsidP="00306B4C">
      <w:r w:rsidRPr="00306B4C">
        <w:t>The Traumatic Brain Injury Mission</w:t>
      </w:r>
      <w:r w:rsidR="008D2E8E" w:rsidRPr="00306B4C">
        <w:t xml:space="preserve"> (the </w:t>
      </w:r>
      <w:r w:rsidR="00B403E6" w:rsidRPr="00306B4C">
        <w:t>M</w:t>
      </w:r>
      <w:r w:rsidR="008D2E8E" w:rsidRPr="00306B4C">
        <w:t>ission)</w:t>
      </w:r>
      <w:r w:rsidRPr="00306B4C">
        <w:t xml:space="preserve"> is providing $50 million over 10 years under the MRFF to support research designed to improve the lives of all Australians who experience traumatic brain injury</w:t>
      </w:r>
      <w:r w:rsidR="00B403E6" w:rsidRPr="00306B4C">
        <w:t xml:space="preserve"> (TBI)</w:t>
      </w:r>
      <w:r w:rsidRPr="00306B4C">
        <w:t>.</w:t>
      </w:r>
    </w:p>
    <w:p w14:paraId="082A0B74" w14:textId="7E87004B" w:rsidR="00275C95" w:rsidRPr="005E5995" w:rsidRDefault="00275C95" w:rsidP="00F10102">
      <w:pPr>
        <w:pStyle w:val="Heading2"/>
      </w:pPr>
      <w:r w:rsidRPr="005E5995">
        <w:t>Traumatic Brain Injury Mission Expert Advisory Panel</w:t>
      </w:r>
    </w:p>
    <w:p w14:paraId="11ABC0E2" w14:textId="1C233D9A" w:rsidR="00100B33" w:rsidRDefault="00100B33" w:rsidP="00306B4C">
      <w:r w:rsidRPr="00DB0028">
        <w:t>A T</w:t>
      </w:r>
      <w:r w:rsidR="00DA01D4">
        <w:t>BI</w:t>
      </w:r>
      <w:r w:rsidRPr="00DB0028">
        <w:t xml:space="preserve"> Expert </w:t>
      </w:r>
      <w:r w:rsidR="00953CF6">
        <w:t xml:space="preserve">Advisory Panel </w:t>
      </w:r>
      <w:r w:rsidR="00DA01D4">
        <w:t xml:space="preserve">(EAP) </w:t>
      </w:r>
      <w:r w:rsidRPr="00DB0028">
        <w:t xml:space="preserve">was established in </w:t>
      </w:r>
      <w:r w:rsidR="002B215C">
        <w:t>2020</w:t>
      </w:r>
      <w:r w:rsidR="00D403B5">
        <w:t xml:space="preserve"> to</w:t>
      </w:r>
      <w:r w:rsidRPr="00DB0028">
        <w:t xml:space="preserve"> advise the Minister for Health on the strategic priorities for research investment through the </w:t>
      </w:r>
      <w:r w:rsidR="00DA01D4">
        <w:t>M</w:t>
      </w:r>
      <w:r w:rsidR="008D2E8E">
        <w:t>ission</w:t>
      </w:r>
      <w:r w:rsidRPr="00DB0028">
        <w:t>.</w:t>
      </w:r>
    </w:p>
    <w:p w14:paraId="209FE42B" w14:textId="75E9F9DC" w:rsidR="00DA01D4" w:rsidRPr="00306B4C" w:rsidRDefault="00312525" w:rsidP="00306B4C">
      <w:r w:rsidRPr="002C0F7C">
        <w:t xml:space="preserve">The </w:t>
      </w:r>
      <w:r w:rsidR="00DA01D4" w:rsidRPr="002C0F7C">
        <w:t>M</w:t>
      </w:r>
      <w:r w:rsidRPr="002C0F7C">
        <w:t xml:space="preserve">ission’s Roadmap and Implementation Plan were published in September 2021. These strategic documents outlined the goals and investment </w:t>
      </w:r>
      <w:r w:rsidRPr="00306B4C">
        <w:t xml:space="preserve">priorities of the Mission. The investment priorities as outlined in the Implementation Plan </w:t>
      </w:r>
      <w:r w:rsidR="00886034" w:rsidRPr="00306B4C">
        <w:t xml:space="preserve">were then used to design the </w:t>
      </w:r>
      <w:r w:rsidR="00DA01D4" w:rsidRPr="00306B4C">
        <w:t>M</w:t>
      </w:r>
      <w:r w:rsidRPr="00306B4C">
        <w:t>ission’s first grant opportunity</w:t>
      </w:r>
      <w:r w:rsidR="00886034" w:rsidRPr="00306B4C">
        <w:t>, that</w:t>
      </w:r>
      <w:r w:rsidRPr="00306B4C">
        <w:t xml:space="preserve"> opened in January 2020.</w:t>
      </w:r>
    </w:p>
    <w:p w14:paraId="5D7CBEA3" w14:textId="23EBAD1C" w:rsidR="0000767E" w:rsidRPr="00306B4C" w:rsidRDefault="00DA01D4" w:rsidP="00306B4C">
      <w:r w:rsidRPr="00306B4C">
        <w:t>The TBI EAP’s role is to define evidence and knowledge gaps that should be addressed through the Mission’s research funding to help transform health care and health outcomes for individuals and communities. This role includes defining key research questions that — if answered — will deliver meaningful change to patients through the translation of research</w:t>
      </w:r>
      <w:r w:rsidR="00C863A6">
        <w:t>.</w:t>
      </w:r>
    </w:p>
    <w:p w14:paraId="72C42F8A" w14:textId="3F1054B2" w:rsidR="00A9740E" w:rsidRPr="00DB0028" w:rsidRDefault="00A9740E" w:rsidP="00441913">
      <w:pPr>
        <w:spacing w:after="330"/>
      </w:pPr>
      <w:r w:rsidRPr="00306B4C">
        <w:t xml:space="preserve">A </w:t>
      </w:r>
      <w:r w:rsidR="002C0F7C" w:rsidRPr="00306B4C">
        <w:t>refresh</w:t>
      </w:r>
      <w:r w:rsidRPr="00306B4C">
        <w:t xml:space="preserve"> of the </w:t>
      </w:r>
      <w:r w:rsidR="00DA01D4" w:rsidRPr="00306B4C">
        <w:t>M</w:t>
      </w:r>
      <w:r w:rsidR="008D2E8E" w:rsidRPr="00306B4C">
        <w:t>ission’s</w:t>
      </w:r>
      <w:r w:rsidRPr="00306B4C">
        <w:t xml:space="preserve"> Roadmap and Implementation </w:t>
      </w:r>
      <w:r w:rsidRPr="00DB0028">
        <w:t xml:space="preserve">Plan </w:t>
      </w:r>
      <w:r w:rsidR="00B44314">
        <w:t>was</w:t>
      </w:r>
      <w:r w:rsidRPr="00DB0028">
        <w:t xml:space="preserve"> </w:t>
      </w:r>
      <w:r w:rsidR="00DA01D4">
        <w:t>commenced</w:t>
      </w:r>
      <w:r w:rsidR="00B44314">
        <w:t xml:space="preserve"> in</w:t>
      </w:r>
      <w:r w:rsidR="002B215C">
        <w:t xml:space="preserve"> </w:t>
      </w:r>
      <w:r w:rsidR="000B0A7D">
        <w:t xml:space="preserve">2024 by a secondary </w:t>
      </w:r>
      <w:r w:rsidR="00DA01D4">
        <w:t>EAP</w:t>
      </w:r>
      <w:r w:rsidRPr="00DB0028">
        <w:t xml:space="preserve"> to ensure the Mission accounts for emerging evidence and is consistent with the Government’s responses to the </w:t>
      </w:r>
      <w:r w:rsidRPr="00DB0028">
        <w:rPr>
          <w:u w:val="single"/>
        </w:rPr>
        <w:t>Senate Inquiry into concussions and repeated head trauma in contact sport</w:t>
      </w:r>
      <w:r w:rsidRPr="00DB0028">
        <w:t xml:space="preserve"> and the </w:t>
      </w:r>
      <w:r w:rsidRPr="00CE324A">
        <w:rPr>
          <w:u w:val="single"/>
        </w:rPr>
        <w:t>Inquiry into family, domestic and sexual violence</w:t>
      </w:r>
      <w:r w:rsidRPr="00DB0028">
        <w:t xml:space="preserve">. </w:t>
      </w:r>
      <w:r w:rsidR="002C0F7C">
        <w:t>The</w:t>
      </w:r>
      <w:r w:rsidRPr="00DB0028">
        <w:t xml:space="preserve"> re</w:t>
      </w:r>
      <w:r w:rsidR="002C0F7C">
        <w:t>fresh</w:t>
      </w:r>
      <w:r w:rsidRPr="00DB0028">
        <w:t xml:space="preserve"> </w:t>
      </w:r>
      <w:r w:rsidR="008660DF">
        <w:t>allowed</w:t>
      </w:r>
      <w:r w:rsidRPr="00DB0028">
        <w:t xml:space="preserve"> consideration of recent policy frameworks such as the National Plan to end Violence against Women and Children 2022-2032, and relevant action plans such as the Aboriginal and Torres Strait Islander Action Plan 2023–2025.</w:t>
      </w:r>
    </w:p>
    <w:tbl>
      <w:tblPr>
        <w:tblStyle w:val="TableGrid"/>
        <w:tblW w:w="0" w:type="auto"/>
        <w:tblBorders>
          <w:top w:val="single" w:sz="4" w:space="0" w:color="902A26"/>
          <w:left w:val="single" w:sz="4" w:space="0" w:color="902A26"/>
          <w:bottom w:val="single" w:sz="4" w:space="0" w:color="902A26"/>
          <w:right w:val="single" w:sz="4" w:space="0" w:color="902A26"/>
          <w:insideH w:val="single" w:sz="4" w:space="0" w:color="902A26"/>
          <w:insideV w:val="single" w:sz="4" w:space="0" w:color="902A26"/>
        </w:tblBorders>
        <w:tblLook w:val="04A0" w:firstRow="1" w:lastRow="0" w:firstColumn="1" w:lastColumn="0" w:noHBand="0" w:noVBand="1"/>
      </w:tblPr>
      <w:tblGrid>
        <w:gridCol w:w="9060"/>
      </w:tblGrid>
      <w:tr w:rsidR="0001378C" w14:paraId="46037043" w14:textId="77777777" w:rsidTr="0001378C">
        <w:tc>
          <w:tcPr>
            <w:tcW w:w="9060" w:type="dxa"/>
          </w:tcPr>
          <w:p w14:paraId="2FFF235F" w14:textId="77777777" w:rsidR="0001378C" w:rsidRPr="00441913" w:rsidRDefault="0001378C" w:rsidP="00441913">
            <w:pPr>
              <w:pStyle w:val="Boxheading"/>
            </w:pPr>
            <w:r w:rsidRPr="00441913">
              <w:t>OUR MISSION</w:t>
            </w:r>
          </w:p>
          <w:p w14:paraId="5C20E55A" w14:textId="77777777" w:rsidR="0001378C" w:rsidRDefault="0001378C" w:rsidP="002F2837">
            <w:pPr>
              <w:spacing w:after="240"/>
            </w:pPr>
            <w:r w:rsidRPr="0001378C">
              <w:t>To accelerate Australian TBI research that develops and delivers evidence that informs innovative and effective treatments, that substantially and equitably optimize and improve outcomes for people who experience TBI, in partnership with people with TBI, their families and other community support networks.</w:t>
            </w:r>
          </w:p>
          <w:p w14:paraId="66F36CDD" w14:textId="77777777" w:rsidR="0001378C" w:rsidRPr="0001378C" w:rsidRDefault="0001378C" w:rsidP="00441913">
            <w:pPr>
              <w:pStyle w:val="Boxheading"/>
            </w:pPr>
            <w:r w:rsidRPr="0001378C">
              <w:t>OUR GOAL</w:t>
            </w:r>
          </w:p>
          <w:p w14:paraId="0F5B8B80" w14:textId="5DD570EA" w:rsidR="0001378C" w:rsidRDefault="0001378C" w:rsidP="009D3765">
            <w:pPr>
              <w:spacing w:after="240"/>
            </w:pPr>
            <w:r w:rsidRPr="0001378C">
              <w:t>To better predict recovery outcomes after a TBI, identify the most effective care and treatments and reduce barriers to support people to live their best possible life after TBI.</w:t>
            </w:r>
          </w:p>
        </w:tc>
      </w:tr>
    </w:tbl>
    <w:p w14:paraId="16587216" w14:textId="2241A14A" w:rsidR="00C84779" w:rsidRDefault="00C84779" w:rsidP="00306B4C">
      <w:r>
        <w:br w:type="page"/>
      </w:r>
    </w:p>
    <w:p w14:paraId="00F2B9F2" w14:textId="5548B0CD" w:rsidR="00944ED8" w:rsidRDefault="00944ED8" w:rsidP="00306B4C">
      <w:r w:rsidRPr="00406D25">
        <w:lastRenderedPageBreak/>
        <w:t xml:space="preserve">The </w:t>
      </w:r>
      <w:r w:rsidR="00EC527D">
        <w:t>TBI EAP</w:t>
      </w:r>
      <w:r>
        <w:t xml:space="preserve"> </w:t>
      </w:r>
      <w:r w:rsidRPr="00406D25">
        <w:t xml:space="preserve">developed </w:t>
      </w:r>
      <w:r w:rsidR="00EC527D">
        <w:t>the</w:t>
      </w:r>
      <w:r w:rsidRPr="00406D25">
        <w:t xml:space="preserve"> Roadmap and Implementation Plan to advise </w:t>
      </w:r>
      <w:r w:rsidR="00EC527D">
        <w:t xml:space="preserve">the Minister on the </w:t>
      </w:r>
      <w:r w:rsidRPr="00406D25">
        <w:t xml:space="preserve">priorities for research investment through </w:t>
      </w:r>
      <w:r w:rsidR="0056791F">
        <w:t xml:space="preserve">the </w:t>
      </w:r>
      <w:r w:rsidR="00EC527D">
        <w:t>M</w:t>
      </w:r>
      <w:r w:rsidR="0056791F">
        <w:t>ission</w:t>
      </w:r>
      <w:r w:rsidRPr="00406D25">
        <w:t>.</w:t>
      </w:r>
    </w:p>
    <w:p w14:paraId="7AD42352" w14:textId="60B3908C" w:rsidR="00944ED8" w:rsidRDefault="00944ED8" w:rsidP="00395B06">
      <w:r w:rsidRPr="00406D25">
        <w:t>The Roadmap includes:</w:t>
      </w:r>
    </w:p>
    <w:p w14:paraId="375BF9A7" w14:textId="63BD3029" w:rsidR="00944ED8" w:rsidRDefault="00944ED8" w:rsidP="00395B06">
      <w:pPr>
        <w:pStyle w:val="ListBullet"/>
      </w:pPr>
      <w:r w:rsidRPr="00406D25">
        <w:t xml:space="preserve">the </w:t>
      </w:r>
      <w:r w:rsidR="00EC527D">
        <w:t>M</w:t>
      </w:r>
      <w:r w:rsidRPr="00406D25">
        <w:t xml:space="preserve">ission </w:t>
      </w:r>
      <w:r w:rsidRPr="00395B06">
        <w:t>statement</w:t>
      </w:r>
      <w:r w:rsidRPr="00406D25">
        <w:t xml:space="preserve"> and goal</w:t>
      </w:r>
    </w:p>
    <w:p w14:paraId="5E853A3B" w14:textId="6BED84E9" w:rsidR="00944ED8" w:rsidRDefault="00944ED8" w:rsidP="00395B06">
      <w:pPr>
        <w:pStyle w:val="ListBullet"/>
      </w:pPr>
      <w:r w:rsidRPr="00406D25">
        <w:t>possible themes and priorities for investment</w:t>
      </w:r>
    </w:p>
    <w:p w14:paraId="3817DCF9" w14:textId="1210CDB1" w:rsidR="00944ED8" w:rsidRDefault="00944ED8" w:rsidP="00395B06">
      <w:r w:rsidRPr="00406D25">
        <w:t>The Implementation Plan includes:</w:t>
      </w:r>
    </w:p>
    <w:p w14:paraId="068519BF" w14:textId="29AFBA45" w:rsidR="00944ED8" w:rsidRDefault="00944ED8" w:rsidP="00395B06">
      <w:pPr>
        <w:pStyle w:val="ListBullet"/>
      </w:pPr>
      <w:r w:rsidRPr="00406D25">
        <w:t xml:space="preserve">3 aims that outline how </w:t>
      </w:r>
      <w:r w:rsidR="0056791F">
        <w:t xml:space="preserve">the </w:t>
      </w:r>
      <w:r w:rsidR="00EC527D">
        <w:t>M</w:t>
      </w:r>
      <w:r w:rsidR="0056791F">
        <w:t>ission</w:t>
      </w:r>
      <w:r w:rsidRPr="00406D25">
        <w:t xml:space="preserve"> will benefit Australians</w:t>
      </w:r>
    </w:p>
    <w:p w14:paraId="3B396D55" w14:textId="5589C108" w:rsidR="00944ED8" w:rsidRDefault="00944ED8" w:rsidP="00395B06">
      <w:pPr>
        <w:pStyle w:val="ListBullet"/>
      </w:pPr>
      <w:r w:rsidRPr="00406D25">
        <w:t>priorities for investment in the short, medium and long term</w:t>
      </w:r>
    </w:p>
    <w:p w14:paraId="25243185" w14:textId="20BF3330" w:rsidR="00944ED8" w:rsidRDefault="00944ED8" w:rsidP="00395B06">
      <w:pPr>
        <w:pStyle w:val="ListBullet"/>
      </w:pPr>
      <w:r w:rsidRPr="00406D25">
        <w:t>opportunities for leveraging additional investment</w:t>
      </w:r>
    </w:p>
    <w:p w14:paraId="788C7469" w14:textId="621B85C3" w:rsidR="00944ED8" w:rsidRDefault="00944ED8" w:rsidP="00395B06">
      <w:pPr>
        <w:pStyle w:val="ListBullet"/>
      </w:pPr>
      <w:r w:rsidRPr="00406D25">
        <w:t xml:space="preserve">activities needed to support </w:t>
      </w:r>
      <w:r w:rsidR="0056791F">
        <w:t>the mission</w:t>
      </w:r>
      <w:r w:rsidRPr="00406D25">
        <w:t>’s outcomes and facilitate their implementation</w:t>
      </w:r>
    </w:p>
    <w:p w14:paraId="4AD563FB" w14:textId="55288FAC" w:rsidR="00361CBC" w:rsidRPr="00D3145A" w:rsidRDefault="00944ED8" w:rsidP="00306B4C">
      <w:pPr>
        <w:rPr>
          <w:bCs/>
        </w:rPr>
      </w:pPr>
      <w:r w:rsidRPr="00406D25">
        <w:t>T</w:t>
      </w:r>
      <w:r w:rsidR="00EC527D">
        <w:t xml:space="preserve">BI EAP </w:t>
      </w:r>
      <w:r w:rsidRPr="00406D25">
        <w:t xml:space="preserve">members will consult and engage with other researchers, industry, and consumer and patient groups, and participate in media and public activities to build awareness of, and facilitate interaction with, the </w:t>
      </w:r>
      <w:r>
        <w:t>M</w:t>
      </w:r>
      <w:r w:rsidRPr="00406D25">
        <w:t>ission and with other MRFF-funded research</w:t>
      </w:r>
      <w:r>
        <w:t>.</w:t>
      </w:r>
    </w:p>
    <w:p w14:paraId="5AD0AF75" w14:textId="77777777" w:rsidR="009D6EF0" w:rsidRDefault="009D6EF0" w:rsidP="00F10102">
      <w:pPr>
        <w:pStyle w:val="Heading2"/>
        <w:rPr>
          <w:b/>
        </w:rPr>
      </w:pPr>
      <w:bookmarkStart w:id="0" w:name="_Toc96522283"/>
      <w:r w:rsidRPr="009D6EF0">
        <w:t>Traumatic Brain Injury Mission International Review Panel</w:t>
      </w:r>
    </w:p>
    <w:p w14:paraId="178CFE5C" w14:textId="26097E8D" w:rsidR="009E1BF6" w:rsidRDefault="009E1BF6" w:rsidP="00306B4C">
      <w:r w:rsidRPr="004502C6">
        <w:t>The T</w:t>
      </w:r>
      <w:r w:rsidR="00EC527D">
        <w:t xml:space="preserve">BI </w:t>
      </w:r>
      <w:r w:rsidRPr="004502C6">
        <w:t xml:space="preserve">International Review Panel’s role was to provide expert feedback and experiential advice in the context of relevant activities occurring internationally, which can inform the strategic direction of the </w:t>
      </w:r>
      <w:r w:rsidR="00EC527D">
        <w:t>TBI</w:t>
      </w:r>
      <w:r w:rsidRPr="004502C6">
        <w:t xml:space="preserve"> Mission’s Roadmap and Implementation Plan.</w:t>
      </w:r>
    </w:p>
    <w:p w14:paraId="14F33DAF" w14:textId="71AF7E45" w:rsidR="0063475E" w:rsidRDefault="0063475E" w:rsidP="00306B4C">
      <w:r>
        <w:t>The T</w:t>
      </w:r>
      <w:r w:rsidR="00EC527D">
        <w:t xml:space="preserve">BI </w:t>
      </w:r>
      <w:r>
        <w:t>International Review Panel</w:t>
      </w:r>
      <w:r w:rsidRPr="0077092B">
        <w:t xml:space="preserve"> members </w:t>
      </w:r>
      <w:r>
        <w:t xml:space="preserve">were first </w:t>
      </w:r>
      <w:r w:rsidRPr="0077092B">
        <w:t xml:space="preserve">asked to provide their views on the Mission, </w:t>
      </w:r>
      <w:r>
        <w:t>its</w:t>
      </w:r>
      <w:r w:rsidRPr="0077092B">
        <w:t xml:space="preserve"> impact to date</w:t>
      </w:r>
      <w:r>
        <w:t>,</w:t>
      </w:r>
      <w:r w:rsidRPr="0077092B">
        <w:t xml:space="preserve"> and where the Mission sits within the </w:t>
      </w:r>
      <w:r w:rsidR="00EC527D">
        <w:t>I</w:t>
      </w:r>
      <w:r w:rsidRPr="0077092B">
        <w:t xml:space="preserve">nternational </w:t>
      </w:r>
      <w:r w:rsidR="00EC527D">
        <w:t xml:space="preserve">TBI </w:t>
      </w:r>
      <w:r w:rsidRPr="0077092B">
        <w:t>research funding landscape</w:t>
      </w:r>
      <w:r>
        <w:t>:</w:t>
      </w:r>
    </w:p>
    <w:p w14:paraId="52920F28" w14:textId="77777777" w:rsidR="0063475E" w:rsidRDefault="0063475E" w:rsidP="003B0E3E">
      <w:pPr>
        <w:pStyle w:val="ListParagraph"/>
        <w:numPr>
          <w:ilvl w:val="0"/>
          <w:numId w:val="23"/>
        </w:numPr>
        <w:ind w:left="714" w:hanging="357"/>
        <w:contextualSpacing w:val="0"/>
      </w:pPr>
      <w:r>
        <w:t>Any significant achievements or impact from the MRFF Traumatic Brain Injury Mission, or from any specific research projects funded by the Mission or the MRFF related to traumatic brain injury.</w:t>
      </w:r>
    </w:p>
    <w:p w14:paraId="485C4E4B" w14:textId="77777777" w:rsidR="0063475E" w:rsidRDefault="0063475E" w:rsidP="00306B4C">
      <w:pPr>
        <w:pStyle w:val="ListParagraph"/>
        <w:numPr>
          <w:ilvl w:val="0"/>
          <w:numId w:val="23"/>
        </w:numPr>
      </w:pPr>
      <w:r>
        <w:t>What are Australia’s key strengths and capability gaps in traumatic brain injury research, and how these sit within the international landscape, e.g. whether they are unique to Australia, or common internationally.</w:t>
      </w:r>
    </w:p>
    <w:p w14:paraId="1706C034" w14:textId="0199E9BA" w:rsidR="009E1BF6" w:rsidRDefault="0063475E" w:rsidP="00306B4C">
      <w:r>
        <w:t>With regards to the Roadmap and Implementation Plan, t</w:t>
      </w:r>
      <w:r w:rsidR="009E1BF6" w:rsidRPr="004502C6">
        <w:t xml:space="preserve">he </w:t>
      </w:r>
      <w:r w:rsidR="00EC527D">
        <w:t xml:space="preserve">TBI </w:t>
      </w:r>
      <w:r w:rsidR="009E1BF6">
        <w:t xml:space="preserve">International Review </w:t>
      </w:r>
      <w:r w:rsidR="009E1BF6" w:rsidRPr="004502C6">
        <w:t>Panel members were asked to</w:t>
      </w:r>
      <w:r w:rsidR="009E1BF6">
        <w:t>:</w:t>
      </w:r>
    </w:p>
    <w:p w14:paraId="790847E1" w14:textId="57CFAAB3" w:rsidR="009E1BF6" w:rsidRDefault="009E1BF6" w:rsidP="003B0E3E">
      <w:pPr>
        <w:pStyle w:val="ListParagraph"/>
        <w:numPr>
          <w:ilvl w:val="0"/>
          <w:numId w:val="24"/>
        </w:numPr>
        <w:ind w:left="714" w:hanging="357"/>
        <w:contextualSpacing w:val="0"/>
      </w:pPr>
      <w:r w:rsidRPr="00665589">
        <w:t xml:space="preserve">Advise on the applicability of the Mission’s goals to the </w:t>
      </w:r>
      <w:r w:rsidR="00EC527D">
        <w:t>i</w:t>
      </w:r>
      <w:r w:rsidRPr="00665589">
        <w:t>nternational context, specifically whether the goals duplicate or contribute to international research activities.</w:t>
      </w:r>
    </w:p>
    <w:p w14:paraId="16688D10" w14:textId="30E62E22" w:rsidR="009E1BF6" w:rsidRPr="00665589" w:rsidRDefault="009E1BF6" w:rsidP="003B0E3E">
      <w:pPr>
        <w:pStyle w:val="ListParagraph"/>
        <w:numPr>
          <w:ilvl w:val="0"/>
          <w:numId w:val="24"/>
        </w:numPr>
        <w:ind w:left="714" w:hanging="357"/>
        <w:contextualSpacing w:val="0"/>
      </w:pPr>
      <w:r w:rsidRPr="00665589">
        <w:t>Advise on the likely efficacy of the research priorities (including their sequencing) to achieve the goals.</w:t>
      </w:r>
    </w:p>
    <w:p w14:paraId="15095943" w14:textId="1458364A" w:rsidR="009E1BF6" w:rsidRDefault="009E1BF6" w:rsidP="003B0E3E">
      <w:pPr>
        <w:pStyle w:val="ListParagraph"/>
        <w:numPr>
          <w:ilvl w:val="0"/>
          <w:numId w:val="24"/>
        </w:numPr>
        <w:ind w:left="714" w:hanging="357"/>
        <w:contextualSpacing w:val="0"/>
      </w:pPr>
      <w:r w:rsidRPr="00665589">
        <w:t>Provide learnings from international research activities in the field.</w:t>
      </w:r>
    </w:p>
    <w:p w14:paraId="4BB1EAB6" w14:textId="01000D87" w:rsidR="009E1BF6" w:rsidRPr="00665589" w:rsidRDefault="009E1BF6" w:rsidP="003B0E3E">
      <w:pPr>
        <w:pStyle w:val="ListParagraph"/>
        <w:numPr>
          <w:ilvl w:val="0"/>
          <w:numId w:val="24"/>
        </w:numPr>
        <w:ind w:left="714" w:hanging="357"/>
        <w:contextualSpacing w:val="0"/>
      </w:pPr>
      <w:r w:rsidRPr="00665589">
        <w:t>Identify opportunities for leveraging and compl</w:t>
      </w:r>
      <w:r w:rsidR="00C5074A">
        <w:t>e</w:t>
      </w:r>
      <w:r w:rsidRPr="00665589">
        <w:t>menting international research activities to achieve the Mission’s goals.</w:t>
      </w:r>
    </w:p>
    <w:p w14:paraId="4BE5A4C5" w14:textId="739353BF" w:rsidR="009E1BF6" w:rsidRDefault="009E1BF6" w:rsidP="003B0E3E">
      <w:pPr>
        <w:pStyle w:val="ListParagraph"/>
        <w:numPr>
          <w:ilvl w:val="0"/>
          <w:numId w:val="24"/>
        </w:numPr>
        <w:ind w:left="714" w:hanging="357"/>
        <w:contextualSpacing w:val="0"/>
      </w:pPr>
      <w:r w:rsidRPr="00665589">
        <w:t>Advise on the appropriateness of the proposed measures for evaluating progress towards meeting the goals.</w:t>
      </w:r>
    </w:p>
    <w:p w14:paraId="2ABF8BA0" w14:textId="74B4250A" w:rsidR="003B0E3E" w:rsidRDefault="00C5074A" w:rsidP="003B0E3E">
      <w:pPr>
        <w:pStyle w:val="ListParagraph"/>
        <w:numPr>
          <w:ilvl w:val="0"/>
          <w:numId w:val="24"/>
        </w:numPr>
      </w:pPr>
      <w:r>
        <w:t>Advise on opportunities to improve translation and impact of TBI-funded research.</w:t>
      </w:r>
      <w:r w:rsidR="003B0E3E">
        <w:br w:type="page"/>
      </w:r>
    </w:p>
    <w:p w14:paraId="4D594BF7" w14:textId="7A0C3479" w:rsidR="009E1BF6" w:rsidRDefault="009E1BF6" w:rsidP="00306B4C">
      <w:r w:rsidRPr="00B93C31">
        <w:lastRenderedPageBreak/>
        <w:t>The T</w:t>
      </w:r>
      <w:r w:rsidR="00EC527D">
        <w:t xml:space="preserve">BI </w:t>
      </w:r>
      <w:r>
        <w:t xml:space="preserve">International Review </w:t>
      </w:r>
      <w:r w:rsidRPr="00B93C31">
        <w:t xml:space="preserve">Panel comprised </w:t>
      </w:r>
      <w:r w:rsidR="005D4E63">
        <w:t>4</w:t>
      </w:r>
      <w:r w:rsidRPr="00B93C31">
        <w:t xml:space="preserve"> members representing expertise in a variety of clinical and scientific research areas:</w:t>
      </w:r>
    </w:p>
    <w:p w14:paraId="232D265A" w14:textId="1160A064" w:rsidR="009A661F" w:rsidRPr="002C0F7C" w:rsidRDefault="009A661F" w:rsidP="000D22DD">
      <w:pPr>
        <w:pStyle w:val="ListBullet"/>
      </w:pPr>
      <w:r w:rsidRPr="002C0F7C">
        <w:t xml:space="preserve">Ms Imelda Lynch (Chair) – Current member of the Australian Medical Research </w:t>
      </w:r>
      <w:r w:rsidR="001B2A2A" w:rsidRPr="002C0F7C">
        <w:t>Advisory</w:t>
      </w:r>
      <w:r w:rsidRPr="002C0F7C">
        <w:t xml:space="preserve"> Board and </w:t>
      </w:r>
      <w:r w:rsidRPr="002C0F7C">
        <w:rPr>
          <w:lang w:eastAsia="en-AU"/>
        </w:rPr>
        <w:t xml:space="preserve">the former CEO of the Heart Foundation </w:t>
      </w:r>
      <w:r w:rsidR="00F4351B" w:rsidRPr="002C0F7C">
        <w:rPr>
          <w:lang w:eastAsia="en-AU"/>
        </w:rPr>
        <w:t>South Australia/Northern Territory</w:t>
      </w:r>
      <w:r w:rsidRPr="002C0F7C">
        <w:rPr>
          <w:lang w:eastAsia="en-AU"/>
        </w:rPr>
        <w:t>.</w:t>
      </w:r>
      <w:r w:rsidR="0039143C" w:rsidRPr="002C0F7C">
        <w:rPr>
          <w:lang w:eastAsia="en-AU"/>
        </w:rPr>
        <w:t xml:space="preserve"> </w:t>
      </w:r>
      <w:r w:rsidR="00351949" w:rsidRPr="002C0F7C">
        <w:rPr>
          <w:lang w:eastAsia="en-AU"/>
        </w:rPr>
        <w:t xml:space="preserve">Ms Lynch’s </w:t>
      </w:r>
      <w:r w:rsidR="0039143C" w:rsidRPr="002C0F7C">
        <w:rPr>
          <w:lang w:eastAsia="en-AU"/>
        </w:rPr>
        <w:t xml:space="preserve">career has included acute health care </w:t>
      </w:r>
      <w:r w:rsidR="00351949" w:rsidRPr="002C0F7C">
        <w:rPr>
          <w:lang w:eastAsia="en-AU"/>
        </w:rPr>
        <w:t xml:space="preserve">nursing </w:t>
      </w:r>
      <w:r w:rsidR="0039143C" w:rsidRPr="002C0F7C">
        <w:rPr>
          <w:lang w:eastAsia="en-AU"/>
        </w:rPr>
        <w:t>and working in human research ethics.</w:t>
      </w:r>
    </w:p>
    <w:p w14:paraId="5E0CAE78" w14:textId="6AD7AC40" w:rsidR="009A661F" w:rsidRDefault="009A661F" w:rsidP="000D22DD">
      <w:pPr>
        <w:pStyle w:val="ListBullet"/>
      </w:pPr>
      <w:r w:rsidRPr="002C0F7C">
        <w:t>Dr Amanda Rabinowitz</w:t>
      </w:r>
      <w:r w:rsidR="00C3728D" w:rsidRPr="002C0F7C">
        <w:t xml:space="preserve"> – </w:t>
      </w:r>
      <w:r w:rsidRPr="002C0F7C">
        <w:t>Associate Director, Jefferson Moss Rehabilitation Research Institute</w:t>
      </w:r>
      <w:r w:rsidR="0035211C" w:rsidRPr="002C0F7C">
        <w:t xml:space="preserve">. </w:t>
      </w:r>
      <w:r w:rsidR="00351949" w:rsidRPr="002C0F7C">
        <w:t xml:space="preserve">Dr Rabinowitz’s </w:t>
      </w:r>
      <w:r w:rsidR="0039143C" w:rsidRPr="002C0F7C">
        <w:t xml:space="preserve">research focuses on the psychosocial elements that promote resilience following </w:t>
      </w:r>
      <w:r w:rsidR="00351949" w:rsidRPr="002C0F7C">
        <w:t>TBI</w:t>
      </w:r>
      <w:r w:rsidR="0039143C" w:rsidRPr="002C0F7C">
        <w:t>, particularly emphasising self-regulation as a crucial factor.</w:t>
      </w:r>
    </w:p>
    <w:p w14:paraId="5ECAAF8C" w14:textId="1CEBFDC4" w:rsidR="00321E74" w:rsidRDefault="009A661F" w:rsidP="000D22DD">
      <w:pPr>
        <w:pStyle w:val="ListBullet"/>
      </w:pPr>
      <w:r w:rsidRPr="002C0F7C">
        <w:t xml:space="preserve">Dr Carrie </w:t>
      </w:r>
      <w:proofErr w:type="spellStart"/>
      <w:r w:rsidRPr="002C0F7C">
        <w:t>Esopenko</w:t>
      </w:r>
      <w:proofErr w:type="spellEnd"/>
      <w:r w:rsidR="00C3728D" w:rsidRPr="002C0F7C">
        <w:t xml:space="preserve"> – Associate Professor in the Department of Rehabilitation and Human Performance, Icahn School of Medicine at Mount Sinai Hospital</w:t>
      </w:r>
      <w:r w:rsidR="0035211C" w:rsidRPr="002C0F7C">
        <w:t xml:space="preserve">. </w:t>
      </w:r>
      <w:r w:rsidR="00351949" w:rsidRPr="002C0F7C">
        <w:t xml:space="preserve">Dr </w:t>
      </w:r>
      <w:proofErr w:type="spellStart"/>
      <w:r w:rsidR="00351949" w:rsidRPr="002C0F7C">
        <w:t>Esopenko’s</w:t>
      </w:r>
      <w:proofErr w:type="spellEnd"/>
      <w:r w:rsidR="00351949" w:rsidRPr="002C0F7C">
        <w:t xml:space="preserve"> </w:t>
      </w:r>
      <w:r w:rsidR="0039143C" w:rsidRPr="002C0F7C">
        <w:t xml:space="preserve">research explores the effects of </w:t>
      </w:r>
      <w:r w:rsidR="00351949" w:rsidRPr="002C0F7C">
        <w:t xml:space="preserve">TBI </w:t>
      </w:r>
      <w:r w:rsidR="0039143C" w:rsidRPr="002C0F7C">
        <w:t>and repetitive head trauma on cognitive, neural and psychological health in women exposed to intimate partner violence, sexual trauma, and</w:t>
      </w:r>
      <w:r w:rsidR="00351949" w:rsidRPr="002C0F7C">
        <w:t xml:space="preserve"> military</w:t>
      </w:r>
      <w:r w:rsidR="0039143C" w:rsidRPr="002C0F7C">
        <w:t xml:space="preserve"> blast-related injuries.</w:t>
      </w:r>
    </w:p>
    <w:p w14:paraId="3AB97E17" w14:textId="73D12741" w:rsidR="00321E74" w:rsidRDefault="00321E74" w:rsidP="00C50796">
      <w:pPr>
        <w:pStyle w:val="ListBullet"/>
      </w:pPr>
      <w:r w:rsidRPr="002C0F7C">
        <w:t>Dr Grant Iverson – Director, Mass</w:t>
      </w:r>
      <w:r w:rsidR="00351949" w:rsidRPr="002C0F7C">
        <w:t xml:space="preserve">achusetts </w:t>
      </w:r>
      <w:r w:rsidRPr="002C0F7C">
        <w:t>General Hospital for Children Sports</w:t>
      </w:r>
      <w:r w:rsidR="0039143C" w:rsidRPr="002C0F7C">
        <w:t xml:space="preserve">. </w:t>
      </w:r>
      <w:r w:rsidR="00351949" w:rsidRPr="002C0F7C">
        <w:t>Dr Iverson</w:t>
      </w:r>
      <w:r w:rsidR="0039143C" w:rsidRPr="002C0F7C">
        <w:t xml:space="preserve"> leads a globally recognised research program on the outcomes of mild </w:t>
      </w:r>
      <w:r w:rsidR="00351949" w:rsidRPr="002C0F7C">
        <w:t xml:space="preserve">TBI </w:t>
      </w:r>
      <w:r w:rsidR="0039143C" w:rsidRPr="002C0F7C">
        <w:t>in athletes, civilians, military personnel and veteran</w:t>
      </w:r>
      <w:r w:rsidR="0039143C" w:rsidRPr="0039143C">
        <w:t>s.</w:t>
      </w:r>
      <w:r w:rsidR="002C0F7C">
        <w:t xml:space="preserve"> </w:t>
      </w:r>
      <w:r w:rsidR="00AF5444">
        <w:t xml:space="preserve">Dr Iverson </w:t>
      </w:r>
      <w:r w:rsidR="002C0F7C">
        <w:t>was also part of the international review panel when the TBI Mission was first established.</w:t>
      </w:r>
      <w:r>
        <w:br w:type="page"/>
      </w:r>
    </w:p>
    <w:p w14:paraId="361F0D00" w14:textId="3E61A5C7" w:rsidR="00306B4C" w:rsidRDefault="00306B4C" w:rsidP="00306B4C">
      <w:pPr>
        <w:pStyle w:val="Heading1"/>
      </w:pPr>
      <w:r>
        <w:lastRenderedPageBreak/>
        <w:t>Consultation discussion</w:t>
      </w:r>
    </w:p>
    <w:p w14:paraId="74CC1E3D" w14:textId="4441CC8B" w:rsidR="004445CB" w:rsidRPr="00007F01" w:rsidRDefault="004445CB" w:rsidP="00306B4C">
      <w:r w:rsidRPr="00B20C6B">
        <w:t xml:space="preserve">The </w:t>
      </w:r>
      <w:r w:rsidR="00EC527D">
        <w:t xml:space="preserve">TBI </w:t>
      </w:r>
      <w:r>
        <w:t xml:space="preserve">International Review </w:t>
      </w:r>
      <w:r w:rsidRPr="00B20C6B">
        <w:t xml:space="preserve">Panel met on </w:t>
      </w:r>
      <w:r w:rsidR="00321E74">
        <w:t>Thurs</w:t>
      </w:r>
      <w:r w:rsidRPr="00B20C6B">
        <w:t xml:space="preserve">day </w:t>
      </w:r>
      <w:r>
        <w:t>6 February 2025</w:t>
      </w:r>
      <w:r w:rsidRPr="00B20C6B">
        <w:t xml:space="preserve"> to discuss the Mission’s Roadmap and Implementation Plan.</w:t>
      </w:r>
    </w:p>
    <w:p w14:paraId="55B104AB" w14:textId="77777777" w:rsidR="004445CB" w:rsidRDefault="004445CB" w:rsidP="00306B4C">
      <w:pPr>
        <w:pStyle w:val="Paragraphtext"/>
      </w:pPr>
      <w:r w:rsidRPr="00B20C6B">
        <w:t>All participants at the meeting were required to declare any conflicts of interest and relevant collaborations. None of the declared interests were considered material to the meeting.</w:t>
      </w:r>
    </w:p>
    <w:tbl>
      <w:tblPr>
        <w:tblStyle w:val="TableGrid"/>
        <w:tblW w:w="0" w:type="auto"/>
        <w:tblBorders>
          <w:top w:val="single" w:sz="4" w:space="0" w:color="902A26"/>
          <w:left w:val="single" w:sz="4" w:space="0" w:color="902A26"/>
          <w:bottom w:val="single" w:sz="4" w:space="0" w:color="902A26"/>
          <w:right w:val="single" w:sz="4" w:space="0" w:color="902A26"/>
          <w:insideH w:val="single" w:sz="4" w:space="0" w:color="902A26"/>
          <w:insideV w:val="single" w:sz="4" w:space="0" w:color="902A26"/>
        </w:tblBorders>
        <w:tblLook w:val="04A0" w:firstRow="1" w:lastRow="0" w:firstColumn="1" w:lastColumn="0" w:noHBand="0" w:noVBand="1"/>
      </w:tblPr>
      <w:tblGrid>
        <w:gridCol w:w="9060"/>
      </w:tblGrid>
      <w:tr w:rsidR="0049018E" w14:paraId="53AD013D" w14:textId="77777777" w:rsidTr="0049018E">
        <w:tc>
          <w:tcPr>
            <w:tcW w:w="9060" w:type="dxa"/>
          </w:tcPr>
          <w:p w14:paraId="15120036" w14:textId="77777777" w:rsidR="0049018E" w:rsidRPr="0049018E" w:rsidRDefault="0049018E" w:rsidP="00AE33B2">
            <w:pPr>
              <w:pStyle w:val="Boxheading"/>
            </w:pPr>
            <w:r w:rsidRPr="0049018E">
              <w:t>KEY POINTS</w:t>
            </w:r>
          </w:p>
          <w:p w14:paraId="3B5D6153" w14:textId="552BE1CA" w:rsidR="00007F01" w:rsidRDefault="00007F01" w:rsidP="00AE33B2">
            <w:pPr>
              <w:pStyle w:val="ListBullet"/>
              <w:rPr>
                <w:iCs/>
              </w:rPr>
            </w:pPr>
            <w:r>
              <w:t xml:space="preserve">The Panel agreed with the priorities and sequencing of the Mission Roadmap, however wished to emphasise the importance of implementation research especially </w:t>
            </w:r>
            <w:r w:rsidR="00D879CD">
              <w:t xml:space="preserve">for </w:t>
            </w:r>
            <w:r>
              <w:t xml:space="preserve">underrepresented and underserved </w:t>
            </w:r>
            <w:r w:rsidRPr="00AE33B2">
              <w:t>populations</w:t>
            </w:r>
            <w:r>
              <w:t>.</w:t>
            </w:r>
          </w:p>
          <w:p w14:paraId="3648CD1C" w14:textId="01D7E989" w:rsidR="0049018E" w:rsidRDefault="0049018E" w:rsidP="00AE33B2">
            <w:pPr>
              <w:pStyle w:val="ListBullet"/>
            </w:pPr>
            <w:r w:rsidRPr="0049018E">
              <w:t xml:space="preserve">The Mission is unique </w:t>
            </w:r>
            <w:r w:rsidR="004E5911">
              <w:t>internationally in the way it</w:t>
            </w:r>
            <w:r w:rsidRPr="0049018E">
              <w:t xml:space="preserve"> </w:t>
            </w:r>
            <w:r w:rsidR="00F80ADD" w:rsidRPr="0049018E">
              <w:t>recogni</w:t>
            </w:r>
            <w:r w:rsidR="00F80ADD">
              <w:t>s</w:t>
            </w:r>
            <w:r w:rsidR="00F80ADD" w:rsidRPr="0049018E">
              <w:t>es</w:t>
            </w:r>
            <w:r w:rsidR="00D879CD">
              <w:t xml:space="preserve">, </w:t>
            </w:r>
            <w:r w:rsidR="00D879CD" w:rsidRPr="00D879CD">
              <w:rPr>
                <w:i/>
              </w:rPr>
              <w:t>via</w:t>
            </w:r>
            <w:r w:rsidR="00D879CD">
              <w:t xml:space="preserve"> a concerted funding effort,</w:t>
            </w:r>
            <w:r w:rsidR="00F80ADD" w:rsidRPr="0049018E">
              <w:t xml:space="preserve"> </w:t>
            </w:r>
            <w:r w:rsidRPr="0049018E">
              <w:t xml:space="preserve">the complexity of </w:t>
            </w:r>
            <w:r w:rsidR="00EC527D">
              <w:t xml:space="preserve">TBI </w:t>
            </w:r>
            <w:r w:rsidR="004E5911">
              <w:t xml:space="preserve">and fosters </w:t>
            </w:r>
            <w:r w:rsidR="00A611E6">
              <w:t xml:space="preserve">multi-disciplinary </w:t>
            </w:r>
            <w:r w:rsidR="004E5911">
              <w:t xml:space="preserve">research </w:t>
            </w:r>
            <w:r w:rsidR="00A611E6">
              <w:t>to address the clinical, psychosocial</w:t>
            </w:r>
            <w:r w:rsidR="005C75C7">
              <w:t xml:space="preserve"> and</w:t>
            </w:r>
            <w:r w:rsidR="00A611E6">
              <w:t xml:space="preserve"> rehabilitation </w:t>
            </w:r>
            <w:r w:rsidR="005C75C7">
              <w:t xml:space="preserve">needs of people with </w:t>
            </w:r>
            <w:r w:rsidR="00EC527D">
              <w:t>TBI</w:t>
            </w:r>
            <w:r w:rsidR="005C75C7">
              <w:t>.</w:t>
            </w:r>
          </w:p>
          <w:p w14:paraId="16FBE734" w14:textId="664594DB" w:rsidR="006366FC" w:rsidRPr="0049018E" w:rsidRDefault="006366FC" w:rsidP="00AE33B2">
            <w:pPr>
              <w:pStyle w:val="ListBullet"/>
            </w:pPr>
            <w:r>
              <w:t xml:space="preserve">Australia has historically had greatest international impact in </w:t>
            </w:r>
            <w:r>
              <w:rPr>
                <w:szCs w:val="32"/>
              </w:rPr>
              <w:t xml:space="preserve">the research areas of </w:t>
            </w:r>
            <w:r w:rsidR="00EC527D">
              <w:rPr>
                <w:szCs w:val="32"/>
              </w:rPr>
              <w:t>TBI</w:t>
            </w:r>
            <w:r>
              <w:rPr>
                <w:szCs w:val="32"/>
              </w:rPr>
              <w:t xml:space="preserve"> </w:t>
            </w:r>
            <w:r w:rsidRPr="00A53583">
              <w:rPr>
                <w:szCs w:val="32"/>
              </w:rPr>
              <w:t>prognosis and treatment</w:t>
            </w:r>
            <w:r>
              <w:rPr>
                <w:szCs w:val="32"/>
              </w:rPr>
              <w:t>.</w:t>
            </w:r>
          </w:p>
          <w:p w14:paraId="0BAD31BC" w14:textId="736816F6" w:rsidR="0049018E" w:rsidRPr="00007F01" w:rsidRDefault="0049018E" w:rsidP="00AE33B2">
            <w:pPr>
              <w:pStyle w:val="ListBullet"/>
            </w:pPr>
            <w:r w:rsidRPr="0049018E">
              <w:t xml:space="preserve">Gaps exist around </w:t>
            </w:r>
            <w:r w:rsidR="00007F01">
              <w:t xml:space="preserve">health equity and </w:t>
            </w:r>
            <w:r w:rsidRPr="0049018E">
              <w:t xml:space="preserve">social </w:t>
            </w:r>
            <w:r w:rsidR="003913C8">
              <w:t>determinant</w:t>
            </w:r>
            <w:r w:rsidRPr="0049018E">
              <w:t>s of health</w:t>
            </w:r>
            <w:r w:rsidR="00007F01">
              <w:t>, including</w:t>
            </w:r>
            <w:r w:rsidRPr="0049018E">
              <w:t xml:space="preserve"> how the</w:t>
            </w:r>
            <w:r w:rsidR="00315C92">
              <w:t>y</w:t>
            </w:r>
            <w:r w:rsidRPr="0049018E">
              <w:t xml:space="preserve"> interact with </w:t>
            </w:r>
            <w:r w:rsidR="00EC527D">
              <w:t>TBI</w:t>
            </w:r>
            <w:r w:rsidRPr="0049018E">
              <w:t xml:space="preserve"> diagnosis, treatment and </w:t>
            </w:r>
            <w:r w:rsidR="00007F01">
              <w:t>outcomes</w:t>
            </w:r>
            <w:r w:rsidRPr="0049018E">
              <w:t>.</w:t>
            </w:r>
          </w:p>
          <w:p w14:paraId="0E59B4B8" w14:textId="49E98363" w:rsidR="0049018E" w:rsidRDefault="006366FC" w:rsidP="00AE33B2">
            <w:pPr>
              <w:pStyle w:val="ListBullet"/>
            </w:pPr>
            <w:r>
              <w:t>There are opportunities for Australia to establish international leadership in research</w:t>
            </w:r>
            <w:r w:rsidR="00007F01">
              <w:t xml:space="preserve"> to understand </w:t>
            </w:r>
            <w:r w:rsidR="00007F01" w:rsidRPr="00007F01">
              <w:t>when, where, why and for who</w:t>
            </w:r>
            <w:r w:rsidR="00BC725F">
              <w:t>m</w:t>
            </w:r>
            <w:r w:rsidR="00007F01" w:rsidRPr="00007F01">
              <w:t xml:space="preserve"> a particular treatment or intervention will work</w:t>
            </w:r>
            <w:r w:rsidR="000C666E">
              <w:t>.</w:t>
            </w:r>
          </w:p>
          <w:p w14:paraId="5755F965" w14:textId="18586469" w:rsidR="00EF3A3B" w:rsidRPr="0049018E" w:rsidRDefault="00EF3A3B" w:rsidP="00AE33B2">
            <w:pPr>
              <w:pStyle w:val="ListBullet"/>
            </w:pPr>
            <w:r>
              <w:t>Consider requiring grantees to share data to an appropriate data repository</w:t>
            </w:r>
          </w:p>
          <w:p w14:paraId="5A002C36" w14:textId="13DA4FB5" w:rsidR="0049018E" w:rsidRDefault="0049018E" w:rsidP="00AE33B2">
            <w:pPr>
              <w:pStyle w:val="ListBullet"/>
              <w:rPr>
                <w:b/>
                <w:bCs/>
              </w:rPr>
            </w:pPr>
            <w:r w:rsidRPr="0049018E">
              <w:t>Evaluation measures listed in the implementation plan are long-term</w:t>
            </w:r>
            <w:r w:rsidR="006366FC">
              <w:t xml:space="preserve"> in nature. It is advisable to develop i</w:t>
            </w:r>
            <w:r w:rsidRPr="0049018E">
              <w:t xml:space="preserve">nterim measures </w:t>
            </w:r>
            <w:r w:rsidR="006366FC">
              <w:t xml:space="preserve">that </w:t>
            </w:r>
            <w:r w:rsidRPr="0049018E">
              <w:t xml:space="preserve">will improve evaluation and </w:t>
            </w:r>
            <w:r w:rsidR="006366FC">
              <w:t>better inform the path of the Mission as it works towards long-term goals</w:t>
            </w:r>
            <w:r w:rsidRPr="0049018E">
              <w:t>.</w:t>
            </w:r>
          </w:p>
        </w:tc>
      </w:tr>
    </w:tbl>
    <w:p w14:paraId="2D00B1E7" w14:textId="028B6183" w:rsidR="004445CB" w:rsidRPr="004445CB" w:rsidRDefault="00134CA8" w:rsidP="00F10102">
      <w:pPr>
        <w:pStyle w:val="Heading2"/>
      </w:pPr>
      <w:r>
        <w:t xml:space="preserve">Comparison to international funding for </w:t>
      </w:r>
      <w:r w:rsidR="00EC527D">
        <w:t>TBI</w:t>
      </w:r>
      <w:r>
        <w:t xml:space="preserve"> research</w:t>
      </w:r>
    </w:p>
    <w:p w14:paraId="5FC16297" w14:textId="4F78126A" w:rsidR="00D4580A" w:rsidRDefault="00D35B76" w:rsidP="00306B4C">
      <w:r w:rsidRPr="00C916A8">
        <w:t>Panel members supported the MRFF's dedicated funding for</w:t>
      </w:r>
      <w:r w:rsidR="00EC527D">
        <w:t xml:space="preserve"> TBI </w:t>
      </w:r>
      <w:r w:rsidR="00BC725F">
        <w:t>r</w:t>
      </w:r>
      <w:r w:rsidR="00BC725F" w:rsidRPr="00C916A8">
        <w:t>esearch</w:t>
      </w:r>
      <w:r w:rsidRPr="00C916A8">
        <w:t>, noting that few countries have similar programs</w:t>
      </w:r>
      <w:r>
        <w:t xml:space="preserve">. </w:t>
      </w:r>
      <w:r w:rsidR="006928E3">
        <w:t xml:space="preserve">The Mission’s goals are unique internationally in the way they support multidisciplinary research that recognises the complexity of the injury, varying severities and outcomes, and the need for multi-modal approaches to treatment and rehabilitation. </w:t>
      </w:r>
      <w:r>
        <w:t xml:space="preserve">They believed that this point of difference </w:t>
      </w:r>
      <w:r w:rsidR="006928E3">
        <w:t xml:space="preserve">creates a favourable environment for the comprehensive research that many </w:t>
      </w:r>
      <w:r w:rsidR="00EC527D">
        <w:t>TBI</w:t>
      </w:r>
      <w:r w:rsidR="006928E3">
        <w:t xml:space="preserve"> researchers do, </w:t>
      </w:r>
      <w:r>
        <w:t>plac</w:t>
      </w:r>
      <w:r w:rsidR="006928E3">
        <w:t>ing</w:t>
      </w:r>
      <w:r>
        <w:t xml:space="preserve"> Australia in a very strong position</w:t>
      </w:r>
      <w:r w:rsidR="00134CA8">
        <w:t xml:space="preserve"> to advance knowledge and improve care</w:t>
      </w:r>
      <w:r w:rsidR="006928E3">
        <w:t>.</w:t>
      </w:r>
      <w:r w:rsidR="006A4004">
        <w:t xml:space="preserve"> In other countries, TBI research funding tends to be distributed across many programs, with </w:t>
      </w:r>
      <w:r w:rsidR="006C69FD">
        <w:t>narrower focus (for example, on mechanisms of injury or mental health outcomes).</w:t>
      </w:r>
    </w:p>
    <w:p w14:paraId="3E1A5248" w14:textId="217FCE5D" w:rsidR="004445CB" w:rsidRPr="004445CB" w:rsidRDefault="00134CA8" w:rsidP="00F10102">
      <w:pPr>
        <w:pStyle w:val="Heading2"/>
      </w:pPr>
      <w:r>
        <w:t xml:space="preserve">International perspectives on Australia’s </w:t>
      </w:r>
      <w:r w:rsidR="00EC527D">
        <w:t>TBI</w:t>
      </w:r>
      <w:r>
        <w:t xml:space="preserve"> research</w:t>
      </w:r>
    </w:p>
    <w:p w14:paraId="63C3D89F" w14:textId="29BFE606" w:rsidR="00134CA8" w:rsidRDefault="00134CA8" w:rsidP="00306B4C">
      <w:r>
        <w:t>P</w:t>
      </w:r>
      <w:r w:rsidRPr="00C916A8">
        <w:t xml:space="preserve">anel members were familiar with Australia's output of </w:t>
      </w:r>
      <w:r w:rsidR="00EC527D">
        <w:t>TBI</w:t>
      </w:r>
      <w:r w:rsidRPr="00C916A8">
        <w:t xml:space="preserve"> research </w:t>
      </w:r>
      <w:r>
        <w:t>including research pre-dating the Mission, though the funding source (whether the Mission, other MRFF or other funders) was not always clear</w:t>
      </w:r>
      <w:r w:rsidRPr="00C916A8">
        <w:t>.</w:t>
      </w:r>
      <w:r>
        <w:t xml:space="preserve"> The </w:t>
      </w:r>
      <w:r w:rsidR="00522B86">
        <w:t>P</w:t>
      </w:r>
      <w:r>
        <w:t>anel noted that MRFF-funded TBI</w:t>
      </w:r>
      <w:r w:rsidRPr="00C916A8">
        <w:t xml:space="preserve"> research is</w:t>
      </w:r>
      <w:r>
        <w:t xml:space="preserve"> generally still</w:t>
      </w:r>
      <w:r w:rsidRPr="00C916A8">
        <w:t xml:space="preserve"> in early stages and </w:t>
      </w:r>
      <w:r>
        <w:t xml:space="preserve">outcomes are </w:t>
      </w:r>
      <w:r w:rsidRPr="00C916A8">
        <w:t>not yet widely publi</w:t>
      </w:r>
      <w:r>
        <w:t>cised</w:t>
      </w:r>
      <w:r w:rsidRPr="00C916A8">
        <w:t>.</w:t>
      </w:r>
    </w:p>
    <w:p w14:paraId="2B9A7DB4" w14:textId="41E840AF" w:rsidR="00A53583" w:rsidRDefault="00134CA8" w:rsidP="00306B4C">
      <w:r w:rsidRPr="00A53583">
        <w:t>Australian</w:t>
      </w:r>
      <w:r w:rsidR="00D8320B">
        <w:t xml:space="preserve"> TBI</w:t>
      </w:r>
      <w:r w:rsidRPr="00A53583">
        <w:t xml:space="preserve"> research </w:t>
      </w:r>
      <w:r w:rsidR="00D8320B">
        <w:t xml:space="preserve">has had </w:t>
      </w:r>
      <w:r w:rsidR="00522B86">
        <w:t>greatest</w:t>
      </w:r>
      <w:r w:rsidR="00D8320B">
        <w:t xml:space="preserve"> international impact in the areas of </w:t>
      </w:r>
      <w:r w:rsidRPr="00A53583">
        <w:t>prognosis and treatment</w:t>
      </w:r>
      <w:r>
        <w:t xml:space="preserve">. </w:t>
      </w:r>
      <w:r w:rsidR="006018DC">
        <w:t xml:space="preserve">Due to differences (including fragmentation) in healthcare systems, countries differ in how efficiently they can conduct TBI research. </w:t>
      </w:r>
      <w:r w:rsidR="00C916A8" w:rsidRPr="00C916A8">
        <w:t>Australia's</w:t>
      </w:r>
      <w:r w:rsidR="00522B86">
        <w:t xml:space="preserve"> healthcare system provides a unique opportunity to </w:t>
      </w:r>
      <w:r w:rsidR="00C916A8" w:rsidRPr="00C916A8">
        <w:t>recruit study participants in Emergency Rooms and follow them over time, a method considered robust</w:t>
      </w:r>
      <w:r w:rsidR="00326C89">
        <w:t>.</w:t>
      </w:r>
    </w:p>
    <w:p w14:paraId="3ADB2C24" w14:textId="1927FE55" w:rsidR="00326C89" w:rsidRDefault="00D8320B" w:rsidP="00306B4C">
      <w:r>
        <w:lastRenderedPageBreak/>
        <w:t>G</w:t>
      </w:r>
      <w:r w:rsidR="00C916A8" w:rsidRPr="00C916A8">
        <w:t>ap</w:t>
      </w:r>
      <w:r>
        <w:t>s</w:t>
      </w:r>
      <w:r w:rsidR="00C916A8" w:rsidRPr="00C916A8">
        <w:t xml:space="preserve"> in Australia's </w:t>
      </w:r>
      <w:r w:rsidR="00522B86">
        <w:t>TBI</w:t>
      </w:r>
      <w:r w:rsidR="00C916A8" w:rsidRPr="00C916A8">
        <w:t xml:space="preserve"> research </w:t>
      </w:r>
      <w:r>
        <w:t xml:space="preserve">are similar internationally and </w:t>
      </w:r>
      <w:r w:rsidR="00522B86">
        <w:t>include health equity and</w:t>
      </w:r>
      <w:r w:rsidR="00C916A8" w:rsidRPr="00C916A8">
        <w:t xml:space="preserve"> social determinants of health and their relevance to assessment, treatment, and </w:t>
      </w:r>
      <w:r>
        <w:t>rehabilitation</w:t>
      </w:r>
      <w:r w:rsidR="00FE3DED">
        <w:t xml:space="preserve">. </w:t>
      </w:r>
      <w:r w:rsidR="00C916A8" w:rsidRPr="00C916A8">
        <w:t>The</w:t>
      </w:r>
      <w:r w:rsidR="00522B86">
        <w:t xml:space="preserve"> Panel</w:t>
      </w:r>
      <w:r w:rsidR="00C916A8" w:rsidRPr="00C916A8">
        <w:t xml:space="preserve"> noted that underserved and underrepresented populations are harder to reach and require more funding due to research complexity</w:t>
      </w:r>
      <w:r w:rsidR="00FE3DED">
        <w:t xml:space="preserve">. </w:t>
      </w:r>
      <w:r w:rsidR="00A53583" w:rsidRPr="00A53583">
        <w:t>Emphasis was placed on populations that often do not seek treatment and are therefore missed by research and healthcare systems</w:t>
      </w:r>
      <w:r w:rsidR="00FE3DED">
        <w:t>.</w:t>
      </w:r>
    </w:p>
    <w:p w14:paraId="56350A07" w14:textId="3D9B5CA6" w:rsidR="004445CB" w:rsidRPr="004445CB" w:rsidRDefault="00F00C80" w:rsidP="00B42CBC">
      <w:pPr>
        <w:pStyle w:val="Heading2"/>
      </w:pPr>
      <w:r>
        <w:t xml:space="preserve">Leveraging international research </w:t>
      </w:r>
      <w:r w:rsidR="00B10AA8">
        <w:t>findings</w:t>
      </w:r>
    </w:p>
    <w:p w14:paraId="1B7BF202" w14:textId="77777777" w:rsidR="001A6B10" w:rsidRDefault="00F00C80" w:rsidP="00306B4C">
      <w:r w:rsidRPr="00C916A8">
        <w:t>The</w:t>
      </w:r>
      <w:r>
        <w:t xml:space="preserve"> Panel emphasised the importance of </w:t>
      </w:r>
      <w:r w:rsidRPr="00C916A8">
        <w:t>connecting Australian researchers with large</w:t>
      </w:r>
      <w:r>
        <w:t xml:space="preserve"> </w:t>
      </w:r>
      <w:r w:rsidRPr="00C916A8">
        <w:t>consortia</w:t>
      </w:r>
      <w:r>
        <w:t xml:space="preserve"> and world-leading research effort</w:t>
      </w:r>
      <w:r w:rsidRPr="00C916A8">
        <w:t xml:space="preserve"> in </w:t>
      </w:r>
      <w:r w:rsidR="00D879CD">
        <w:t>United States</w:t>
      </w:r>
      <w:r>
        <w:t>, Canada</w:t>
      </w:r>
      <w:r w:rsidRPr="00C916A8">
        <w:t xml:space="preserve"> and Europe</w:t>
      </w:r>
      <w:r>
        <w:t xml:space="preserve"> as there is an opportunity for the translation of new knowledge from these consortia to the Australian context. New knowledge about the mechanisms and phenomenon of TBI, and the types of treatments that are effective, </w:t>
      </w:r>
      <w:r w:rsidR="00522B86">
        <w:t>is</w:t>
      </w:r>
      <w:r>
        <w:t xml:space="preserve"> generalisable across the world.</w:t>
      </w:r>
    </w:p>
    <w:p w14:paraId="000126FB" w14:textId="29B611B3" w:rsidR="00F00C80" w:rsidRDefault="00F00C80" w:rsidP="00306B4C">
      <w:r>
        <w:t xml:space="preserve">However, Australia </w:t>
      </w:r>
      <w:r w:rsidR="00D8320B">
        <w:t>must</w:t>
      </w:r>
      <w:r>
        <w:t xml:space="preserve"> understand the needs of our population and how treatments could be implemented within our </w:t>
      </w:r>
      <w:r w:rsidR="006018DC">
        <w:t xml:space="preserve">community and our </w:t>
      </w:r>
      <w:r>
        <w:t>healthcare system. The</w:t>
      </w:r>
      <w:r w:rsidR="00B10AA8">
        <w:t xml:space="preserve"> Panel noted the focus of the Mission on improving clinical care for Australians; the</w:t>
      </w:r>
      <w:r>
        <w:t xml:space="preserve"> similarities between Canada and Australia (in health care system and in geographic distribution of the population) creates a unique opportunity for Australia to learn from the Canadian experience in implementation strategies. </w:t>
      </w:r>
      <w:r w:rsidR="00631D77">
        <w:t xml:space="preserve">For example, </w:t>
      </w:r>
      <w:r w:rsidR="00BB5023">
        <w:t xml:space="preserve">the Panel suggested </w:t>
      </w:r>
      <w:r w:rsidR="00631D77" w:rsidRPr="00631D77">
        <w:t>consideration of the Consolidated Framework for Implementation Research (CFIR) to help with identifying barriers and facilitators for different populations and settings</w:t>
      </w:r>
      <w:r w:rsidR="00631D77">
        <w:t>. There could also be opportunities for</w:t>
      </w:r>
      <w:r w:rsidR="00631D77" w:rsidRPr="00631D77">
        <w:t xml:space="preserve"> learning from the US experience with the Veteran Affairs healthcare system in terms of implementation in unique populations with specific needs.</w:t>
      </w:r>
    </w:p>
    <w:p w14:paraId="26213112" w14:textId="3CE0C360" w:rsidR="006018DC" w:rsidRDefault="006018DC" w:rsidP="00306B4C">
      <w:r>
        <w:t>The Panel agreed that it would be advantageous for Australian researchers to be involved in strategy meetings, gap analysis and future direction analysis with their international counterparts.</w:t>
      </w:r>
    </w:p>
    <w:p w14:paraId="2F3C5C70" w14:textId="6BC2A245" w:rsidR="000B680D" w:rsidRDefault="000B680D" w:rsidP="00306B4C">
      <w:r>
        <w:t>The</w:t>
      </w:r>
      <w:r w:rsidRPr="000B680D">
        <w:t xml:space="preserve"> </w:t>
      </w:r>
      <w:r w:rsidR="00732155">
        <w:t>Mission</w:t>
      </w:r>
      <w:r w:rsidRPr="000B680D">
        <w:t xml:space="preserve"> would benefit from getting involved in or supporting researchers </w:t>
      </w:r>
      <w:r w:rsidR="00732155">
        <w:t xml:space="preserve">in </w:t>
      </w:r>
      <w:r w:rsidRPr="000B680D">
        <w:t>joining</w:t>
      </w:r>
      <w:r>
        <w:t xml:space="preserve"> international consortia that have attracted considerable investment in areas such as sport-related concussion.</w:t>
      </w:r>
    </w:p>
    <w:p w14:paraId="5C69C1CB" w14:textId="5F1282F4" w:rsidR="00522B86" w:rsidRPr="004445CB" w:rsidRDefault="00522B86" w:rsidP="00436AD0">
      <w:pPr>
        <w:pStyle w:val="Heading2"/>
      </w:pPr>
      <w:r>
        <w:t>Reflections on the Roadmap and Implementation Plan</w:t>
      </w:r>
    </w:p>
    <w:p w14:paraId="11F5D937" w14:textId="2415A7F2" w:rsidR="0080178C" w:rsidRDefault="00134CA8" w:rsidP="00306B4C">
      <w:r>
        <w:t>The</w:t>
      </w:r>
      <w:r w:rsidR="00522B86">
        <w:t xml:space="preserve"> Panel</w:t>
      </w:r>
      <w:r>
        <w:t xml:space="preserve"> generally agreed with the priorities and logic laid out in the Mission</w:t>
      </w:r>
      <w:r w:rsidR="00007F01">
        <w:t xml:space="preserve"> Roadmap</w:t>
      </w:r>
      <w:r>
        <w:t xml:space="preserve">, however wished to emphasise the importance of implementation research especially </w:t>
      </w:r>
      <w:r w:rsidR="00D879CD">
        <w:t xml:space="preserve">for </w:t>
      </w:r>
      <w:r>
        <w:t>underrepresented and underserved populations.</w:t>
      </w:r>
      <w:r w:rsidR="00D31884">
        <w:t xml:space="preserve"> There are also opportunities for thoughtful replication work that seeks to understand when, where, why and for who a particular treatment or intervention will work in the Australian healthcare system. </w:t>
      </w:r>
      <w:r w:rsidR="0080178C">
        <w:t xml:space="preserve">The knowledge generated from this research activity could be compared to </w:t>
      </w:r>
      <w:r w:rsidR="00B602C3">
        <w:t xml:space="preserve">as well as inform </w:t>
      </w:r>
      <w:r w:rsidR="0080178C">
        <w:t>similar research internationally, enabling a more comprehensive understanding of the types of treatments and rehabilitation methods that work (acutely and over a longer term), and in which context.</w:t>
      </w:r>
    </w:p>
    <w:p w14:paraId="575971E5" w14:textId="6DD8B485" w:rsidR="00075B38" w:rsidRDefault="00075B38" w:rsidP="00306B4C">
      <w:r>
        <w:t xml:space="preserve">The </w:t>
      </w:r>
      <w:r w:rsidR="0080178C">
        <w:t>P</w:t>
      </w:r>
      <w:r>
        <w:t xml:space="preserve">anel suggested that personalisation of care should </w:t>
      </w:r>
      <w:r w:rsidR="006018DC">
        <w:t>be</w:t>
      </w:r>
      <w:r>
        <w:t xml:space="preserve"> cultural</w:t>
      </w:r>
      <w:r w:rsidR="006018DC">
        <w:t>ly</w:t>
      </w:r>
      <w:r>
        <w:t xml:space="preserve"> sensitiv</w:t>
      </w:r>
      <w:r w:rsidR="00656C8D">
        <w:t>e</w:t>
      </w:r>
      <w:r>
        <w:t xml:space="preserve"> and tailored </w:t>
      </w:r>
      <w:r w:rsidR="006018DC">
        <w:t>to</w:t>
      </w:r>
      <w:r>
        <w:t xml:space="preserve"> individual circumstances, </w:t>
      </w:r>
      <w:r w:rsidR="00D31884">
        <w:t xml:space="preserve">incorporating common sense approaches </w:t>
      </w:r>
      <w:r w:rsidR="006018DC">
        <w:t xml:space="preserve">that are not </w:t>
      </w:r>
      <w:r w:rsidR="00656C8D">
        <w:t>solely focused on</w:t>
      </w:r>
      <w:r w:rsidR="006018DC">
        <w:t xml:space="preserve"> high-tech innovations</w:t>
      </w:r>
      <w:r>
        <w:t>.</w:t>
      </w:r>
    </w:p>
    <w:p w14:paraId="041ADEAB" w14:textId="3EEA0F94" w:rsidR="001F4EF9" w:rsidRDefault="00C916A8" w:rsidP="00306B4C">
      <w:r w:rsidRPr="00C916A8">
        <w:t>The</w:t>
      </w:r>
      <w:r w:rsidR="0080178C">
        <w:t xml:space="preserve"> Panel</w:t>
      </w:r>
      <w:r w:rsidRPr="00C916A8">
        <w:t xml:space="preserve"> appreciated the broad scope of the aims and priorities</w:t>
      </w:r>
      <w:r w:rsidR="00D31884">
        <w:t>, and their clinical relevance</w:t>
      </w:r>
      <w:r w:rsidRPr="00C916A8">
        <w:t xml:space="preserve">. While some might argue that these priorities are too general and lack specific guidance, the </w:t>
      </w:r>
      <w:r w:rsidR="00D31884">
        <w:t>P</w:t>
      </w:r>
      <w:r w:rsidRPr="00C916A8">
        <w:t>anel believed this approach fosters creativity among researchers, allowing them to develop innovative methods to achieve the stated objectives.</w:t>
      </w:r>
      <w:r w:rsidR="001F4EF9">
        <w:t xml:space="preserve"> </w:t>
      </w:r>
      <w:r w:rsidR="00A53583" w:rsidRPr="00A53583">
        <w:t>They felt this would keep the priorities relevant at the end of the Mission in five years</w:t>
      </w:r>
      <w:r w:rsidR="001F4EF9">
        <w:t xml:space="preserve">, as demonstrated by the </w:t>
      </w:r>
      <w:r w:rsidR="00C90A3F">
        <w:t xml:space="preserve">relevance of </w:t>
      </w:r>
      <w:r w:rsidR="001F4EF9">
        <w:t>priorities set at the start of the Mission 5 years ago.</w:t>
      </w:r>
    </w:p>
    <w:p w14:paraId="56FC435D" w14:textId="37F15E27" w:rsidR="005A1802" w:rsidRDefault="005A1802" w:rsidP="00306B4C">
      <w:r>
        <w:t xml:space="preserve">It was noted that whilst having a funding stream dedicated to </w:t>
      </w:r>
      <w:r w:rsidR="00843CE8">
        <w:t xml:space="preserve">TBI </w:t>
      </w:r>
      <w:r>
        <w:t xml:space="preserve">research places Australia in a strong position for funding and completing this research, having complementary inter-disease </w:t>
      </w:r>
      <w:r w:rsidR="003B61F1">
        <w:t>funding mechanisms is also important.</w:t>
      </w:r>
      <w:r w:rsidR="00802962">
        <w:t xml:space="preserve"> This would allow for a holistic approach to research that both recognised the complexity of the disease and recognised its association with other conditions.</w:t>
      </w:r>
    </w:p>
    <w:p w14:paraId="39722E62" w14:textId="7ADFADA4" w:rsidR="00075B38" w:rsidRDefault="00A53583" w:rsidP="00436AD0">
      <w:pPr>
        <w:keepNext/>
        <w:keepLines/>
      </w:pPr>
      <w:r w:rsidRPr="00A53583">
        <w:lastRenderedPageBreak/>
        <w:t xml:space="preserve">The panel identified implementing </w:t>
      </w:r>
      <w:r w:rsidR="00843CE8">
        <w:t xml:space="preserve">TBI </w:t>
      </w:r>
      <w:r w:rsidRPr="00A53583">
        <w:t>research into mixed-model healthcare systems as an area where Australia could lead, especially in supporting countries transitioning from fully public or private systems</w:t>
      </w:r>
      <w:r w:rsidR="00075B38">
        <w:t xml:space="preserve">. </w:t>
      </w:r>
      <w:r w:rsidRPr="00A53583">
        <w:t>They highlighted the need for more evidence in rehabilitation provision, especially regarding the length of in-patient rehabilitation and appropriate funding levels</w:t>
      </w:r>
      <w:r w:rsidR="00075B38">
        <w:t>.</w:t>
      </w:r>
    </w:p>
    <w:p w14:paraId="08744C3F" w14:textId="2C4FFAC0" w:rsidR="00D35B76" w:rsidRPr="004445CB" w:rsidRDefault="00D35B76" w:rsidP="00306B4C">
      <w:r>
        <w:t>The panel agreed with the sequencing of the aims and priorities.</w:t>
      </w:r>
    </w:p>
    <w:p w14:paraId="32D4758D" w14:textId="6BAF9136" w:rsidR="005A1802" w:rsidRDefault="0080178C" w:rsidP="00621897">
      <w:pPr>
        <w:pStyle w:val="Heading2"/>
      </w:pPr>
      <w:r>
        <w:t>Data sharing</w:t>
      </w:r>
    </w:p>
    <w:p w14:paraId="34D462D5" w14:textId="0D4E9D81" w:rsidR="005A1802" w:rsidRPr="00621897" w:rsidRDefault="005A1802" w:rsidP="00306B4C">
      <w:r>
        <w:t>The panel queried whether MRFF requires researchers to make their data publicly available to other researchers, commenting that this is common practice for public funders in the USA. They emphasized that this practice allows for future research to be done highly effectively and at low cost due to the increased availability of high quality, relevant data, thereby increasing the rate of future innovation. It was noted that Australia has experience creating these large public databases as it is already done with several government run, census style data projects.</w:t>
      </w:r>
    </w:p>
    <w:p w14:paraId="5112FE14" w14:textId="3DF500CB" w:rsidR="004445CB" w:rsidRPr="004445CB" w:rsidRDefault="00075B38" w:rsidP="00621897">
      <w:pPr>
        <w:pStyle w:val="Heading2"/>
      </w:pPr>
      <w:r>
        <w:t>Evaluation measures</w:t>
      </w:r>
    </w:p>
    <w:p w14:paraId="269FD651" w14:textId="69DD7479" w:rsidR="00FA13C0" w:rsidRDefault="00075B38" w:rsidP="00306B4C">
      <w:r>
        <w:t xml:space="preserve">The </w:t>
      </w:r>
      <w:r w:rsidR="000A30AF">
        <w:t>P</w:t>
      </w:r>
      <w:r>
        <w:t xml:space="preserve">anel </w:t>
      </w:r>
      <w:r w:rsidR="000A30AF">
        <w:t>considered the ev</w:t>
      </w:r>
      <w:r>
        <w:t>aluation measures</w:t>
      </w:r>
      <w:r w:rsidR="000A30AF">
        <w:t xml:space="preserve"> to be long-term, and some would be difficult to measure and connect to individual projects</w:t>
      </w:r>
      <w:r w:rsidR="00A53583">
        <w:t>.</w:t>
      </w:r>
      <w:r>
        <w:t xml:space="preserve"> </w:t>
      </w:r>
      <w:r w:rsidR="00A53583">
        <w:t xml:space="preserve">They </w:t>
      </w:r>
      <w:r w:rsidR="000A30AF">
        <w:t xml:space="preserve">recommended </w:t>
      </w:r>
      <w:r w:rsidR="007E4B46">
        <w:t>intermediate</w:t>
      </w:r>
      <w:r w:rsidR="00FA13C0">
        <w:t xml:space="preserve"> measure</w:t>
      </w:r>
      <w:r w:rsidR="000A30AF">
        <w:t>s of</w:t>
      </w:r>
      <w:r w:rsidR="00FA13C0">
        <w:t xml:space="preserve"> progress towards</w:t>
      </w:r>
      <w:r w:rsidR="000A30AF">
        <w:t xml:space="preserve"> these</w:t>
      </w:r>
      <w:r w:rsidR="00FA13C0">
        <w:t xml:space="preserve"> long-term goals</w:t>
      </w:r>
      <w:r w:rsidR="00A53583">
        <w:t xml:space="preserve">, especially where long-term goals may not be fully achieved within the timeframe of the </w:t>
      </w:r>
      <w:r w:rsidR="000A30AF">
        <w:t>M</w:t>
      </w:r>
      <w:r w:rsidR="00A53583">
        <w:t>ission</w:t>
      </w:r>
      <w:r w:rsidR="00FA13C0">
        <w:t>.</w:t>
      </w:r>
    </w:p>
    <w:p w14:paraId="2F7C255A" w14:textId="6FCA3CDE" w:rsidR="00FA13C0" w:rsidRDefault="00A53583" w:rsidP="00306B4C">
      <w:r w:rsidRPr="00A53583">
        <w:t>They suggested that evaluations should measure health and healthcare outcomes and consider MRFF's direct actions, such as the number and diversity of funded researchers, capacity building, and project diversity</w:t>
      </w:r>
      <w:r w:rsidR="00FA13C0">
        <w:t>. They suggested that this would allow for more diagnostic evaluation of how and why certain long-term goals were or were not achieved.</w:t>
      </w:r>
    </w:p>
    <w:p w14:paraId="5B6F42B1" w14:textId="32CA8900" w:rsidR="00D35B76" w:rsidRDefault="00FA13C0" w:rsidP="00306B4C">
      <w:r>
        <w:t>They also highlighted that outcomes of the Mission may be pathways towards achieving the stated goals rather than the achievement of the goals themselves.</w:t>
      </w:r>
      <w:r w:rsidR="00D35B76">
        <w:br w:type="page"/>
      </w:r>
    </w:p>
    <w:p w14:paraId="51512E55" w14:textId="17D82E27" w:rsidR="005330DF" w:rsidRPr="00D35B76" w:rsidRDefault="005330DF" w:rsidP="00623579">
      <w:pPr>
        <w:pStyle w:val="Heading1"/>
      </w:pPr>
      <w:r w:rsidRPr="00D35B76">
        <w:lastRenderedPageBreak/>
        <w:t>Recommendations</w:t>
      </w:r>
    </w:p>
    <w:p w14:paraId="205E9F94" w14:textId="53BD8573" w:rsidR="005330DF" w:rsidRDefault="006366FC" w:rsidP="00623579">
      <w:pPr>
        <w:pStyle w:val="ListBullet"/>
      </w:pPr>
      <w:r>
        <w:t xml:space="preserve">Leverage international research effort by </w:t>
      </w:r>
      <w:r w:rsidR="00631D77">
        <w:t>encouraging</w:t>
      </w:r>
      <w:r>
        <w:t xml:space="preserve"> collaboration between </w:t>
      </w:r>
      <w:r w:rsidR="005330DF">
        <w:t xml:space="preserve">Australian researchers </w:t>
      </w:r>
      <w:r>
        <w:t xml:space="preserve">and </w:t>
      </w:r>
      <w:r w:rsidR="005330DF">
        <w:t xml:space="preserve">international </w:t>
      </w:r>
      <w:r>
        <w:t>counterparts.</w:t>
      </w:r>
    </w:p>
    <w:p w14:paraId="7DF59BEC" w14:textId="6DFB74F4" w:rsidR="005330DF" w:rsidRDefault="005330DF" w:rsidP="00623579">
      <w:pPr>
        <w:pStyle w:val="ListBullet"/>
      </w:pPr>
      <w:r>
        <w:t xml:space="preserve">Address gaps in research </w:t>
      </w:r>
      <w:r w:rsidR="00656C8D">
        <w:t>into</w:t>
      </w:r>
      <w:r>
        <w:t xml:space="preserve"> social determinants of health and health inequity</w:t>
      </w:r>
      <w:r w:rsidR="00656C8D">
        <w:t>, including how to reach and best serve underrepresented groups</w:t>
      </w:r>
      <w:r>
        <w:t>.</w:t>
      </w:r>
    </w:p>
    <w:p w14:paraId="50BDDDAA" w14:textId="3E4E4A29" w:rsidR="005330DF" w:rsidRDefault="005330DF" w:rsidP="00623579">
      <w:pPr>
        <w:pStyle w:val="ListBullet"/>
      </w:pPr>
      <w:r>
        <w:t xml:space="preserve">Implement intermediary </w:t>
      </w:r>
      <w:r w:rsidR="006366FC">
        <w:t>measures of</w:t>
      </w:r>
      <w:r>
        <w:t xml:space="preserve"> progress towards long-term objectives.</w:t>
      </w:r>
    </w:p>
    <w:p w14:paraId="60A32CF8" w14:textId="3D70C88F" w:rsidR="00205A93" w:rsidRPr="00D35B76" w:rsidRDefault="005330DF" w:rsidP="00623579">
      <w:pPr>
        <w:pStyle w:val="ListBullet"/>
        <w:sectPr w:rsidR="00205A93" w:rsidRPr="00D35B76" w:rsidSect="00924993">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418" w:left="1418" w:header="709" w:footer="567" w:gutter="0"/>
          <w:pgNumType w:start="1"/>
          <w:cols w:space="708"/>
          <w:docGrid w:linePitch="360"/>
        </w:sectPr>
      </w:pPr>
      <w:r>
        <w:t xml:space="preserve">Support the implementation of </w:t>
      </w:r>
      <w:r w:rsidR="00843CE8">
        <w:t>TBI</w:t>
      </w:r>
      <w:r>
        <w:t xml:space="preserve"> research into the Australian </w:t>
      </w:r>
      <w:r w:rsidR="000B680D" w:rsidRPr="000B680D">
        <w:t>healthcare</w:t>
      </w:r>
      <w:r w:rsidR="000B680D">
        <w:t xml:space="preserve"> </w:t>
      </w:r>
      <w:r>
        <w:t>context</w:t>
      </w:r>
      <w:r w:rsidR="000B680D">
        <w:t xml:space="preserve"> to guide future research strategies</w:t>
      </w:r>
      <w:r>
        <w:t>.</w:t>
      </w:r>
      <w:bookmarkEnd w:id="0"/>
    </w:p>
    <w:p w14:paraId="6F01118A" w14:textId="77777777" w:rsidR="00205A93" w:rsidRPr="00D3145A" w:rsidRDefault="00205A93" w:rsidP="00621AED">
      <w:pPr>
        <w:pStyle w:val="Paragraphtext"/>
        <w:jc w:val="center"/>
      </w:pPr>
      <w:r w:rsidRPr="00D3145A">
        <w:lastRenderedPageBreak/>
        <w:t>Health.gov.au</w:t>
      </w:r>
    </w:p>
    <w:p w14:paraId="170AC71B" w14:textId="1FAB3E94" w:rsidR="00205A93" w:rsidRPr="00D3145A" w:rsidRDefault="00205A93" w:rsidP="00621AED">
      <w:pPr>
        <w:pStyle w:val="Paragraphtext"/>
        <w:jc w:val="center"/>
      </w:pPr>
      <w:r w:rsidRPr="00D3145A">
        <w:t xml:space="preserve">All information in this publication is correct as </w:t>
      </w:r>
      <w:r w:rsidR="00AF5444" w:rsidRPr="00D3145A">
        <w:t>of</w:t>
      </w:r>
      <w:r w:rsidRPr="00D3145A">
        <w:t xml:space="preserve"> </w:t>
      </w:r>
      <w:r w:rsidR="00755E32">
        <w:t>February 2025</w:t>
      </w:r>
    </w:p>
    <w:sectPr w:rsidR="00205A93" w:rsidRPr="00D3145A" w:rsidSect="00F62BC0">
      <w:headerReference w:type="default" r:id="rId20"/>
      <w:footerReference w:type="default" r:id="rId21"/>
      <w:type w:val="oddPage"/>
      <w:pgSz w:w="11906" w:h="16838" w:code="9"/>
      <w:pgMar w:top="1701" w:right="1418" w:bottom="1418" w:left="1418" w:header="709" w:footer="709"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46F8" w14:textId="77777777" w:rsidR="00563D48" w:rsidRDefault="00563D48" w:rsidP="00306B4C">
      <w:r>
        <w:separator/>
      </w:r>
    </w:p>
    <w:p w14:paraId="2F863AF0" w14:textId="77777777" w:rsidR="00563D48" w:rsidRDefault="00563D48" w:rsidP="00306B4C"/>
    <w:p w14:paraId="4B8FCE6C" w14:textId="77777777" w:rsidR="00563D48" w:rsidRDefault="00563D48" w:rsidP="00306B4C"/>
  </w:endnote>
  <w:endnote w:type="continuationSeparator" w:id="0">
    <w:p w14:paraId="73FF386F" w14:textId="77777777" w:rsidR="00563D48" w:rsidRDefault="00563D48" w:rsidP="00306B4C">
      <w:r>
        <w:continuationSeparator/>
      </w:r>
    </w:p>
    <w:p w14:paraId="2124FAFA" w14:textId="77777777" w:rsidR="00563D48" w:rsidRDefault="00563D48" w:rsidP="00306B4C"/>
    <w:p w14:paraId="22BD1E04" w14:textId="77777777" w:rsidR="00563D48" w:rsidRDefault="00563D48" w:rsidP="00306B4C"/>
  </w:endnote>
  <w:endnote w:type="continuationNotice" w:id="1">
    <w:p w14:paraId="32F4E358" w14:textId="77777777" w:rsidR="00563D48" w:rsidRDefault="00563D48" w:rsidP="00306B4C"/>
    <w:p w14:paraId="77C28454" w14:textId="77777777" w:rsidR="00563D48" w:rsidRDefault="00563D48" w:rsidP="0030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755717888"/>
      <w:docPartObj>
        <w:docPartGallery w:val="Page Numbers (Bottom of Page)"/>
        <w:docPartUnique/>
      </w:docPartObj>
    </w:sdtPr>
    <w:sdtEndPr>
      <w:rPr>
        <w:noProof/>
      </w:rPr>
    </w:sdtEndPr>
    <w:sdtContent>
      <w:p w14:paraId="52684FE0" w14:textId="153AFFB5" w:rsidR="00236073" w:rsidRPr="00CC32D2" w:rsidRDefault="00CC32D2" w:rsidP="00CC32D2">
        <w:pPr>
          <w:pStyle w:val="Footer"/>
          <w:pBdr>
            <w:top w:val="single" w:sz="6" w:space="1" w:color="48607B" w:themeColor="text2"/>
          </w:pBdr>
          <w:tabs>
            <w:tab w:val="clear" w:pos="0"/>
            <w:tab w:val="clear" w:pos="9026"/>
            <w:tab w:val="right" w:pos="14005"/>
          </w:tabs>
          <w:spacing w:before="360"/>
          <w:rPr>
            <w:color w:val="000000" w:themeColor="text1"/>
          </w:rPr>
        </w:pPr>
        <w:r w:rsidRPr="00755E32">
          <w:rPr>
            <w:color w:val="000000" w:themeColor="text1"/>
          </w:rPr>
          <w:t>Traumatic Brain Injury Mission International Review of the Roadmap and Implementation Plan</w:t>
        </w:r>
        <w:r w:rsidRPr="00921E93">
          <w:rPr>
            <w:color w:val="000000" w:themeColor="text1"/>
          </w:rPr>
          <w:tab/>
        </w:r>
        <w:r w:rsidRPr="00921E93">
          <w:rPr>
            <w:color w:val="000000" w:themeColor="text1"/>
          </w:rPr>
          <w:fldChar w:fldCharType="begin"/>
        </w:r>
        <w:r w:rsidRPr="00921E93">
          <w:rPr>
            <w:color w:val="000000" w:themeColor="text1"/>
          </w:rPr>
          <w:instrText xml:space="preserve"> PAGE   \* MERGEFORMAT </w:instrText>
        </w:r>
        <w:r w:rsidRPr="00921E93">
          <w:rPr>
            <w:color w:val="000000" w:themeColor="text1"/>
          </w:rPr>
          <w:fldChar w:fldCharType="separate"/>
        </w:r>
        <w:r>
          <w:rPr>
            <w:color w:val="000000" w:themeColor="text1"/>
          </w:rPr>
          <w:t>4</w:t>
        </w:r>
        <w:r w:rsidRPr="00921E93">
          <w:rPr>
            <w:noProof/>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776178347"/>
      <w:docPartObj>
        <w:docPartGallery w:val="Page Numbers (Bottom of Page)"/>
        <w:docPartUnique/>
      </w:docPartObj>
    </w:sdtPr>
    <w:sdtEndPr>
      <w:rPr>
        <w:noProof/>
      </w:rPr>
    </w:sdtEndPr>
    <w:sdtContent>
      <w:p w14:paraId="096B4EDC" w14:textId="3050400B" w:rsidR="00236073" w:rsidRPr="00487718" w:rsidRDefault="00487718" w:rsidP="00487718">
        <w:pPr>
          <w:pStyle w:val="Footer"/>
          <w:pBdr>
            <w:top w:val="single" w:sz="6" w:space="1" w:color="48607B" w:themeColor="text2"/>
          </w:pBdr>
          <w:tabs>
            <w:tab w:val="clear" w:pos="0"/>
            <w:tab w:val="clear" w:pos="9026"/>
            <w:tab w:val="right" w:pos="14005"/>
          </w:tabs>
          <w:spacing w:before="360"/>
          <w:rPr>
            <w:color w:val="000000" w:themeColor="text1"/>
          </w:rPr>
        </w:pPr>
        <w:r w:rsidRPr="00755E32">
          <w:rPr>
            <w:color w:val="000000" w:themeColor="text1"/>
          </w:rPr>
          <w:t>Traumatic Brain Injury Mission International Review of the Roadmap and Implementation Plan</w:t>
        </w:r>
        <w:r w:rsidRPr="00921E93">
          <w:rPr>
            <w:color w:val="000000" w:themeColor="text1"/>
          </w:rPr>
          <w:tab/>
        </w:r>
        <w:r w:rsidRPr="00921E93">
          <w:rPr>
            <w:color w:val="000000" w:themeColor="text1"/>
          </w:rPr>
          <w:fldChar w:fldCharType="begin"/>
        </w:r>
        <w:r w:rsidRPr="00921E93">
          <w:rPr>
            <w:color w:val="000000" w:themeColor="text1"/>
          </w:rPr>
          <w:instrText xml:space="preserve"> PAGE   \* MERGEFORMAT </w:instrText>
        </w:r>
        <w:r w:rsidRPr="00921E93">
          <w:rPr>
            <w:color w:val="000000" w:themeColor="text1"/>
          </w:rPr>
          <w:fldChar w:fldCharType="separate"/>
        </w:r>
        <w:r>
          <w:rPr>
            <w:color w:val="000000" w:themeColor="text1"/>
          </w:rPr>
          <w:t>5</w:t>
        </w:r>
        <w:r w:rsidRPr="00921E93">
          <w:rPr>
            <w:noProof/>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23A9B9DB" w14:textId="77777777" w:rsidR="00236073" w:rsidRDefault="00236073" w:rsidP="00306B4C">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5C29" w14:textId="77777777" w:rsidR="00205A93" w:rsidRDefault="00205A93" w:rsidP="00306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9159D" w14:textId="77777777" w:rsidR="00563D48" w:rsidRDefault="00563D48" w:rsidP="00306B4C">
      <w:r>
        <w:separator/>
      </w:r>
    </w:p>
    <w:p w14:paraId="141EDE5C" w14:textId="77777777" w:rsidR="00563D48" w:rsidRDefault="00563D48" w:rsidP="00306B4C"/>
    <w:p w14:paraId="7F453D58" w14:textId="77777777" w:rsidR="00563D48" w:rsidRDefault="00563D48" w:rsidP="00306B4C"/>
  </w:footnote>
  <w:footnote w:type="continuationSeparator" w:id="0">
    <w:p w14:paraId="6492C4F0" w14:textId="77777777" w:rsidR="00563D48" w:rsidRDefault="00563D48" w:rsidP="00306B4C">
      <w:r>
        <w:continuationSeparator/>
      </w:r>
    </w:p>
    <w:p w14:paraId="6D9A1189" w14:textId="77777777" w:rsidR="00563D48" w:rsidRDefault="00563D48" w:rsidP="00306B4C"/>
    <w:p w14:paraId="4A9FB99E" w14:textId="77777777" w:rsidR="00563D48" w:rsidRDefault="00563D48" w:rsidP="00306B4C"/>
  </w:footnote>
  <w:footnote w:type="continuationNotice" w:id="1">
    <w:p w14:paraId="6DACFE78" w14:textId="77777777" w:rsidR="00563D48" w:rsidRDefault="00563D48" w:rsidP="00306B4C"/>
    <w:p w14:paraId="20AB22EE" w14:textId="77777777" w:rsidR="00563D48" w:rsidRDefault="00563D48" w:rsidP="00306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6359" w14:textId="77777777" w:rsidR="008E0C77" w:rsidRDefault="00CA79CF" w:rsidP="00306B4C">
    <w:pPr>
      <w:pStyle w:val="Headertext"/>
    </w:pPr>
    <w:r>
      <w:rPr>
        <w:noProof/>
        <w:lang w:eastAsia="en-AU"/>
      </w:rPr>
      <w:drawing>
        <wp:anchor distT="0" distB="0" distL="114300" distR="114300" simplePos="0" relativeHeight="251656704" behindDoc="1" locked="0" layoutInCell="1" allowOverlap="1" wp14:anchorId="132118B5" wp14:editId="77BD98CA">
          <wp:simplePos x="0" y="0"/>
          <wp:positionH relativeFrom="page">
            <wp:align>center</wp:align>
          </wp:positionH>
          <wp:positionV relativeFrom="page">
            <wp:align>center</wp:align>
          </wp:positionV>
          <wp:extent cx="7560000" cy="10692000"/>
          <wp:effectExtent l="0" t="0" r="3175" b="0"/>
          <wp:wrapNone/>
          <wp:docPr id="263468092" name="Picture 263468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5EB1" w14:textId="2E67345D" w:rsidR="00CA79CF" w:rsidRDefault="00000000" w:rsidP="00306B4C">
    <w:pPr>
      <w:pStyle w:val="Header"/>
    </w:pPr>
    <w:sdt>
      <w:sdtPr>
        <w:id w:val="-1868516752"/>
        <w:docPartObj>
          <w:docPartGallery w:val="Watermarks"/>
          <w:docPartUnique/>
        </w:docPartObj>
      </w:sdtPr>
      <w:sdtContent>
        <w:r>
          <w:rPr>
            <w:noProof/>
          </w:rPr>
          <w:pict w14:anchorId="68EC3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8D90" w14:textId="77777777" w:rsidR="000D56E4" w:rsidRDefault="000D56E4" w:rsidP="00306B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9825" w14:textId="77777777" w:rsidR="000D56E4" w:rsidRDefault="000D56E4" w:rsidP="00306B4C">
    <w:pPr>
      <w:pStyle w:val="Head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C782" w14:textId="77777777" w:rsidR="000D56E4" w:rsidRDefault="000D56E4" w:rsidP="00306B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45DA" w14:textId="77777777" w:rsidR="00205A93" w:rsidRDefault="00205A93" w:rsidP="00306B4C">
    <w:pPr>
      <w:pStyle w:val="Headertext"/>
    </w:pPr>
    <w:r>
      <w:rPr>
        <w:noProof/>
        <w:lang w:eastAsia="en-AU"/>
      </w:rPr>
      <w:drawing>
        <wp:anchor distT="0" distB="0" distL="114300" distR="114300" simplePos="0" relativeHeight="251657728" behindDoc="1" locked="0" layoutInCell="1" allowOverlap="1" wp14:anchorId="3F9B70B3" wp14:editId="493F4B7C">
          <wp:simplePos x="0" y="0"/>
          <wp:positionH relativeFrom="page">
            <wp:posOffset>0</wp:posOffset>
          </wp:positionH>
          <wp:positionV relativeFrom="page">
            <wp:posOffset>13648</wp:posOffset>
          </wp:positionV>
          <wp:extent cx="7560000" cy="10659785"/>
          <wp:effectExtent l="0" t="0" r="317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59" b="159"/>
                  <a:stretch>
                    <a:fillRect/>
                  </a:stretch>
                </pic:blipFill>
                <pic:spPr bwMode="auto">
                  <a:xfrm>
                    <a:off x="0" y="0"/>
                    <a:ext cx="7560000" cy="1065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24FC4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75094D"/>
    <w:multiLevelType w:val="hybridMultilevel"/>
    <w:tmpl w:val="11880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E24127"/>
    <w:multiLevelType w:val="hybridMultilevel"/>
    <w:tmpl w:val="8EF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36CE9"/>
    <w:multiLevelType w:val="hybridMultilevel"/>
    <w:tmpl w:val="7208414A"/>
    <w:lvl w:ilvl="0" w:tplc="1A7EA664">
      <w:start w:val="1"/>
      <w:numFmt w:val="bullet"/>
      <w:pStyle w:val="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1E2B71"/>
    <w:multiLevelType w:val="hybridMultilevel"/>
    <w:tmpl w:val="4176D03A"/>
    <w:lvl w:ilvl="0" w:tplc="0C090017">
      <w:start w:val="1"/>
      <w:numFmt w:val="lowerLetter"/>
      <w:lvlText w:val="%1)"/>
      <w:lvlJc w:val="left"/>
      <w:pPr>
        <w:ind w:left="720" w:hanging="360"/>
      </w:pPr>
    </w:lvl>
    <w:lvl w:ilvl="1" w:tplc="BEC28E6E">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980B8B"/>
    <w:multiLevelType w:val="hybridMultilevel"/>
    <w:tmpl w:val="B29A650A"/>
    <w:lvl w:ilvl="0" w:tplc="9C645810">
      <w:start w:val="1"/>
      <w:numFmt w:val="lowerLetter"/>
      <w:lvlText w:val="%1)"/>
      <w:lvlJc w:val="left"/>
      <w:pPr>
        <w:ind w:left="720" w:hanging="360"/>
      </w:pPr>
      <w:rPr>
        <w:rFonts w:ascii="Aptos" w:eastAsia="Aptos" w:hAnsi="Aptos" w:cs="Times New Roman"/>
      </w:rPr>
    </w:lvl>
    <w:lvl w:ilvl="1" w:tplc="4A341A86">
      <w:numFmt w:val="bullet"/>
      <w:lvlText w:val="-"/>
      <w:lvlJc w:val="left"/>
      <w:pPr>
        <w:ind w:left="1440" w:hanging="360"/>
      </w:pPr>
      <w:rPr>
        <w:rFonts w:ascii="Aptos" w:eastAsia="Aptos" w:hAnsi="Apto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E294869"/>
    <w:multiLevelType w:val="hybridMultilevel"/>
    <w:tmpl w:val="2B8A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1322F"/>
    <w:multiLevelType w:val="hybridMultilevel"/>
    <w:tmpl w:val="F572ADA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4079CD"/>
    <w:multiLevelType w:val="hybridMultilevel"/>
    <w:tmpl w:val="A6F23C54"/>
    <w:lvl w:ilvl="0" w:tplc="0C090017">
      <w:start w:val="1"/>
      <w:numFmt w:val="lowerLetter"/>
      <w:lvlText w:val="%1)"/>
      <w:lvlJc w:val="left"/>
      <w:pPr>
        <w:ind w:left="720" w:hanging="360"/>
      </w:pPr>
    </w:lvl>
    <w:lvl w:ilvl="1" w:tplc="6930E02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122473"/>
    <w:multiLevelType w:val="hybridMultilevel"/>
    <w:tmpl w:val="52D29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034ED9"/>
    <w:multiLevelType w:val="hybridMultilevel"/>
    <w:tmpl w:val="6798CE68"/>
    <w:lvl w:ilvl="0" w:tplc="0B72868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E117AF"/>
    <w:multiLevelType w:val="hybridMultilevel"/>
    <w:tmpl w:val="8DCE81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799103EA"/>
    <w:multiLevelType w:val="hybridMultilevel"/>
    <w:tmpl w:val="C21A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37924228">
    <w:abstractNumId w:val="7"/>
  </w:num>
  <w:num w:numId="2" w16cid:durableId="923997534">
    <w:abstractNumId w:val="22"/>
  </w:num>
  <w:num w:numId="3" w16cid:durableId="605386906">
    <w:abstractNumId w:val="26"/>
  </w:num>
  <w:num w:numId="4" w16cid:durableId="868569941">
    <w:abstractNumId w:val="8"/>
  </w:num>
  <w:num w:numId="5" w16cid:durableId="1514029812">
    <w:abstractNumId w:val="8"/>
    <w:lvlOverride w:ilvl="0">
      <w:startOverride w:val="1"/>
    </w:lvlOverride>
  </w:num>
  <w:num w:numId="6" w16cid:durableId="1384987146">
    <w:abstractNumId w:val="11"/>
  </w:num>
  <w:num w:numId="7" w16cid:durableId="1789005868">
    <w:abstractNumId w:val="20"/>
  </w:num>
  <w:num w:numId="8" w16cid:durableId="514616934">
    <w:abstractNumId w:val="25"/>
  </w:num>
  <w:num w:numId="9" w16cid:durableId="663314691">
    <w:abstractNumId w:val="5"/>
  </w:num>
  <w:num w:numId="10" w16cid:durableId="134876964">
    <w:abstractNumId w:val="4"/>
  </w:num>
  <w:num w:numId="11" w16cid:durableId="2135369891">
    <w:abstractNumId w:val="3"/>
  </w:num>
  <w:num w:numId="12" w16cid:durableId="1381592041">
    <w:abstractNumId w:val="2"/>
  </w:num>
  <w:num w:numId="13" w16cid:durableId="851382331">
    <w:abstractNumId w:val="6"/>
  </w:num>
  <w:num w:numId="14" w16cid:durableId="79107264">
    <w:abstractNumId w:val="1"/>
  </w:num>
  <w:num w:numId="15" w16cid:durableId="444934336">
    <w:abstractNumId w:val="0"/>
  </w:num>
  <w:num w:numId="16" w16cid:durableId="830098484">
    <w:abstractNumId w:val="29"/>
  </w:num>
  <w:num w:numId="17" w16cid:durableId="74127878">
    <w:abstractNumId w:val="14"/>
  </w:num>
  <w:num w:numId="18" w16cid:durableId="934216765">
    <w:abstractNumId w:val="17"/>
  </w:num>
  <w:num w:numId="19" w16cid:durableId="675379200">
    <w:abstractNumId w:val="19"/>
  </w:num>
  <w:num w:numId="20" w16cid:durableId="335156842">
    <w:abstractNumId w:val="10"/>
  </w:num>
  <w:num w:numId="21" w16cid:durableId="2126996932">
    <w:abstractNumId w:val="24"/>
  </w:num>
  <w:num w:numId="22" w16cid:durableId="1984433390">
    <w:abstractNumId w:val="21"/>
  </w:num>
  <w:num w:numId="23" w16cid:durableId="2075002313">
    <w:abstractNumId w:val="13"/>
  </w:num>
  <w:num w:numId="24" w16cid:durableId="16759857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0868773">
    <w:abstractNumId w:val="23"/>
  </w:num>
  <w:num w:numId="26" w16cid:durableId="1621262090">
    <w:abstractNumId w:val="28"/>
  </w:num>
  <w:num w:numId="27" w16cid:durableId="1729724278">
    <w:abstractNumId w:val="18"/>
  </w:num>
  <w:num w:numId="28" w16cid:durableId="1390962770">
    <w:abstractNumId w:val="27"/>
  </w:num>
  <w:num w:numId="29" w16cid:durableId="1598171041">
    <w:abstractNumId w:val="9"/>
  </w:num>
  <w:num w:numId="30" w16cid:durableId="2011716501">
    <w:abstractNumId w:val="16"/>
  </w:num>
  <w:num w:numId="31" w16cid:durableId="608396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7C"/>
    <w:rsid w:val="00003743"/>
    <w:rsid w:val="000047B4"/>
    <w:rsid w:val="00005712"/>
    <w:rsid w:val="0000767E"/>
    <w:rsid w:val="00007EA8"/>
    <w:rsid w:val="00007F01"/>
    <w:rsid w:val="00007FD8"/>
    <w:rsid w:val="000117F8"/>
    <w:rsid w:val="0001378C"/>
    <w:rsid w:val="00024774"/>
    <w:rsid w:val="0002606E"/>
    <w:rsid w:val="00026139"/>
    <w:rsid w:val="00027071"/>
    <w:rsid w:val="00027601"/>
    <w:rsid w:val="00027955"/>
    <w:rsid w:val="00033321"/>
    <w:rsid w:val="000338E5"/>
    <w:rsid w:val="00033ECC"/>
    <w:rsid w:val="0003422F"/>
    <w:rsid w:val="00045E79"/>
    <w:rsid w:val="00046FF0"/>
    <w:rsid w:val="00050176"/>
    <w:rsid w:val="00050F32"/>
    <w:rsid w:val="00062B65"/>
    <w:rsid w:val="00065DDC"/>
    <w:rsid w:val="00067456"/>
    <w:rsid w:val="00071506"/>
    <w:rsid w:val="0007154F"/>
    <w:rsid w:val="00074CDB"/>
    <w:rsid w:val="00075B38"/>
    <w:rsid w:val="00077271"/>
    <w:rsid w:val="00081AB1"/>
    <w:rsid w:val="00087C63"/>
    <w:rsid w:val="00090316"/>
    <w:rsid w:val="00093981"/>
    <w:rsid w:val="00093CD9"/>
    <w:rsid w:val="000A30AF"/>
    <w:rsid w:val="000B067A"/>
    <w:rsid w:val="000B0A7D"/>
    <w:rsid w:val="000B1540"/>
    <w:rsid w:val="000B33FD"/>
    <w:rsid w:val="000B4ABA"/>
    <w:rsid w:val="000B680D"/>
    <w:rsid w:val="000C30CC"/>
    <w:rsid w:val="000C4B16"/>
    <w:rsid w:val="000C50C3"/>
    <w:rsid w:val="000C666E"/>
    <w:rsid w:val="000D0D47"/>
    <w:rsid w:val="000D21F6"/>
    <w:rsid w:val="000D22DD"/>
    <w:rsid w:val="000D42C3"/>
    <w:rsid w:val="000D4500"/>
    <w:rsid w:val="000D56E4"/>
    <w:rsid w:val="000D6A4F"/>
    <w:rsid w:val="000D7AEA"/>
    <w:rsid w:val="000E01A9"/>
    <w:rsid w:val="000E2C66"/>
    <w:rsid w:val="000E54DD"/>
    <w:rsid w:val="000E6E7D"/>
    <w:rsid w:val="000F123C"/>
    <w:rsid w:val="000F2FED"/>
    <w:rsid w:val="000F3B30"/>
    <w:rsid w:val="00100B33"/>
    <w:rsid w:val="00100F6D"/>
    <w:rsid w:val="0010616D"/>
    <w:rsid w:val="00110478"/>
    <w:rsid w:val="00111829"/>
    <w:rsid w:val="00112A1A"/>
    <w:rsid w:val="00116F8C"/>
    <w:rsid w:val="0011711B"/>
    <w:rsid w:val="00117F8A"/>
    <w:rsid w:val="00121B9B"/>
    <w:rsid w:val="00122ADC"/>
    <w:rsid w:val="00123354"/>
    <w:rsid w:val="001279C3"/>
    <w:rsid w:val="00130F59"/>
    <w:rsid w:val="00133EC0"/>
    <w:rsid w:val="00134CA8"/>
    <w:rsid w:val="00141CE5"/>
    <w:rsid w:val="00144908"/>
    <w:rsid w:val="00147CEF"/>
    <w:rsid w:val="001510A1"/>
    <w:rsid w:val="001571C7"/>
    <w:rsid w:val="00161094"/>
    <w:rsid w:val="0016750A"/>
    <w:rsid w:val="00172A55"/>
    <w:rsid w:val="001758CD"/>
    <w:rsid w:val="001765AA"/>
    <w:rsid w:val="0017665C"/>
    <w:rsid w:val="001768F0"/>
    <w:rsid w:val="00177AD2"/>
    <w:rsid w:val="001815A8"/>
    <w:rsid w:val="001840FA"/>
    <w:rsid w:val="001843D4"/>
    <w:rsid w:val="00190079"/>
    <w:rsid w:val="001924B7"/>
    <w:rsid w:val="0019622E"/>
    <w:rsid w:val="001966A7"/>
    <w:rsid w:val="001A4627"/>
    <w:rsid w:val="001A4979"/>
    <w:rsid w:val="001A6B10"/>
    <w:rsid w:val="001B15D3"/>
    <w:rsid w:val="001B2A2A"/>
    <w:rsid w:val="001B3443"/>
    <w:rsid w:val="001B6CE9"/>
    <w:rsid w:val="001C0326"/>
    <w:rsid w:val="001C192F"/>
    <w:rsid w:val="001C3C42"/>
    <w:rsid w:val="001D7869"/>
    <w:rsid w:val="001F27FC"/>
    <w:rsid w:val="001F2F78"/>
    <w:rsid w:val="001F4EF9"/>
    <w:rsid w:val="001F5C18"/>
    <w:rsid w:val="001F6D6F"/>
    <w:rsid w:val="002026CD"/>
    <w:rsid w:val="002033FC"/>
    <w:rsid w:val="002044BB"/>
    <w:rsid w:val="00205A93"/>
    <w:rsid w:val="00210B09"/>
    <w:rsid w:val="00210C9E"/>
    <w:rsid w:val="00211840"/>
    <w:rsid w:val="00220E5F"/>
    <w:rsid w:val="002212B5"/>
    <w:rsid w:val="00226668"/>
    <w:rsid w:val="00226769"/>
    <w:rsid w:val="00233809"/>
    <w:rsid w:val="00236073"/>
    <w:rsid w:val="00240046"/>
    <w:rsid w:val="0024797F"/>
    <w:rsid w:val="0025119E"/>
    <w:rsid w:val="00251269"/>
    <w:rsid w:val="002535C0"/>
    <w:rsid w:val="002579FE"/>
    <w:rsid w:val="0026082B"/>
    <w:rsid w:val="0026311C"/>
    <w:rsid w:val="0026668C"/>
    <w:rsid w:val="00266AC1"/>
    <w:rsid w:val="0027178C"/>
    <w:rsid w:val="002719FA"/>
    <w:rsid w:val="00272668"/>
    <w:rsid w:val="0027330B"/>
    <w:rsid w:val="00275C95"/>
    <w:rsid w:val="002803AD"/>
    <w:rsid w:val="00282052"/>
    <w:rsid w:val="0028519E"/>
    <w:rsid w:val="002856A5"/>
    <w:rsid w:val="002872ED"/>
    <w:rsid w:val="002905C2"/>
    <w:rsid w:val="00290D1A"/>
    <w:rsid w:val="00291079"/>
    <w:rsid w:val="002959AF"/>
    <w:rsid w:val="00295AF2"/>
    <w:rsid w:val="00295C91"/>
    <w:rsid w:val="00297151"/>
    <w:rsid w:val="002B20E6"/>
    <w:rsid w:val="002B215C"/>
    <w:rsid w:val="002B42A3"/>
    <w:rsid w:val="002C0CDD"/>
    <w:rsid w:val="002C0F7C"/>
    <w:rsid w:val="002E1A1D"/>
    <w:rsid w:val="002E4081"/>
    <w:rsid w:val="002E5B78"/>
    <w:rsid w:val="002F2837"/>
    <w:rsid w:val="002F3AE3"/>
    <w:rsid w:val="0030464B"/>
    <w:rsid w:val="00306B4C"/>
    <w:rsid w:val="0030786C"/>
    <w:rsid w:val="00312525"/>
    <w:rsid w:val="00315C92"/>
    <w:rsid w:val="00321E74"/>
    <w:rsid w:val="003233DE"/>
    <w:rsid w:val="0032466B"/>
    <w:rsid w:val="00326C89"/>
    <w:rsid w:val="003272DF"/>
    <w:rsid w:val="00327B44"/>
    <w:rsid w:val="003330EB"/>
    <w:rsid w:val="00336605"/>
    <w:rsid w:val="003415FD"/>
    <w:rsid w:val="003429F0"/>
    <w:rsid w:val="0035097A"/>
    <w:rsid w:val="00351949"/>
    <w:rsid w:val="0035211C"/>
    <w:rsid w:val="003540A4"/>
    <w:rsid w:val="00357E5D"/>
    <w:rsid w:val="003607D7"/>
    <w:rsid w:val="00360E4E"/>
    <w:rsid w:val="00361CBC"/>
    <w:rsid w:val="00370AAA"/>
    <w:rsid w:val="003751F3"/>
    <w:rsid w:val="00375F77"/>
    <w:rsid w:val="00377A78"/>
    <w:rsid w:val="00381BBE"/>
    <w:rsid w:val="00381F2A"/>
    <w:rsid w:val="00381F4F"/>
    <w:rsid w:val="00382903"/>
    <w:rsid w:val="003846FF"/>
    <w:rsid w:val="00385AD4"/>
    <w:rsid w:val="00387924"/>
    <w:rsid w:val="00391167"/>
    <w:rsid w:val="003913C8"/>
    <w:rsid w:val="0039143C"/>
    <w:rsid w:val="003926F3"/>
    <w:rsid w:val="0039384D"/>
    <w:rsid w:val="00395B06"/>
    <w:rsid w:val="00395C23"/>
    <w:rsid w:val="00396305"/>
    <w:rsid w:val="003977DA"/>
    <w:rsid w:val="003A2E4F"/>
    <w:rsid w:val="003A4438"/>
    <w:rsid w:val="003A5013"/>
    <w:rsid w:val="003A5078"/>
    <w:rsid w:val="003A62DD"/>
    <w:rsid w:val="003A775A"/>
    <w:rsid w:val="003B0DAB"/>
    <w:rsid w:val="003B0E3E"/>
    <w:rsid w:val="003B213A"/>
    <w:rsid w:val="003B43AD"/>
    <w:rsid w:val="003B61F1"/>
    <w:rsid w:val="003C0FEC"/>
    <w:rsid w:val="003C15B8"/>
    <w:rsid w:val="003C2AC8"/>
    <w:rsid w:val="003D17F9"/>
    <w:rsid w:val="003D2D88"/>
    <w:rsid w:val="003D3383"/>
    <w:rsid w:val="003D41EA"/>
    <w:rsid w:val="003D4850"/>
    <w:rsid w:val="003D535A"/>
    <w:rsid w:val="003E10B8"/>
    <w:rsid w:val="003E5265"/>
    <w:rsid w:val="003E5525"/>
    <w:rsid w:val="003F0955"/>
    <w:rsid w:val="003F36A2"/>
    <w:rsid w:val="003F6FE1"/>
    <w:rsid w:val="00400F00"/>
    <w:rsid w:val="00404F8B"/>
    <w:rsid w:val="00405256"/>
    <w:rsid w:val="0040565C"/>
    <w:rsid w:val="00407741"/>
    <w:rsid w:val="00410031"/>
    <w:rsid w:val="004115A2"/>
    <w:rsid w:val="00415C81"/>
    <w:rsid w:val="00416731"/>
    <w:rsid w:val="00422DCF"/>
    <w:rsid w:val="00432378"/>
    <w:rsid w:val="00436AD0"/>
    <w:rsid w:val="00440D65"/>
    <w:rsid w:val="00441913"/>
    <w:rsid w:val="004435E6"/>
    <w:rsid w:val="004445CB"/>
    <w:rsid w:val="00446FEF"/>
    <w:rsid w:val="00447E31"/>
    <w:rsid w:val="00453923"/>
    <w:rsid w:val="00454B9B"/>
    <w:rsid w:val="00455CD6"/>
    <w:rsid w:val="00456554"/>
    <w:rsid w:val="00457858"/>
    <w:rsid w:val="00460B0B"/>
    <w:rsid w:val="00461023"/>
    <w:rsid w:val="004620EE"/>
    <w:rsid w:val="00462FAC"/>
    <w:rsid w:val="00464631"/>
    <w:rsid w:val="00464B79"/>
    <w:rsid w:val="00467BBF"/>
    <w:rsid w:val="00474D89"/>
    <w:rsid w:val="004867E2"/>
    <w:rsid w:val="00487718"/>
    <w:rsid w:val="0049018E"/>
    <w:rsid w:val="004929A9"/>
    <w:rsid w:val="004A2EA6"/>
    <w:rsid w:val="004C2FEC"/>
    <w:rsid w:val="004C6BCF"/>
    <w:rsid w:val="004D15FE"/>
    <w:rsid w:val="004D29A6"/>
    <w:rsid w:val="004D54AE"/>
    <w:rsid w:val="004D58BF"/>
    <w:rsid w:val="004E37BF"/>
    <w:rsid w:val="004E4335"/>
    <w:rsid w:val="004E5911"/>
    <w:rsid w:val="004E5ACF"/>
    <w:rsid w:val="004F13EE"/>
    <w:rsid w:val="004F2022"/>
    <w:rsid w:val="004F7C05"/>
    <w:rsid w:val="00501C94"/>
    <w:rsid w:val="00503677"/>
    <w:rsid w:val="00503AEA"/>
    <w:rsid w:val="00506432"/>
    <w:rsid w:val="0051242B"/>
    <w:rsid w:val="0052051D"/>
    <w:rsid w:val="00522B86"/>
    <w:rsid w:val="005239F4"/>
    <w:rsid w:val="005330DF"/>
    <w:rsid w:val="00534856"/>
    <w:rsid w:val="00545EE6"/>
    <w:rsid w:val="005550E7"/>
    <w:rsid w:val="005564FB"/>
    <w:rsid w:val="005572C7"/>
    <w:rsid w:val="00557D5A"/>
    <w:rsid w:val="00563D48"/>
    <w:rsid w:val="0056486D"/>
    <w:rsid w:val="005650ED"/>
    <w:rsid w:val="00565A16"/>
    <w:rsid w:val="0056791F"/>
    <w:rsid w:val="00571055"/>
    <w:rsid w:val="00575754"/>
    <w:rsid w:val="00577D0D"/>
    <w:rsid w:val="00590FD7"/>
    <w:rsid w:val="00591E20"/>
    <w:rsid w:val="0059497D"/>
    <w:rsid w:val="00595408"/>
    <w:rsid w:val="00595E84"/>
    <w:rsid w:val="005A0C59"/>
    <w:rsid w:val="005A1802"/>
    <w:rsid w:val="005A23BF"/>
    <w:rsid w:val="005A48EB"/>
    <w:rsid w:val="005A6CFB"/>
    <w:rsid w:val="005B6FCC"/>
    <w:rsid w:val="005C22BC"/>
    <w:rsid w:val="005C5AEB"/>
    <w:rsid w:val="005C75C7"/>
    <w:rsid w:val="005D4E63"/>
    <w:rsid w:val="005E0A3F"/>
    <w:rsid w:val="005E5995"/>
    <w:rsid w:val="005E6883"/>
    <w:rsid w:val="005E772F"/>
    <w:rsid w:val="005F0569"/>
    <w:rsid w:val="005F1EA0"/>
    <w:rsid w:val="005F4ECA"/>
    <w:rsid w:val="006018DC"/>
    <w:rsid w:val="006041BE"/>
    <w:rsid w:val="006043C7"/>
    <w:rsid w:val="00607456"/>
    <w:rsid w:val="00617EF3"/>
    <w:rsid w:val="00621897"/>
    <w:rsid w:val="00621AED"/>
    <w:rsid w:val="00621F5A"/>
    <w:rsid w:val="00623579"/>
    <w:rsid w:val="00624B52"/>
    <w:rsid w:val="00631D77"/>
    <w:rsid w:val="00631DF4"/>
    <w:rsid w:val="00634175"/>
    <w:rsid w:val="0063475E"/>
    <w:rsid w:val="00635036"/>
    <w:rsid w:val="006366FC"/>
    <w:rsid w:val="006408AC"/>
    <w:rsid w:val="006511B6"/>
    <w:rsid w:val="00652742"/>
    <w:rsid w:val="00656C8D"/>
    <w:rsid w:val="00656FEE"/>
    <w:rsid w:val="00657FF8"/>
    <w:rsid w:val="006653ED"/>
    <w:rsid w:val="00670D99"/>
    <w:rsid w:val="00670E2B"/>
    <w:rsid w:val="006734BB"/>
    <w:rsid w:val="006747AA"/>
    <w:rsid w:val="00680F69"/>
    <w:rsid w:val="00681A34"/>
    <w:rsid w:val="006821EB"/>
    <w:rsid w:val="00685828"/>
    <w:rsid w:val="006861C5"/>
    <w:rsid w:val="006928E3"/>
    <w:rsid w:val="00695764"/>
    <w:rsid w:val="00696DAF"/>
    <w:rsid w:val="006A2772"/>
    <w:rsid w:val="006A4004"/>
    <w:rsid w:val="006B0450"/>
    <w:rsid w:val="006B2286"/>
    <w:rsid w:val="006B56BB"/>
    <w:rsid w:val="006C69FD"/>
    <w:rsid w:val="006C77A8"/>
    <w:rsid w:val="006D2267"/>
    <w:rsid w:val="006D4098"/>
    <w:rsid w:val="006D7681"/>
    <w:rsid w:val="006D7B2E"/>
    <w:rsid w:val="006E02EA"/>
    <w:rsid w:val="006E0968"/>
    <w:rsid w:val="006E2AF6"/>
    <w:rsid w:val="006E5837"/>
    <w:rsid w:val="006F1C14"/>
    <w:rsid w:val="006F53F8"/>
    <w:rsid w:val="006F744D"/>
    <w:rsid w:val="00701275"/>
    <w:rsid w:val="0070358D"/>
    <w:rsid w:val="00707F56"/>
    <w:rsid w:val="00713558"/>
    <w:rsid w:val="00720D08"/>
    <w:rsid w:val="007263B9"/>
    <w:rsid w:val="00732155"/>
    <w:rsid w:val="00732766"/>
    <w:rsid w:val="007334F8"/>
    <w:rsid w:val="007339CD"/>
    <w:rsid w:val="007359D8"/>
    <w:rsid w:val="007362D4"/>
    <w:rsid w:val="00737820"/>
    <w:rsid w:val="00743AE8"/>
    <w:rsid w:val="00751A23"/>
    <w:rsid w:val="00755E32"/>
    <w:rsid w:val="0076672A"/>
    <w:rsid w:val="007717BB"/>
    <w:rsid w:val="00772A09"/>
    <w:rsid w:val="007732DF"/>
    <w:rsid w:val="00775038"/>
    <w:rsid w:val="00775E45"/>
    <w:rsid w:val="007762A8"/>
    <w:rsid w:val="00776E74"/>
    <w:rsid w:val="007772B5"/>
    <w:rsid w:val="00785169"/>
    <w:rsid w:val="007954AB"/>
    <w:rsid w:val="007A14C5"/>
    <w:rsid w:val="007A3E38"/>
    <w:rsid w:val="007A4A10"/>
    <w:rsid w:val="007A4A4A"/>
    <w:rsid w:val="007A7843"/>
    <w:rsid w:val="007B1760"/>
    <w:rsid w:val="007B3CFD"/>
    <w:rsid w:val="007B4E19"/>
    <w:rsid w:val="007B55E8"/>
    <w:rsid w:val="007C6D9C"/>
    <w:rsid w:val="007C7DDB"/>
    <w:rsid w:val="007D2CC7"/>
    <w:rsid w:val="007D3474"/>
    <w:rsid w:val="007D673D"/>
    <w:rsid w:val="007E1E94"/>
    <w:rsid w:val="007E4B46"/>
    <w:rsid w:val="007E4C0C"/>
    <w:rsid w:val="007F2220"/>
    <w:rsid w:val="007F4B3E"/>
    <w:rsid w:val="007F588A"/>
    <w:rsid w:val="007F60A9"/>
    <w:rsid w:val="0080178C"/>
    <w:rsid w:val="00802962"/>
    <w:rsid w:val="00806DC5"/>
    <w:rsid w:val="008127AF"/>
    <w:rsid w:val="00812B46"/>
    <w:rsid w:val="00815700"/>
    <w:rsid w:val="00816A4F"/>
    <w:rsid w:val="00817B70"/>
    <w:rsid w:val="0082075E"/>
    <w:rsid w:val="008264EB"/>
    <w:rsid w:val="00826B8F"/>
    <w:rsid w:val="00831E8A"/>
    <w:rsid w:val="00835574"/>
    <w:rsid w:val="00835C76"/>
    <w:rsid w:val="00841111"/>
    <w:rsid w:val="00843049"/>
    <w:rsid w:val="00843CE8"/>
    <w:rsid w:val="0085209B"/>
    <w:rsid w:val="00856B66"/>
    <w:rsid w:val="00860368"/>
    <w:rsid w:val="00861A5F"/>
    <w:rsid w:val="008644AD"/>
    <w:rsid w:val="008655FD"/>
    <w:rsid w:val="00865735"/>
    <w:rsid w:val="00865DDB"/>
    <w:rsid w:val="008660DF"/>
    <w:rsid w:val="00867538"/>
    <w:rsid w:val="00873D90"/>
    <w:rsid w:val="00873FC8"/>
    <w:rsid w:val="00880A44"/>
    <w:rsid w:val="0088180E"/>
    <w:rsid w:val="00884C63"/>
    <w:rsid w:val="00885908"/>
    <w:rsid w:val="00886034"/>
    <w:rsid w:val="008864B7"/>
    <w:rsid w:val="008928FD"/>
    <w:rsid w:val="008938B2"/>
    <w:rsid w:val="0089677E"/>
    <w:rsid w:val="00896E8C"/>
    <w:rsid w:val="0089730F"/>
    <w:rsid w:val="008A7438"/>
    <w:rsid w:val="008B1334"/>
    <w:rsid w:val="008C0278"/>
    <w:rsid w:val="008C24E9"/>
    <w:rsid w:val="008C7C44"/>
    <w:rsid w:val="008D0533"/>
    <w:rsid w:val="008D2811"/>
    <w:rsid w:val="008D2E8E"/>
    <w:rsid w:val="008D42CB"/>
    <w:rsid w:val="008D48C9"/>
    <w:rsid w:val="008D5B79"/>
    <w:rsid w:val="008D6381"/>
    <w:rsid w:val="008E0C77"/>
    <w:rsid w:val="008E625F"/>
    <w:rsid w:val="008F0DED"/>
    <w:rsid w:val="008F264D"/>
    <w:rsid w:val="008F5AA9"/>
    <w:rsid w:val="008F76F6"/>
    <w:rsid w:val="00900C75"/>
    <w:rsid w:val="00901781"/>
    <w:rsid w:val="009059F3"/>
    <w:rsid w:val="009074E1"/>
    <w:rsid w:val="009112F7"/>
    <w:rsid w:val="009122AF"/>
    <w:rsid w:val="009127BC"/>
    <w:rsid w:val="00912D54"/>
    <w:rsid w:val="0091389F"/>
    <w:rsid w:val="009208F7"/>
    <w:rsid w:val="00921E93"/>
    <w:rsid w:val="00922517"/>
    <w:rsid w:val="00922722"/>
    <w:rsid w:val="00924993"/>
    <w:rsid w:val="009261E6"/>
    <w:rsid w:val="009268E1"/>
    <w:rsid w:val="009332D2"/>
    <w:rsid w:val="00936451"/>
    <w:rsid w:val="00944ED8"/>
    <w:rsid w:val="00945E7F"/>
    <w:rsid w:val="00953CF6"/>
    <w:rsid w:val="00953E43"/>
    <w:rsid w:val="009557C1"/>
    <w:rsid w:val="009567BB"/>
    <w:rsid w:val="009579B8"/>
    <w:rsid w:val="00960D6E"/>
    <w:rsid w:val="00961353"/>
    <w:rsid w:val="00972B5D"/>
    <w:rsid w:val="00972BC1"/>
    <w:rsid w:val="00974B59"/>
    <w:rsid w:val="0098340B"/>
    <w:rsid w:val="00986830"/>
    <w:rsid w:val="009924C3"/>
    <w:rsid w:val="00993102"/>
    <w:rsid w:val="009A4DC2"/>
    <w:rsid w:val="009A661F"/>
    <w:rsid w:val="009C4A18"/>
    <w:rsid w:val="009C4A39"/>
    <w:rsid w:val="009C6F10"/>
    <w:rsid w:val="009D148F"/>
    <w:rsid w:val="009D3765"/>
    <w:rsid w:val="009D3D70"/>
    <w:rsid w:val="009D6EF0"/>
    <w:rsid w:val="009E06C5"/>
    <w:rsid w:val="009E077D"/>
    <w:rsid w:val="009E16A8"/>
    <w:rsid w:val="009E1BF6"/>
    <w:rsid w:val="009E5536"/>
    <w:rsid w:val="009E6F7E"/>
    <w:rsid w:val="009E7A57"/>
    <w:rsid w:val="009F40DA"/>
    <w:rsid w:val="009F4F6A"/>
    <w:rsid w:val="00A0188C"/>
    <w:rsid w:val="00A04084"/>
    <w:rsid w:val="00A12BA2"/>
    <w:rsid w:val="00A14B61"/>
    <w:rsid w:val="00A16E36"/>
    <w:rsid w:val="00A216E1"/>
    <w:rsid w:val="00A23296"/>
    <w:rsid w:val="00A24961"/>
    <w:rsid w:val="00A24B10"/>
    <w:rsid w:val="00A30E9B"/>
    <w:rsid w:val="00A36843"/>
    <w:rsid w:val="00A45123"/>
    <w:rsid w:val="00A4512D"/>
    <w:rsid w:val="00A46946"/>
    <w:rsid w:val="00A50244"/>
    <w:rsid w:val="00A53583"/>
    <w:rsid w:val="00A55B63"/>
    <w:rsid w:val="00A55F14"/>
    <w:rsid w:val="00A566BE"/>
    <w:rsid w:val="00A56F17"/>
    <w:rsid w:val="00A611E6"/>
    <w:rsid w:val="00A627D7"/>
    <w:rsid w:val="00A656C7"/>
    <w:rsid w:val="00A705AF"/>
    <w:rsid w:val="00A72454"/>
    <w:rsid w:val="00A77696"/>
    <w:rsid w:val="00A80557"/>
    <w:rsid w:val="00A81C1C"/>
    <w:rsid w:val="00A81D33"/>
    <w:rsid w:val="00A930AE"/>
    <w:rsid w:val="00A9740E"/>
    <w:rsid w:val="00AA1A95"/>
    <w:rsid w:val="00AA260F"/>
    <w:rsid w:val="00AB1EE7"/>
    <w:rsid w:val="00AB4B37"/>
    <w:rsid w:val="00AB5762"/>
    <w:rsid w:val="00AC0C70"/>
    <w:rsid w:val="00AC1485"/>
    <w:rsid w:val="00AC2679"/>
    <w:rsid w:val="00AC4BE4"/>
    <w:rsid w:val="00AC6BF9"/>
    <w:rsid w:val="00AD05E6"/>
    <w:rsid w:val="00AD0D3F"/>
    <w:rsid w:val="00AD1E44"/>
    <w:rsid w:val="00AD3AF3"/>
    <w:rsid w:val="00AD6A66"/>
    <w:rsid w:val="00AE1CF4"/>
    <w:rsid w:val="00AE1D7D"/>
    <w:rsid w:val="00AE2A8B"/>
    <w:rsid w:val="00AE33B2"/>
    <w:rsid w:val="00AE3F64"/>
    <w:rsid w:val="00AE7070"/>
    <w:rsid w:val="00AF5444"/>
    <w:rsid w:val="00AF6D74"/>
    <w:rsid w:val="00AF7386"/>
    <w:rsid w:val="00AF7934"/>
    <w:rsid w:val="00B00B81"/>
    <w:rsid w:val="00B016A2"/>
    <w:rsid w:val="00B04580"/>
    <w:rsid w:val="00B04B09"/>
    <w:rsid w:val="00B10AA8"/>
    <w:rsid w:val="00B10BB1"/>
    <w:rsid w:val="00B16A51"/>
    <w:rsid w:val="00B2152E"/>
    <w:rsid w:val="00B23663"/>
    <w:rsid w:val="00B25440"/>
    <w:rsid w:val="00B32222"/>
    <w:rsid w:val="00B336A3"/>
    <w:rsid w:val="00B3618D"/>
    <w:rsid w:val="00B36233"/>
    <w:rsid w:val="00B36A91"/>
    <w:rsid w:val="00B403E6"/>
    <w:rsid w:val="00B42851"/>
    <w:rsid w:val="00B42CBC"/>
    <w:rsid w:val="00B44314"/>
    <w:rsid w:val="00B45AC7"/>
    <w:rsid w:val="00B5372F"/>
    <w:rsid w:val="00B602C3"/>
    <w:rsid w:val="00B61129"/>
    <w:rsid w:val="00B64846"/>
    <w:rsid w:val="00B668AB"/>
    <w:rsid w:val="00B67658"/>
    <w:rsid w:val="00B67E7F"/>
    <w:rsid w:val="00B74C6A"/>
    <w:rsid w:val="00B75A04"/>
    <w:rsid w:val="00B76810"/>
    <w:rsid w:val="00B839B2"/>
    <w:rsid w:val="00B85F1B"/>
    <w:rsid w:val="00B94252"/>
    <w:rsid w:val="00B94828"/>
    <w:rsid w:val="00B9715A"/>
    <w:rsid w:val="00BA14BE"/>
    <w:rsid w:val="00BA2732"/>
    <w:rsid w:val="00BA293D"/>
    <w:rsid w:val="00BA49BC"/>
    <w:rsid w:val="00BA56B7"/>
    <w:rsid w:val="00BA7A1E"/>
    <w:rsid w:val="00BA7CA9"/>
    <w:rsid w:val="00BB144E"/>
    <w:rsid w:val="00BB2F6C"/>
    <w:rsid w:val="00BB3875"/>
    <w:rsid w:val="00BB5023"/>
    <w:rsid w:val="00BB5860"/>
    <w:rsid w:val="00BB6AAD"/>
    <w:rsid w:val="00BC116E"/>
    <w:rsid w:val="00BC2D08"/>
    <w:rsid w:val="00BC4A19"/>
    <w:rsid w:val="00BC4E6D"/>
    <w:rsid w:val="00BC725F"/>
    <w:rsid w:val="00BD0617"/>
    <w:rsid w:val="00BD2E9B"/>
    <w:rsid w:val="00BE2D55"/>
    <w:rsid w:val="00BF1091"/>
    <w:rsid w:val="00BF5D11"/>
    <w:rsid w:val="00BF6B5E"/>
    <w:rsid w:val="00C00930"/>
    <w:rsid w:val="00C060AD"/>
    <w:rsid w:val="00C0670D"/>
    <w:rsid w:val="00C113BF"/>
    <w:rsid w:val="00C1298A"/>
    <w:rsid w:val="00C17706"/>
    <w:rsid w:val="00C2176E"/>
    <w:rsid w:val="00C23430"/>
    <w:rsid w:val="00C27D67"/>
    <w:rsid w:val="00C34C0E"/>
    <w:rsid w:val="00C3728D"/>
    <w:rsid w:val="00C376DA"/>
    <w:rsid w:val="00C42B85"/>
    <w:rsid w:val="00C4631F"/>
    <w:rsid w:val="00C47D3C"/>
    <w:rsid w:val="00C5074A"/>
    <w:rsid w:val="00C50E16"/>
    <w:rsid w:val="00C53E62"/>
    <w:rsid w:val="00C55258"/>
    <w:rsid w:val="00C67D58"/>
    <w:rsid w:val="00C77829"/>
    <w:rsid w:val="00C81131"/>
    <w:rsid w:val="00C82EEB"/>
    <w:rsid w:val="00C84779"/>
    <w:rsid w:val="00C863A6"/>
    <w:rsid w:val="00C863D3"/>
    <w:rsid w:val="00C906C4"/>
    <w:rsid w:val="00C9092F"/>
    <w:rsid w:val="00C90A3F"/>
    <w:rsid w:val="00C916A8"/>
    <w:rsid w:val="00C94813"/>
    <w:rsid w:val="00C948EF"/>
    <w:rsid w:val="00C971DC"/>
    <w:rsid w:val="00CA16B7"/>
    <w:rsid w:val="00CA4BE3"/>
    <w:rsid w:val="00CA62AE"/>
    <w:rsid w:val="00CA6B8C"/>
    <w:rsid w:val="00CA79CF"/>
    <w:rsid w:val="00CB5B1A"/>
    <w:rsid w:val="00CC0168"/>
    <w:rsid w:val="00CC220B"/>
    <w:rsid w:val="00CC32D2"/>
    <w:rsid w:val="00CC5C43"/>
    <w:rsid w:val="00CD02AE"/>
    <w:rsid w:val="00CD2A4F"/>
    <w:rsid w:val="00CE03CA"/>
    <w:rsid w:val="00CE22F1"/>
    <w:rsid w:val="00CE324A"/>
    <w:rsid w:val="00CE50F2"/>
    <w:rsid w:val="00CE6502"/>
    <w:rsid w:val="00CF14A6"/>
    <w:rsid w:val="00CF2115"/>
    <w:rsid w:val="00CF7D3C"/>
    <w:rsid w:val="00D01273"/>
    <w:rsid w:val="00D049B4"/>
    <w:rsid w:val="00D147EB"/>
    <w:rsid w:val="00D3145A"/>
    <w:rsid w:val="00D31884"/>
    <w:rsid w:val="00D34667"/>
    <w:rsid w:val="00D35B76"/>
    <w:rsid w:val="00D401E1"/>
    <w:rsid w:val="00D403B5"/>
    <w:rsid w:val="00D408B4"/>
    <w:rsid w:val="00D4580A"/>
    <w:rsid w:val="00D45D94"/>
    <w:rsid w:val="00D524C8"/>
    <w:rsid w:val="00D60C91"/>
    <w:rsid w:val="00D60E25"/>
    <w:rsid w:val="00D70E24"/>
    <w:rsid w:val="00D716B3"/>
    <w:rsid w:val="00D72B61"/>
    <w:rsid w:val="00D8320B"/>
    <w:rsid w:val="00D8668D"/>
    <w:rsid w:val="00D879CD"/>
    <w:rsid w:val="00D94D96"/>
    <w:rsid w:val="00D9750F"/>
    <w:rsid w:val="00DA01D4"/>
    <w:rsid w:val="00DA3D1D"/>
    <w:rsid w:val="00DB0028"/>
    <w:rsid w:val="00DB0138"/>
    <w:rsid w:val="00DB472C"/>
    <w:rsid w:val="00DB6286"/>
    <w:rsid w:val="00DB645F"/>
    <w:rsid w:val="00DB76E9"/>
    <w:rsid w:val="00DC0A67"/>
    <w:rsid w:val="00DC1D5E"/>
    <w:rsid w:val="00DC2313"/>
    <w:rsid w:val="00DC5220"/>
    <w:rsid w:val="00DC5B04"/>
    <w:rsid w:val="00DC7730"/>
    <w:rsid w:val="00DC7910"/>
    <w:rsid w:val="00DD2061"/>
    <w:rsid w:val="00DD55A0"/>
    <w:rsid w:val="00DD7DAB"/>
    <w:rsid w:val="00DE3355"/>
    <w:rsid w:val="00DE789C"/>
    <w:rsid w:val="00DF23F8"/>
    <w:rsid w:val="00DF486F"/>
    <w:rsid w:val="00DF5B5B"/>
    <w:rsid w:val="00DF7619"/>
    <w:rsid w:val="00E042D8"/>
    <w:rsid w:val="00E0510E"/>
    <w:rsid w:val="00E070CD"/>
    <w:rsid w:val="00E07EE7"/>
    <w:rsid w:val="00E10D41"/>
    <w:rsid w:val="00E1103B"/>
    <w:rsid w:val="00E17B44"/>
    <w:rsid w:val="00E221BD"/>
    <w:rsid w:val="00E252CD"/>
    <w:rsid w:val="00E27FEA"/>
    <w:rsid w:val="00E36CD5"/>
    <w:rsid w:val="00E4086F"/>
    <w:rsid w:val="00E43B3C"/>
    <w:rsid w:val="00E44D80"/>
    <w:rsid w:val="00E46112"/>
    <w:rsid w:val="00E50188"/>
    <w:rsid w:val="00E515CB"/>
    <w:rsid w:val="00E51901"/>
    <w:rsid w:val="00E52260"/>
    <w:rsid w:val="00E560A5"/>
    <w:rsid w:val="00E5687C"/>
    <w:rsid w:val="00E639B6"/>
    <w:rsid w:val="00E6434B"/>
    <w:rsid w:val="00E6463D"/>
    <w:rsid w:val="00E72E9B"/>
    <w:rsid w:val="00E7570B"/>
    <w:rsid w:val="00E82D26"/>
    <w:rsid w:val="00E849DA"/>
    <w:rsid w:val="00E911F2"/>
    <w:rsid w:val="00E9462E"/>
    <w:rsid w:val="00E95919"/>
    <w:rsid w:val="00E9791F"/>
    <w:rsid w:val="00EA470E"/>
    <w:rsid w:val="00EA47A7"/>
    <w:rsid w:val="00EA57EB"/>
    <w:rsid w:val="00EB3226"/>
    <w:rsid w:val="00EC213A"/>
    <w:rsid w:val="00EC527D"/>
    <w:rsid w:val="00EC5F7E"/>
    <w:rsid w:val="00EC6603"/>
    <w:rsid w:val="00EC7744"/>
    <w:rsid w:val="00ED0DAD"/>
    <w:rsid w:val="00ED0F46"/>
    <w:rsid w:val="00ED2373"/>
    <w:rsid w:val="00ED5C90"/>
    <w:rsid w:val="00EE3E8A"/>
    <w:rsid w:val="00EF3A3B"/>
    <w:rsid w:val="00EF6ECA"/>
    <w:rsid w:val="00F00C80"/>
    <w:rsid w:val="00F024E1"/>
    <w:rsid w:val="00F06C10"/>
    <w:rsid w:val="00F10102"/>
    <w:rsid w:val="00F1096F"/>
    <w:rsid w:val="00F12589"/>
    <w:rsid w:val="00F12595"/>
    <w:rsid w:val="00F134D9"/>
    <w:rsid w:val="00F1403D"/>
    <w:rsid w:val="00F1463F"/>
    <w:rsid w:val="00F21302"/>
    <w:rsid w:val="00F267A3"/>
    <w:rsid w:val="00F321DE"/>
    <w:rsid w:val="00F33777"/>
    <w:rsid w:val="00F40648"/>
    <w:rsid w:val="00F4351B"/>
    <w:rsid w:val="00F47DA2"/>
    <w:rsid w:val="00F519FC"/>
    <w:rsid w:val="00F61608"/>
    <w:rsid w:val="00F6239D"/>
    <w:rsid w:val="00F62BC0"/>
    <w:rsid w:val="00F715D2"/>
    <w:rsid w:val="00F7274F"/>
    <w:rsid w:val="00F76FA8"/>
    <w:rsid w:val="00F80ADD"/>
    <w:rsid w:val="00F81639"/>
    <w:rsid w:val="00F85DC7"/>
    <w:rsid w:val="00F93F08"/>
    <w:rsid w:val="00F94CED"/>
    <w:rsid w:val="00FA13C0"/>
    <w:rsid w:val="00FA2CEE"/>
    <w:rsid w:val="00FA318C"/>
    <w:rsid w:val="00FB24D0"/>
    <w:rsid w:val="00FB6F92"/>
    <w:rsid w:val="00FC026E"/>
    <w:rsid w:val="00FC5124"/>
    <w:rsid w:val="00FC68CE"/>
    <w:rsid w:val="00FD27BD"/>
    <w:rsid w:val="00FD3662"/>
    <w:rsid w:val="00FD4731"/>
    <w:rsid w:val="00FE1EF3"/>
    <w:rsid w:val="00FE3DED"/>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F543D"/>
  <w15:docId w15:val="{19BDC79B-12D9-4A71-8BF6-7442B632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1913"/>
    <w:pPr>
      <w:spacing w:before="120" w:after="120"/>
      <w:jc w:val="both"/>
    </w:pPr>
    <w:rPr>
      <w:rFonts w:ascii="Arial" w:hAnsi="Arial"/>
      <w:sz w:val="21"/>
      <w:szCs w:val="24"/>
      <w:lang w:eastAsia="en-US"/>
    </w:rPr>
  </w:style>
  <w:style w:type="paragraph" w:styleId="Heading1">
    <w:name w:val="heading 1"/>
    <w:basedOn w:val="Normal"/>
    <w:next w:val="Paragraphtext"/>
    <w:link w:val="Heading1Char"/>
    <w:qFormat/>
    <w:rsid w:val="00AC1485"/>
    <w:pPr>
      <w:keepNext/>
      <w:spacing w:before="240"/>
      <w:outlineLvl w:val="0"/>
    </w:pPr>
    <w:rPr>
      <w:rFonts w:cs="Arial"/>
      <w:b/>
      <w:bCs/>
      <w:color w:val="18233B"/>
      <w:kern w:val="28"/>
      <w:sz w:val="36"/>
      <w:szCs w:val="36"/>
    </w:rPr>
  </w:style>
  <w:style w:type="paragraph" w:styleId="Heading2">
    <w:name w:val="heading 2"/>
    <w:basedOn w:val="Normal"/>
    <w:next w:val="Paragraphtext"/>
    <w:link w:val="Heading2Char"/>
    <w:qFormat/>
    <w:rsid w:val="00F10102"/>
    <w:pPr>
      <w:spacing w:before="360"/>
      <w:outlineLvl w:val="1"/>
    </w:pPr>
    <w:rPr>
      <w:rFonts w:cs="Arial"/>
      <w:bCs/>
      <w:iCs/>
      <w:color w:val="48607B"/>
      <w:sz w:val="32"/>
      <w:szCs w:val="28"/>
    </w:rPr>
  </w:style>
  <w:style w:type="paragraph" w:styleId="Heading3">
    <w:name w:val="heading 3"/>
    <w:next w:val="Normal"/>
    <w:qFormat/>
    <w:rsid w:val="00AC1485"/>
    <w:pPr>
      <w:keepNext/>
      <w:spacing w:before="180" w:after="60"/>
      <w:outlineLvl w:val="2"/>
    </w:pPr>
    <w:rPr>
      <w:rFonts w:ascii="Arial" w:hAnsi="Arial" w:cs="Arial"/>
      <w:bCs/>
      <w:color w:val="48607B" w:themeColor="text2"/>
      <w:sz w:val="28"/>
      <w:szCs w:val="26"/>
      <w:lang w:eastAsia="en-US"/>
    </w:rPr>
  </w:style>
  <w:style w:type="paragraph" w:styleId="Heading4">
    <w:name w:val="heading 4"/>
    <w:basedOn w:val="Normal"/>
    <w:next w:val="Normal"/>
    <w:qFormat/>
    <w:rsid w:val="00027071"/>
    <w:pPr>
      <w:keepNext/>
      <w:spacing w:before="240"/>
      <w:outlineLvl w:val="3"/>
    </w:pPr>
    <w:rPr>
      <w:b/>
      <w:bCs/>
      <w:i/>
      <w:color w:val="41414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Paragraphtext"/>
    <w:next w:val="Normal"/>
    <w:link w:val="SubtitleChar"/>
    <w:qFormat/>
    <w:rsid w:val="00045E79"/>
    <w:pPr>
      <w:spacing w:before="240"/>
      <w:ind w:left="624"/>
    </w:pPr>
    <w:rPr>
      <w:color w:val="48607B" w:themeColor="text2"/>
      <w:sz w:val="44"/>
      <w:szCs w:val="44"/>
      <w:lang w:eastAsia="en-AU"/>
    </w:rPr>
  </w:style>
  <w:style w:type="character" w:customStyle="1" w:styleId="SubtitleChar">
    <w:name w:val="Subtitle Char"/>
    <w:basedOn w:val="DefaultParagraphFont"/>
    <w:link w:val="Subtitle"/>
    <w:rsid w:val="00045E79"/>
    <w:rPr>
      <w:rFonts w:ascii="Arial" w:hAnsi="Arial"/>
      <w:color w:val="48607B" w:themeColor="text2"/>
      <w:sz w:val="44"/>
      <w:szCs w:val="44"/>
    </w:rPr>
  </w:style>
  <w:style w:type="paragraph" w:styleId="Title">
    <w:name w:val="Title"/>
    <w:basedOn w:val="Normal"/>
    <w:next w:val="Paragraphtext"/>
    <w:link w:val="TitleChar"/>
    <w:qFormat/>
    <w:rsid w:val="00045E79"/>
    <w:pPr>
      <w:spacing w:before="2760"/>
      <w:ind w:left="624"/>
      <w:contextualSpacing/>
    </w:pPr>
    <w:rPr>
      <w:rFonts w:eastAsiaTheme="majorEastAsia" w:cstheme="majorBidi"/>
      <w:b/>
      <w:noProof/>
      <w:color w:val="48607B" w:themeColor="text2"/>
      <w:kern w:val="28"/>
      <w:sz w:val="54"/>
      <w:szCs w:val="54"/>
      <w:lang w:eastAsia="en-AU"/>
    </w:rPr>
  </w:style>
  <w:style w:type="character" w:customStyle="1" w:styleId="TitleChar">
    <w:name w:val="Title Char"/>
    <w:basedOn w:val="DefaultParagraphFont"/>
    <w:link w:val="Title"/>
    <w:rsid w:val="00045E79"/>
    <w:rPr>
      <w:rFonts w:ascii="Arial" w:eastAsiaTheme="majorEastAsia" w:hAnsi="Arial" w:cstheme="majorBidi"/>
      <w:b/>
      <w:noProof/>
      <w:color w:val="48607B" w:themeColor="text2"/>
      <w:kern w:val="28"/>
      <w:sz w:val="54"/>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18233B"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Paragraphtext"/>
    <w:qFormat/>
    <w:rsid w:val="00395B06"/>
    <w:pPr>
      <w:numPr>
        <w:numId w:val="21"/>
      </w:numPr>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A4DC2"/>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IntroPara">
    <w:name w:val="Intro Para"/>
    <w:basedOn w:val="Paragraphtext"/>
    <w:next w:val="Paragraphtext"/>
    <w:qFormat/>
    <w:rsid w:val="00AC1485"/>
    <w:pPr>
      <w:spacing w:before="480" w:line="400" w:lineRule="exact"/>
    </w:pPr>
    <w:rPr>
      <w:color w:val="902A26" w:themeColor="accent2"/>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Normal"/>
    <w:qFormat/>
    <w:rsid w:val="00441913"/>
    <w:rPr>
      <w:b/>
      <w:bCs/>
      <w:color w:val="902A26"/>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styleId="CommentReference">
    <w:name w:val="annotation reference"/>
    <w:basedOn w:val="DefaultParagraphFont"/>
    <w:semiHidden/>
    <w:unhideWhenUsed/>
    <w:rsid w:val="00100B33"/>
    <w:rPr>
      <w:sz w:val="16"/>
      <w:szCs w:val="16"/>
    </w:rPr>
  </w:style>
  <w:style w:type="paragraph" w:styleId="CommentText">
    <w:name w:val="annotation text"/>
    <w:basedOn w:val="Normal"/>
    <w:link w:val="CommentTextChar"/>
    <w:unhideWhenUsed/>
    <w:rsid w:val="00100B33"/>
    <w:rPr>
      <w:sz w:val="20"/>
      <w:szCs w:val="20"/>
    </w:rPr>
  </w:style>
  <w:style w:type="character" w:customStyle="1" w:styleId="CommentTextChar">
    <w:name w:val="Comment Text Char"/>
    <w:basedOn w:val="DefaultParagraphFont"/>
    <w:link w:val="CommentText"/>
    <w:rsid w:val="00100B33"/>
    <w:rPr>
      <w:rFonts w:ascii="Arial" w:hAnsi="Arial"/>
      <w:lang w:eastAsia="en-US"/>
    </w:rPr>
  </w:style>
  <w:style w:type="character" w:customStyle="1" w:styleId="Heading1Char">
    <w:name w:val="Heading 1 Char"/>
    <w:basedOn w:val="DefaultParagraphFont"/>
    <w:link w:val="Heading1"/>
    <w:rsid w:val="002959AF"/>
    <w:rPr>
      <w:rFonts w:ascii="Arial" w:hAnsi="Arial" w:cs="Arial"/>
      <w:b/>
      <w:bCs/>
      <w:color w:val="18233B"/>
      <w:kern w:val="28"/>
      <w:sz w:val="36"/>
      <w:szCs w:val="36"/>
      <w:lang w:eastAsia="en-US"/>
    </w:rPr>
  </w:style>
  <w:style w:type="character" w:customStyle="1" w:styleId="Heading2Char">
    <w:name w:val="Heading 2 Char"/>
    <w:basedOn w:val="DefaultParagraphFont"/>
    <w:link w:val="Heading2"/>
    <w:rsid w:val="00F10102"/>
    <w:rPr>
      <w:rFonts w:ascii="Arial" w:hAnsi="Arial" w:cs="Arial"/>
      <w:bCs/>
      <w:iCs/>
      <w:color w:val="48607B"/>
      <w:sz w:val="32"/>
      <w:szCs w:val="28"/>
      <w:lang w:eastAsia="en-US"/>
    </w:rPr>
  </w:style>
  <w:style w:type="paragraph" w:styleId="CommentSubject">
    <w:name w:val="annotation subject"/>
    <w:basedOn w:val="CommentText"/>
    <w:next w:val="CommentText"/>
    <w:link w:val="CommentSubjectChar"/>
    <w:semiHidden/>
    <w:unhideWhenUsed/>
    <w:rsid w:val="0070358D"/>
    <w:pPr>
      <w:spacing w:after="60"/>
    </w:pPr>
    <w:rPr>
      <w:b/>
      <w:bCs/>
    </w:rPr>
  </w:style>
  <w:style w:type="character" w:customStyle="1" w:styleId="CommentSubjectChar">
    <w:name w:val="Comment Subject Char"/>
    <w:basedOn w:val="CommentTextChar"/>
    <w:link w:val="CommentSubject"/>
    <w:semiHidden/>
    <w:rsid w:val="0070358D"/>
    <w:rPr>
      <w:rFonts w:ascii="Arial" w:hAnsi="Arial"/>
      <w:b/>
      <w:bCs/>
      <w:lang w:eastAsia="en-US"/>
    </w:rPr>
  </w:style>
  <w:style w:type="paragraph" w:styleId="Revision">
    <w:name w:val="Revision"/>
    <w:hidden/>
    <w:uiPriority w:val="99"/>
    <w:semiHidden/>
    <w:rsid w:val="00C916A8"/>
    <w:rPr>
      <w:rFonts w:ascii="Arial" w:hAnsi="Arial"/>
      <w:sz w:val="21"/>
      <w:szCs w:val="24"/>
      <w:lang w:eastAsia="en-US"/>
    </w:rPr>
  </w:style>
  <w:style w:type="paragraph" w:styleId="List2">
    <w:name w:val="List 2"/>
    <w:basedOn w:val="Paragraphtext"/>
    <w:unhideWhenUsed/>
    <w:rsid w:val="00AE33B2"/>
    <w:pPr>
      <w:numPr>
        <w:numId w:val="31"/>
      </w:numPr>
    </w:pPr>
  </w:style>
  <w:style w:type="paragraph" w:customStyle="1" w:styleId="StyleTitle">
    <w:name w:val="Style Title"/>
    <w:basedOn w:val="Title"/>
    <w:rsid w:val="00C376D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067">
      <w:bodyDiv w:val="1"/>
      <w:marLeft w:val="0"/>
      <w:marRight w:val="0"/>
      <w:marTop w:val="0"/>
      <w:marBottom w:val="0"/>
      <w:divBdr>
        <w:top w:val="none" w:sz="0" w:space="0" w:color="auto"/>
        <w:left w:val="none" w:sz="0" w:space="0" w:color="auto"/>
        <w:bottom w:val="none" w:sz="0" w:space="0" w:color="auto"/>
        <w:right w:val="none" w:sz="0" w:space="0" w:color="auto"/>
      </w:divBdr>
    </w:div>
    <w:div w:id="222109945">
      <w:bodyDiv w:val="1"/>
      <w:marLeft w:val="0"/>
      <w:marRight w:val="0"/>
      <w:marTop w:val="0"/>
      <w:marBottom w:val="0"/>
      <w:divBdr>
        <w:top w:val="none" w:sz="0" w:space="0" w:color="auto"/>
        <w:left w:val="none" w:sz="0" w:space="0" w:color="auto"/>
        <w:bottom w:val="none" w:sz="0" w:space="0" w:color="auto"/>
        <w:right w:val="none" w:sz="0" w:space="0" w:color="auto"/>
      </w:divBdr>
      <w:divsChild>
        <w:div w:id="1766262134">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9883429">
      <w:bodyDiv w:val="1"/>
      <w:marLeft w:val="0"/>
      <w:marRight w:val="0"/>
      <w:marTop w:val="0"/>
      <w:marBottom w:val="0"/>
      <w:divBdr>
        <w:top w:val="none" w:sz="0" w:space="0" w:color="auto"/>
        <w:left w:val="none" w:sz="0" w:space="0" w:color="auto"/>
        <w:bottom w:val="none" w:sz="0" w:space="0" w:color="auto"/>
        <w:right w:val="none" w:sz="0" w:space="0" w:color="auto"/>
      </w:divBdr>
      <w:divsChild>
        <w:div w:id="1269699986">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3289315">
      <w:bodyDiv w:val="1"/>
      <w:marLeft w:val="0"/>
      <w:marRight w:val="0"/>
      <w:marTop w:val="0"/>
      <w:marBottom w:val="0"/>
      <w:divBdr>
        <w:top w:val="none" w:sz="0" w:space="0" w:color="auto"/>
        <w:left w:val="none" w:sz="0" w:space="0" w:color="auto"/>
        <w:bottom w:val="none" w:sz="0" w:space="0" w:color="auto"/>
        <w:right w:val="none" w:sz="0" w:space="0" w:color="auto"/>
      </w:divBdr>
    </w:div>
    <w:div w:id="687488273">
      <w:bodyDiv w:val="1"/>
      <w:marLeft w:val="0"/>
      <w:marRight w:val="0"/>
      <w:marTop w:val="0"/>
      <w:marBottom w:val="0"/>
      <w:divBdr>
        <w:top w:val="none" w:sz="0" w:space="0" w:color="auto"/>
        <w:left w:val="none" w:sz="0" w:space="0" w:color="auto"/>
        <w:bottom w:val="none" w:sz="0" w:space="0" w:color="auto"/>
        <w:right w:val="none" w:sz="0" w:space="0" w:color="auto"/>
      </w:divBdr>
      <w:divsChild>
        <w:div w:id="795754521">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29764830">
      <w:bodyDiv w:val="1"/>
      <w:marLeft w:val="0"/>
      <w:marRight w:val="0"/>
      <w:marTop w:val="0"/>
      <w:marBottom w:val="0"/>
      <w:divBdr>
        <w:top w:val="none" w:sz="0" w:space="0" w:color="auto"/>
        <w:left w:val="none" w:sz="0" w:space="0" w:color="auto"/>
        <w:bottom w:val="none" w:sz="0" w:space="0" w:color="auto"/>
        <w:right w:val="none" w:sz="0" w:space="0" w:color="auto"/>
      </w:divBdr>
      <w:divsChild>
        <w:div w:id="1747218756">
          <w:marLeft w:val="0"/>
          <w:marRight w:val="0"/>
          <w:marTop w:val="0"/>
          <w:marBottom w:val="0"/>
          <w:divBdr>
            <w:top w:val="none" w:sz="0" w:space="0" w:color="auto"/>
            <w:left w:val="none" w:sz="0" w:space="0" w:color="auto"/>
            <w:bottom w:val="none" w:sz="0" w:space="0" w:color="auto"/>
            <w:right w:val="none" w:sz="0" w:space="0" w:color="auto"/>
          </w:divBdr>
        </w:div>
      </w:divsChild>
    </w:div>
    <w:div w:id="1769040727">
      <w:bodyDiv w:val="1"/>
      <w:marLeft w:val="0"/>
      <w:marRight w:val="0"/>
      <w:marTop w:val="0"/>
      <w:marBottom w:val="0"/>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sChild>
    </w:div>
    <w:div w:id="1975674936">
      <w:bodyDiv w:val="1"/>
      <w:marLeft w:val="0"/>
      <w:marRight w:val="0"/>
      <w:marTop w:val="0"/>
      <w:marBottom w:val="0"/>
      <w:divBdr>
        <w:top w:val="none" w:sz="0" w:space="0" w:color="auto"/>
        <w:left w:val="none" w:sz="0" w:space="0" w:color="auto"/>
        <w:bottom w:val="none" w:sz="0" w:space="0" w:color="auto"/>
        <w:right w:val="none" w:sz="0" w:space="0" w:color="auto"/>
      </w:divBdr>
      <w:divsChild>
        <w:div w:id="96280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COK\AppData\Roaming\Micro%20focus\content%20manager\TRIM\TEMP\HPTRIM.16388\D22-484364%20%20MRFF%20Report%20Template%20-%20Light%20blue%20design.DOTX" TargetMode="External"/></Relationships>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D458892-5C95-479A-A95C-4F9943985E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86BD6C8D99C449B68B8F85B648862" ma:contentTypeVersion="" ma:contentTypeDescription="PDMS Document Site Content Type" ma:contentTypeScope="" ma:versionID="661c1d92fe34193e94fc0dfc788dda5b">
  <xsd:schema xmlns:xsd="http://www.w3.org/2001/XMLSchema" xmlns:xs="http://www.w3.org/2001/XMLSchema" xmlns:p="http://schemas.microsoft.com/office/2006/metadata/properties" xmlns:ns2="5D458892-5C95-479A-A95C-4F9943985EF1" targetNamespace="http://schemas.microsoft.com/office/2006/metadata/properties" ma:root="true" ma:fieldsID="d7ec53129b4e54a48af5a9e4a894f84e" ns2:_="">
    <xsd:import namespace="5D458892-5C95-479A-A95C-4F9943985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8892-5C95-479A-A95C-4F9943985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D458892-5C95-479A-A95C-4F9943985EF1"/>
  </ds:schemaRefs>
</ds:datastoreItem>
</file>

<file path=customXml/itemProps3.xml><?xml version="1.0" encoding="utf-8"?>
<ds:datastoreItem xmlns:ds="http://schemas.openxmlformats.org/officeDocument/2006/customXml" ds:itemID="{B4CB854F-D0A6-44BA-9700-E76FC799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8892-5C95-479A-A95C-4F994398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D22-484364  MRFF Report Template - Light blue design.DOTX</Template>
  <TotalTime>41</TotalTime>
  <Pages>11</Pages>
  <Words>2174</Words>
  <Characters>13915</Characters>
  <Application>Microsoft Office Word</Application>
  <DocSecurity>0</DocSecurity>
  <Lines>448</Lines>
  <Paragraphs>383</Paragraphs>
  <ScaleCrop>false</ScaleCrop>
  <HeadingPairs>
    <vt:vector size="2" baseType="variant">
      <vt:variant>
        <vt:lpstr>Title</vt:lpstr>
      </vt:variant>
      <vt:variant>
        <vt:i4>1</vt:i4>
      </vt:variant>
    </vt:vector>
  </HeadingPairs>
  <TitlesOfParts>
    <vt:vector size="1" baseType="lpstr">
      <vt:lpstr>MRFF Traumatic Brain Injury Mission International Review of the Roadmap and Implementation Plan - February 2025</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Traumatic Brain Injury Mission International Review of the Roadmap and Implementation Plan - February 2025</dc:title>
  <dc:subject>Health technologies and digital health</dc:subject>
  <dc:creator>Australian Government Department of Health and Aged Care</dc:creator>
  <cp:keywords>Medical Research Future Fund; MRFF; traumatic brain injury</cp:keywords>
  <cp:lastModifiedBy>MASCHKE, Elvia</cp:lastModifiedBy>
  <cp:revision>3</cp:revision>
  <dcterms:created xsi:type="dcterms:W3CDTF">2025-03-24T23:55:00Z</dcterms:created>
  <dcterms:modified xsi:type="dcterms:W3CDTF">2025-04-04T00:08:00Z</dcterms:modified>
</cp:coreProperties>
</file>