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A26A" w14:textId="738C7CF4" w:rsidR="000F4523" w:rsidRPr="00A3060D" w:rsidRDefault="000F4523" w:rsidP="00A3060D">
      <w:pPr>
        <w:pStyle w:val="Heading1"/>
        <w:spacing w:before="120" w:after="120" w:line="240" w:lineRule="auto"/>
        <w:contextualSpacing/>
        <w:rPr>
          <w:rFonts w:asciiTheme="minorHAnsi" w:hAnsiTheme="minorHAnsi" w:cstheme="minorHAnsi"/>
        </w:rPr>
      </w:pPr>
      <w:r w:rsidRPr="00A3060D">
        <w:rPr>
          <w:rFonts w:asciiTheme="minorHAnsi" w:hAnsiTheme="minorHAnsi" w:cstheme="minorHAnsi"/>
        </w:rPr>
        <w:t xml:space="preserve">Innovative Models of Care (IMOC) Program </w:t>
      </w:r>
      <w:r w:rsidR="007C59C7">
        <w:rPr>
          <w:rFonts w:asciiTheme="minorHAnsi" w:hAnsiTheme="minorHAnsi" w:cstheme="minorHAnsi"/>
        </w:rPr>
        <w:t>–</w:t>
      </w:r>
      <w:r w:rsidRPr="00A3060D">
        <w:rPr>
          <w:rFonts w:asciiTheme="minorHAnsi" w:hAnsiTheme="minorHAnsi" w:cstheme="minorHAnsi"/>
        </w:rPr>
        <w:t>Sustainable Rural Healthcare Hub</w:t>
      </w:r>
    </w:p>
    <w:p w14:paraId="1FE95CA2" w14:textId="77777777" w:rsidR="00A3060D" w:rsidRDefault="000F4523" w:rsidP="00A3060D">
      <w:pPr>
        <w:spacing w:before="120" w:after="120" w:line="240" w:lineRule="auto"/>
        <w:rPr>
          <w:rFonts w:asciiTheme="minorHAnsi" w:eastAsia="Times New Roman" w:hAnsiTheme="minorHAnsi" w:cstheme="minorHAnsi"/>
          <w:color w:val="313131"/>
          <w:kern w:val="0"/>
          <w:sz w:val="28"/>
          <w:szCs w:val="28"/>
          <w:lang w:eastAsia="en-AU"/>
          <w14:ligatures w14:val="none"/>
        </w:rPr>
      </w:pPr>
      <w:r w:rsidRPr="00A3060D">
        <w:rPr>
          <w:rFonts w:asciiTheme="minorHAnsi" w:eastAsia="Times New Roman" w:hAnsiTheme="minorHAnsi" w:cstheme="minorHAnsi"/>
          <w:color w:val="313131"/>
          <w:kern w:val="0"/>
          <w:sz w:val="28"/>
          <w:szCs w:val="28"/>
          <w:lang w:eastAsia="en-AU"/>
          <w14:ligatures w14:val="none"/>
        </w:rPr>
        <w:t>Northern District Community Health will deliver the Sustainable Rural Healthcare Hub: a network of six small health services clustered geographically across the region.</w:t>
      </w:r>
      <w:bookmarkStart w:id="0" w:name="_Hlk169620260"/>
    </w:p>
    <w:p w14:paraId="59E49E34" w14:textId="1302246D" w:rsidR="000F4523" w:rsidRDefault="00E631EC" w:rsidP="00A3060D">
      <w:pPr>
        <w:spacing w:before="120" w:after="120" w:line="240" w:lineRule="auto"/>
        <w:rPr>
          <w:rFonts w:asciiTheme="minorHAnsi" w:hAnsiTheme="minorHAnsi" w:cstheme="minorHAnsi"/>
          <w:sz w:val="22"/>
          <w:szCs w:val="22"/>
        </w:rPr>
      </w:pPr>
      <w:r w:rsidRPr="00A3060D">
        <w:rPr>
          <w:rFonts w:asciiTheme="minorHAnsi" w:hAnsiTheme="minorHAnsi" w:cstheme="minorHAnsi"/>
          <w:b/>
          <w:bCs/>
          <w:sz w:val="22"/>
          <w:szCs w:val="22"/>
        </w:rPr>
        <w:t xml:space="preserve">Round 4: </w:t>
      </w:r>
      <w:bookmarkStart w:id="1" w:name="_Hlk163118284"/>
      <w:r w:rsidRPr="00A3060D">
        <w:rPr>
          <w:rFonts w:asciiTheme="minorHAnsi" w:hAnsiTheme="minorHAnsi" w:cstheme="minorHAnsi"/>
          <w:b/>
          <w:bCs/>
          <w:sz w:val="22"/>
          <w:szCs w:val="22"/>
        </w:rPr>
        <w:t>Northern District Community Health</w:t>
      </w:r>
      <w:r w:rsidRPr="00A3060D">
        <w:rPr>
          <w:rFonts w:asciiTheme="minorHAnsi" w:hAnsiTheme="minorHAnsi" w:cstheme="minorHAnsi"/>
          <w:sz w:val="22"/>
          <w:szCs w:val="22"/>
        </w:rPr>
        <w:t xml:space="preserve"> Sustainable Rural Healthcare Hub</w:t>
      </w:r>
      <w:r w:rsidR="00A3060D">
        <w:rPr>
          <w:rFonts w:asciiTheme="minorHAnsi" w:hAnsiTheme="minorHAnsi" w:cstheme="minorHAnsi"/>
          <w:sz w:val="22"/>
          <w:szCs w:val="22"/>
        </w:rPr>
        <w:br/>
      </w:r>
      <w:r w:rsidR="00655221" w:rsidRPr="00A3060D">
        <w:rPr>
          <w:rFonts w:asciiTheme="minorHAnsi" w:hAnsiTheme="minorHAnsi" w:cstheme="minorHAnsi"/>
          <w:b/>
          <w:bCs/>
          <w:sz w:val="22"/>
          <w:szCs w:val="22"/>
        </w:rPr>
        <w:t xml:space="preserve">Location: </w:t>
      </w:r>
      <w:r w:rsidRPr="00A3060D">
        <w:rPr>
          <w:rFonts w:asciiTheme="minorHAnsi" w:hAnsiTheme="minorHAnsi" w:cstheme="minorHAnsi"/>
          <w:sz w:val="22"/>
          <w:szCs w:val="22"/>
        </w:rPr>
        <w:t>Central/North-west Victoria (MM5)</w:t>
      </w:r>
      <w:r w:rsidR="00A3060D">
        <w:rPr>
          <w:rFonts w:asciiTheme="minorHAnsi" w:hAnsiTheme="minorHAnsi" w:cstheme="minorHAnsi"/>
          <w:sz w:val="22"/>
          <w:szCs w:val="22"/>
        </w:rPr>
        <w:br/>
      </w:r>
      <w:r w:rsidR="000F4523" w:rsidRPr="00A3060D">
        <w:rPr>
          <w:rFonts w:asciiTheme="minorHAnsi" w:hAnsiTheme="minorHAnsi" w:cstheme="minorHAnsi"/>
          <w:b/>
          <w:bCs/>
          <w:sz w:val="22"/>
          <w:szCs w:val="22"/>
        </w:rPr>
        <w:t>Funding</w:t>
      </w:r>
      <w:r w:rsidR="000F4523" w:rsidRPr="00A3060D">
        <w:rPr>
          <w:rFonts w:asciiTheme="minorHAnsi" w:hAnsiTheme="minorHAnsi" w:cstheme="minorHAnsi"/>
          <w:sz w:val="22"/>
          <w:szCs w:val="22"/>
        </w:rPr>
        <w:t>: $1.4 million over 4 years from 2024</w:t>
      </w:r>
    </w:p>
    <w:p w14:paraId="2AADA818" w14:textId="77777777" w:rsidR="00370F50" w:rsidRDefault="00370F50" w:rsidP="00A3060D">
      <w:pPr>
        <w:spacing w:before="120" w:after="120" w:line="240" w:lineRule="auto"/>
        <w:rPr>
          <w:rFonts w:asciiTheme="minorHAnsi" w:hAnsiTheme="minorHAnsi" w:cstheme="minorHAnsi"/>
          <w:sz w:val="22"/>
          <w:szCs w:val="22"/>
        </w:rPr>
      </w:pPr>
    </w:p>
    <w:p w14:paraId="37B1C4C3" w14:textId="62154160" w:rsidR="00370F50" w:rsidRDefault="00370F50" w:rsidP="00A3060D">
      <w:pPr>
        <w:spacing w:before="120" w:after="120" w:line="240" w:lineRule="auto"/>
        <w:rPr>
          <w:rFonts w:asciiTheme="minorHAnsi" w:hAnsiTheme="minorHAnsi" w:cstheme="minorHAnsi"/>
          <w:b/>
          <w:bCs/>
          <w:sz w:val="22"/>
          <w:szCs w:val="22"/>
        </w:rPr>
      </w:pPr>
      <w:r>
        <w:rPr>
          <w:rFonts w:asciiTheme="minorHAnsi" w:hAnsiTheme="minorHAnsi" w:cstheme="minorHAnsi"/>
          <w:b/>
          <w:bCs/>
          <w:sz w:val="22"/>
          <w:szCs w:val="22"/>
        </w:rPr>
        <w:t>Contact Details:</w:t>
      </w:r>
    </w:p>
    <w:p w14:paraId="69B37793" w14:textId="77777777" w:rsidR="00370F50" w:rsidRPr="00370F50" w:rsidRDefault="00370F50" w:rsidP="00370F50">
      <w:pPr>
        <w:spacing w:before="120" w:after="120" w:line="240" w:lineRule="auto"/>
        <w:rPr>
          <w:rFonts w:asciiTheme="minorHAnsi" w:hAnsiTheme="minorHAnsi" w:cstheme="minorHAnsi"/>
          <w:sz w:val="22"/>
          <w:szCs w:val="22"/>
        </w:rPr>
      </w:pPr>
      <w:r w:rsidRPr="00370F50">
        <w:rPr>
          <w:rFonts w:asciiTheme="minorHAnsi" w:hAnsiTheme="minorHAnsi" w:cstheme="minorHAnsi"/>
          <w:sz w:val="22"/>
          <w:szCs w:val="22"/>
        </w:rPr>
        <w:t>Penny Wilkinson</w:t>
      </w:r>
    </w:p>
    <w:p w14:paraId="35F4D85E" w14:textId="24FF247C" w:rsidR="00370F50" w:rsidRDefault="00370F50" w:rsidP="00370F50">
      <w:pPr>
        <w:spacing w:before="120" w:after="120" w:line="240" w:lineRule="auto"/>
        <w:rPr>
          <w:rFonts w:asciiTheme="minorHAnsi" w:hAnsiTheme="minorHAnsi" w:cstheme="minorHAnsi"/>
          <w:sz w:val="22"/>
          <w:szCs w:val="22"/>
        </w:rPr>
      </w:pPr>
      <w:r w:rsidRPr="00370F50">
        <w:rPr>
          <w:rFonts w:asciiTheme="minorHAnsi" w:hAnsiTheme="minorHAnsi" w:cstheme="minorHAnsi"/>
          <w:sz w:val="22"/>
          <w:szCs w:val="22"/>
        </w:rPr>
        <w:t>penny.wilkinson@ndch.org.au</w:t>
      </w:r>
    </w:p>
    <w:p w14:paraId="647EFF86" w14:textId="77777777" w:rsidR="00370F50" w:rsidRPr="00370F50" w:rsidRDefault="00370F50" w:rsidP="00370F50">
      <w:pPr>
        <w:spacing w:before="120" w:after="120" w:line="240" w:lineRule="auto"/>
        <w:rPr>
          <w:rFonts w:asciiTheme="minorHAnsi" w:hAnsiTheme="minorHAnsi" w:cstheme="minorHAnsi"/>
          <w:sz w:val="22"/>
          <w:szCs w:val="22"/>
        </w:rPr>
      </w:pPr>
    </w:p>
    <w:p w14:paraId="7BE809DD" w14:textId="42CEE1E9" w:rsidR="00E631EC" w:rsidRPr="00A3060D" w:rsidRDefault="00E631EC" w:rsidP="00A3060D">
      <w:pPr>
        <w:pStyle w:val="Default"/>
        <w:spacing w:before="120" w:after="120"/>
        <w:contextualSpacing/>
        <w:rPr>
          <w:rFonts w:asciiTheme="minorHAnsi" w:hAnsiTheme="minorHAnsi" w:cstheme="minorHAnsi"/>
          <w:sz w:val="22"/>
          <w:szCs w:val="22"/>
        </w:rPr>
      </w:pPr>
      <w:r w:rsidRPr="00A3060D">
        <w:rPr>
          <w:rFonts w:asciiTheme="minorHAnsi" w:hAnsiTheme="minorHAnsi" w:cstheme="minorHAnsi"/>
          <w:sz w:val="22"/>
          <w:szCs w:val="22"/>
        </w:rPr>
        <w:t xml:space="preserve">The activity will fund a consortium led by the Northern District Community Health (NDCH) to implement a Sustainable Rural Healthcare Hub. This is a network of six small health services across </w:t>
      </w:r>
      <w:proofErr w:type="spellStart"/>
      <w:r w:rsidRPr="00A3060D">
        <w:rPr>
          <w:rFonts w:asciiTheme="minorHAnsi" w:hAnsiTheme="minorHAnsi" w:cstheme="minorHAnsi"/>
          <w:sz w:val="22"/>
          <w:szCs w:val="22"/>
        </w:rPr>
        <w:t>Buloke</w:t>
      </w:r>
      <w:proofErr w:type="spellEnd"/>
      <w:r w:rsidRPr="00A3060D">
        <w:rPr>
          <w:rFonts w:asciiTheme="minorHAnsi" w:hAnsiTheme="minorHAnsi" w:cstheme="minorHAnsi"/>
          <w:sz w:val="22"/>
          <w:szCs w:val="22"/>
        </w:rPr>
        <w:t xml:space="preserve">, Loddon and Gannawarra Shires in Central/North-west Victoria. The consortium members will consist of Murray PHN, Inglewood &amp; Districts Health Service, Boort District Health, East Wimmera Health Service. </w:t>
      </w:r>
    </w:p>
    <w:p w14:paraId="732FC190" w14:textId="322378BD" w:rsidR="00655221" w:rsidRPr="00A3060D" w:rsidRDefault="00E631EC" w:rsidP="00A3060D">
      <w:pPr>
        <w:spacing w:before="120" w:after="120" w:line="240" w:lineRule="auto"/>
        <w:contextualSpacing/>
        <w:rPr>
          <w:rFonts w:asciiTheme="minorHAnsi" w:hAnsiTheme="minorHAnsi" w:cstheme="minorHAnsi"/>
          <w:sz w:val="22"/>
          <w:szCs w:val="22"/>
        </w:rPr>
      </w:pPr>
      <w:r w:rsidRPr="00A3060D">
        <w:rPr>
          <w:rFonts w:asciiTheme="minorHAnsi" w:hAnsiTheme="minorHAnsi" w:cstheme="minorHAnsi"/>
          <w:sz w:val="22"/>
          <w:szCs w:val="22"/>
        </w:rPr>
        <w:t>The multi-site multidisciplinary rural health team will be co-led by a GP and nurse practitioner (NP) at the six Hubs. This will start with one day per fortnight per Hub. Onsite staffing for each Hub includes a GP, NP, Care Coordinator, and a Registered/Enrolled Nurse. Back-up cover is available from other Hubs. The allied health professionals from Kerang and local health services will provide team-based care onsite and through telehealth. Comprehensive primary healthcare services will be delivered into Residential Aged Care Homes (RACH) and Urgent Care Centres (UCC). Telehealth will reduce patient travel, enabling easier access to specialists and multidisciplinary case conferencing specialising in complex chronic disease management. Training pathways will be embedded, and all team members will work to full rural generalist scope.</w:t>
      </w:r>
    </w:p>
    <w:p w14:paraId="463126A5" w14:textId="4D84FBD2" w:rsidR="00E631EC" w:rsidRPr="00A3060D" w:rsidRDefault="00E631EC" w:rsidP="00A3060D">
      <w:pPr>
        <w:pStyle w:val="Default"/>
        <w:spacing w:before="120" w:after="120"/>
        <w:contextualSpacing/>
        <w:rPr>
          <w:rFonts w:asciiTheme="minorHAnsi" w:hAnsiTheme="minorHAnsi" w:cstheme="minorHAnsi"/>
          <w:sz w:val="22"/>
          <w:szCs w:val="22"/>
        </w:rPr>
      </w:pPr>
      <w:r w:rsidRPr="00A3060D">
        <w:rPr>
          <w:rFonts w:asciiTheme="minorHAnsi" w:hAnsiTheme="minorHAnsi" w:cstheme="minorHAnsi"/>
          <w:sz w:val="22"/>
          <w:szCs w:val="22"/>
        </w:rPr>
        <w:t>Healthcare Hub</w:t>
      </w:r>
      <w:r w:rsidR="00655221" w:rsidRPr="00A3060D">
        <w:rPr>
          <w:rFonts w:asciiTheme="minorHAnsi" w:hAnsiTheme="minorHAnsi" w:cstheme="minorHAnsi"/>
          <w:sz w:val="22"/>
          <w:szCs w:val="22"/>
        </w:rPr>
        <w:t xml:space="preserve"> locations</w:t>
      </w:r>
      <w:r w:rsidRPr="00A3060D">
        <w:rPr>
          <w:rFonts w:asciiTheme="minorHAnsi" w:hAnsiTheme="minorHAnsi" w:cstheme="minorHAnsi"/>
          <w:sz w:val="22"/>
          <w:szCs w:val="22"/>
        </w:rPr>
        <w:t xml:space="preserve"> are provided in Table below. </w:t>
      </w:r>
    </w:p>
    <w:tbl>
      <w:tblPr>
        <w:tblStyle w:val="TableGrid"/>
        <w:tblW w:w="0" w:type="auto"/>
        <w:tblLook w:val="04A0" w:firstRow="1" w:lastRow="0" w:firstColumn="1" w:lastColumn="0" w:noHBand="0" w:noVBand="1"/>
      </w:tblPr>
      <w:tblGrid>
        <w:gridCol w:w="685"/>
        <w:gridCol w:w="1437"/>
        <w:gridCol w:w="3906"/>
        <w:gridCol w:w="1480"/>
        <w:gridCol w:w="1508"/>
      </w:tblGrid>
      <w:tr w:rsidR="00E631EC" w:rsidRPr="00A3060D" w14:paraId="08930452" w14:textId="77777777" w:rsidTr="0090064C">
        <w:tc>
          <w:tcPr>
            <w:tcW w:w="685" w:type="dxa"/>
          </w:tcPr>
          <w:p w14:paraId="66A455A4" w14:textId="77777777" w:rsidR="00E631EC" w:rsidRPr="00A3060D" w:rsidRDefault="00E631EC" w:rsidP="00A3060D">
            <w:pPr>
              <w:spacing w:before="120" w:after="120"/>
              <w:contextualSpacing/>
              <w:rPr>
                <w:rFonts w:cstheme="minorHAnsi"/>
                <w:b/>
                <w:bCs/>
              </w:rPr>
            </w:pPr>
            <w:r w:rsidRPr="00A3060D">
              <w:rPr>
                <w:rFonts w:cstheme="minorHAnsi"/>
                <w:b/>
                <w:bCs/>
              </w:rPr>
              <w:t>Hub</w:t>
            </w:r>
          </w:p>
        </w:tc>
        <w:tc>
          <w:tcPr>
            <w:tcW w:w="1437" w:type="dxa"/>
          </w:tcPr>
          <w:p w14:paraId="49765C47" w14:textId="77777777" w:rsidR="00E631EC" w:rsidRPr="00A3060D" w:rsidRDefault="00E631EC" w:rsidP="00A3060D">
            <w:pPr>
              <w:spacing w:before="120" w:after="120"/>
              <w:contextualSpacing/>
              <w:rPr>
                <w:rFonts w:cstheme="minorHAnsi"/>
                <w:b/>
                <w:bCs/>
              </w:rPr>
            </w:pPr>
            <w:r w:rsidRPr="00A3060D">
              <w:rPr>
                <w:rFonts w:cstheme="minorHAnsi"/>
                <w:b/>
                <w:bCs/>
              </w:rPr>
              <w:t>Town</w:t>
            </w:r>
          </w:p>
        </w:tc>
        <w:tc>
          <w:tcPr>
            <w:tcW w:w="3906" w:type="dxa"/>
          </w:tcPr>
          <w:p w14:paraId="5CBEF89E" w14:textId="77777777" w:rsidR="00E631EC" w:rsidRPr="00A3060D" w:rsidRDefault="00E631EC" w:rsidP="00A3060D">
            <w:pPr>
              <w:spacing w:before="120" w:after="120"/>
              <w:contextualSpacing/>
              <w:rPr>
                <w:rFonts w:cstheme="minorHAnsi"/>
                <w:b/>
                <w:bCs/>
              </w:rPr>
            </w:pPr>
            <w:r w:rsidRPr="00A3060D">
              <w:rPr>
                <w:rFonts w:cstheme="minorHAnsi"/>
                <w:b/>
                <w:bCs/>
              </w:rPr>
              <w:t>Site</w:t>
            </w:r>
          </w:p>
        </w:tc>
        <w:tc>
          <w:tcPr>
            <w:tcW w:w="1480" w:type="dxa"/>
          </w:tcPr>
          <w:p w14:paraId="2554A3A9" w14:textId="77777777" w:rsidR="00E631EC" w:rsidRPr="00A3060D" w:rsidRDefault="00E631EC" w:rsidP="00A3060D">
            <w:pPr>
              <w:spacing w:before="120" w:after="120"/>
              <w:contextualSpacing/>
              <w:rPr>
                <w:rFonts w:cstheme="minorHAnsi"/>
                <w:b/>
                <w:bCs/>
              </w:rPr>
            </w:pPr>
            <w:r w:rsidRPr="00A3060D">
              <w:rPr>
                <w:rFonts w:cstheme="minorHAnsi"/>
                <w:b/>
                <w:bCs/>
              </w:rPr>
              <w:t>Population</w:t>
            </w:r>
          </w:p>
        </w:tc>
        <w:tc>
          <w:tcPr>
            <w:tcW w:w="1508" w:type="dxa"/>
          </w:tcPr>
          <w:p w14:paraId="3B175134" w14:textId="77777777" w:rsidR="00E631EC" w:rsidRPr="00A3060D" w:rsidRDefault="00E631EC" w:rsidP="00A3060D">
            <w:pPr>
              <w:spacing w:before="120" w:after="120"/>
              <w:contextualSpacing/>
              <w:rPr>
                <w:rFonts w:cstheme="minorHAnsi"/>
                <w:b/>
                <w:bCs/>
              </w:rPr>
            </w:pPr>
            <w:r w:rsidRPr="00A3060D">
              <w:rPr>
                <w:rFonts w:cstheme="minorHAnsi"/>
                <w:b/>
                <w:bCs/>
              </w:rPr>
              <w:t>Median age</w:t>
            </w:r>
          </w:p>
        </w:tc>
      </w:tr>
      <w:tr w:rsidR="00E631EC" w:rsidRPr="00A3060D" w14:paraId="1985A1A0" w14:textId="77777777" w:rsidTr="0090064C">
        <w:tc>
          <w:tcPr>
            <w:tcW w:w="685" w:type="dxa"/>
          </w:tcPr>
          <w:p w14:paraId="0B197BC2" w14:textId="77777777" w:rsidR="00E631EC" w:rsidRPr="00A3060D" w:rsidRDefault="00E631EC" w:rsidP="00A3060D">
            <w:pPr>
              <w:spacing w:before="120" w:after="120"/>
              <w:contextualSpacing/>
              <w:rPr>
                <w:rFonts w:cstheme="minorHAnsi"/>
              </w:rPr>
            </w:pPr>
            <w:r w:rsidRPr="00A3060D">
              <w:rPr>
                <w:rFonts w:cstheme="minorHAnsi"/>
              </w:rPr>
              <w:t>1</w:t>
            </w:r>
          </w:p>
        </w:tc>
        <w:tc>
          <w:tcPr>
            <w:tcW w:w="1437" w:type="dxa"/>
          </w:tcPr>
          <w:p w14:paraId="6BAD7D44" w14:textId="77777777" w:rsidR="00E631EC" w:rsidRPr="00A3060D" w:rsidRDefault="00E631EC" w:rsidP="00A3060D">
            <w:pPr>
              <w:spacing w:before="120" w:after="120"/>
              <w:contextualSpacing/>
              <w:rPr>
                <w:rFonts w:cstheme="minorHAnsi"/>
              </w:rPr>
            </w:pPr>
            <w:r w:rsidRPr="00A3060D">
              <w:rPr>
                <w:rFonts w:cstheme="minorHAnsi"/>
              </w:rPr>
              <w:t>Kerang</w:t>
            </w:r>
          </w:p>
        </w:tc>
        <w:tc>
          <w:tcPr>
            <w:tcW w:w="3906" w:type="dxa"/>
          </w:tcPr>
          <w:p w14:paraId="79AB97F4" w14:textId="77777777" w:rsidR="00E631EC" w:rsidRPr="00A3060D" w:rsidRDefault="00E631EC" w:rsidP="00A3060D">
            <w:pPr>
              <w:spacing w:before="120" w:after="120"/>
              <w:contextualSpacing/>
              <w:rPr>
                <w:rFonts w:cstheme="minorHAnsi"/>
              </w:rPr>
            </w:pPr>
            <w:r w:rsidRPr="00A3060D">
              <w:rPr>
                <w:rFonts w:cstheme="minorHAnsi"/>
              </w:rPr>
              <w:t>Small 2-5 GP FTE general practice and community health</w:t>
            </w:r>
          </w:p>
        </w:tc>
        <w:tc>
          <w:tcPr>
            <w:tcW w:w="1480" w:type="dxa"/>
          </w:tcPr>
          <w:p w14:paraId="46F16E64" w14:textId="77777777" w:rsidR="00E631EC" w:rsidRPr="00A3060D" w:rsidRDefault="00E631EC" w:rsidP="00A3060D">
            <w:pPr>
              <w:spacing w:before="120" w:after="120"/>
              <w:contextualSpacing/>
              <w:rPr>
                <w:rFonts w:cstheme="minorHAnsi"/>
              </w:rPr>
            </w:pPr>
            <w:r w:rsidRPr="00A3060D">
              <w:rPr>
                <w:rFonts w:cstheme="minorHAnsi"/>
              </w:rPr>
              <w:t>3,960</w:t>
            </w:r>
          </w:p>
        </w:tc>
        <w:tc>
          <w:tcPr>
            <w:tcW w:w="1508" w:type="dxa"/>
          </w:tcPr>
          <w:p w14:paraId="3724CAD2" w14:textId="77777777" w:rsidR="00E631EC" w:rsidRPr="00A3060D" w:rsidRDefault="00E631EC" w:rsidP="00A3060D">
            <w:pPr>
              <w:spacing w:before="120" w:after="120"/>
              <w:contextualSpacing/>
              <w:rPr>
                <w:rFonts w:cstheme="minorHAnsi"/>
              </w:rPr>
            </w:pPr>
            <w:r w:rsidRPr="00A3060D">
              <w:rPr>
                <w:rFonts w:cstheme="minorHAnsi"/>
              </w:rPr>
              <w:t>51</w:t>
            </w:r>
          </w:p>
        </w:tc>
      </w:tr>
      <w:tr w:rsidR="00E631EC" w:rsidRPr="00A3060D" w14:paraId="6C5C0951" w14:textId="77777777" w:rsidTr="0090064C">
        <w:tc>
          <w:tcPr>
            <w:tcW w:w="685" w:type="dxa"/>
          </w:tcPr>
          <w:p w14:paraId="3696279B" w14:textId="77777777" w:rsidR="00E631EC" w:rsidRPr="00A3060D" w:rsidRDefault="00E631EC" w:rsidP="00A3060D">
            <w:pPr>
              <w:spacing w:before="120" w:after="120"/>
              <w:contextualSpacing/>
              <w:rPr>
                <w:rFonts w:cstheme="minorHAnsi"/>
              </w:rPr>
            </w:pPr>
            <w:r w:rsidRPr="00A3060D">
              <w:rPr>
                <w:rFonts w:cstheme="minorHAnsi"/>
              </w:rPr>
              <w:t>2</w:t>
            </w:r>
          </w:p>
        </w:tc>
        <w:tc>
          <w:tcPr>
            <w:tcW w:w="1437" w:type="dxa"/>
          </w:tcPr>
          <w:p w14:paraId="397A2CCA" w14:textId="77777777" w:rsidR="00E631EC" w:rsidRPr="00A3060D" w:rsidRDefault="00E631EC" w:rsidP="00A3060D">
            <w:pPr>
              <w:spacing w:before="120" w:after="120"/>
              <w:contextualSpacing/>
              <w:rPr>
                <w:rFonts w:cstheme="minorHAnsi"/>
              </w:rPr>
            </w:pPr>
            <w:r w:rsidRPr="00A3060D">
              <w:rPr>
                <w:rFonts w:cstheme="minorHAnsi"/>
              </w:rPr>
              <w:t>Quambatook</w:t>
            </w:r>
          </w:p>
        </w:tc>
        <w:tc>
          <w:tcPr>
            <w:tcW w:w="3906" w:type="dxa"/>
          </w:tcPr>
          <w:p w14:paraId="1F15262A" w14:textId="77777777" w:rsidR="00E631EC" w:rsidRPr="00A3060D" w:rsidRDefault="00E631EC" w:rsidP="00A3060D">
            <w:pPr>
              <w:spacing w:before="120" w:after="120"/>
              <w:contextualSpacing/>
              <w:rPr>
                <w:rFonts w:cstheme="minorHAnsi"/>
              </w:rPr>
            </w:pPr>
            <w:r w:rsidRPr="00A3060D">
              <w:rPr>
                <w:rFonts w:cstheme="minorHAnsi"/>
              </w:rPr>
              <w:t>Community health site</w:t>
            </w:r>
          </w:p>
        </w:tc>
        <w:tc>
          <w:tcPr>
            <w:tcW w:w="1480" w:type="dxa"/>
          </w:tcPr>
          <w:p w14:paraId="0965D880" w14:textId="77777777" w:rsidR="00E631EC" w:rsidRPr="00A3060D" w:rsidRDefault="00E631EC" w:rsidP="00A3060D">
            <w:pPr>
              <w:spacing w:before="120" w:after="120"/>
              <w:contextualSpacing/>
              <w:rPr>
                <w:rFonts w:cstheme="minorHAnsi"/>
              </w:rPr>
            </w:pPr>
            <w:r w:rsidRPr="00A3060D">
              <w:rPr>
                <w:rFonts w:cstheme="minorHAnsi"/>
              </w:rPr>
              <w:t>229</w:t>
            </w:r>
          </w:p>
        </w:tc>
        <w:tc>
          <w:tcPr>
            <w:tcW w:w="1508" w:type="dxa"/>
          </w:tcPr>
          <w:p w14:paraId="232F65AB" w14:textId="77777777" w:rsidR="00E631EC" w:rsidRPr="00A3060D" w:rsidRDefault="00E631EC" w:rsidP="00A3060D">
            <w:pPr>
              <w:spacing w:before="120" w:after="120"/>
              <w:contextualSpacing/>
              <w:rPr>
                <w:rFonts w:cstheme="minorHAnsi"/>
              </w:rPr>
            </w:pPr>
            <w:r w:rsidRPr="00A3060D">
              <w:rPr>
                <w:rFonts w:cstheme="minorHAnsi"/>
              </w:rPr>
              <w:t>59</w:t>
            </w:r>
          </w:p>
        </w:tc>
      </w:tr>
      <w:tr w:rsidR="00E631EC" w:rsidRPr="00A3060D" w14:paraId="24C4EC4A" w14:textId="77777777" w:rsidTr="0090064C">
        <w:tc>
          <w:tcPr>
            <w:tcW w:w="685" w:type="dxa"/>
          </w:tcPr>
          <w:p w14:paraId="21DE4B1C" w14:textId="77777777" w:rsidR="00E631EC" w:rsidRPr="00A3060D" w:rsidRDefault="00E631EC" w:rsidP="00A3060D">
            <w:pPr>
              <w:spacing w:before="120" w:after="120"/>
              <w:contextualSpacing/>
              <w:rPr>
                <w:rFonts w:cstheme="minorHAnsi"/>
              </w:rPr>
            </w:pPr>
            <w:r w:rsidRPr="00A3060D">
              <w:rPr>
                <w:rFonts w:cstheme="minorHAnsi"/>
              </w:rPr>
              <w:t>3</w:t>
            </w:r>
          </w:p>
        </w:tc>
        <w:tc>
          <w:tcPr>
            <w:tcW w:w="1437" w:type="dxa"/>
          </w:tcPr>
          <w:p w14:paraId="67F42D30" w14:textId="77777777" w:rsidR="00E631EC" w:rsidRPr="00A3060D" w:rsidRDefault="00E631EC" w:rsidP="00A3060D">
            <w:pPr>
              <w:spacing w:before="120" w:after="120"/>
              <w:contextualSpacing/>
              <w:rPr>
                <w:rFonts w:cstheme="minorHAnsi"/>
              </w:rPr>
            </w:pPr>
            <w:r w:rsidRPr="00A3060D">
              <w:rPr>
                <w:rFonts w:cstheme="minorHAnsi"/>
              </w:rPr>
              <w:t>Pyramid Hill</w:t>
            </w:r>
          </w:p>
        </w:tc>
        <w:tc>
          <w:tcPr>
            <w:tcW w:w="3906" w:type="dxa"/>
          </w:tcPr>
          <w:p w14:paraId="1D76773C" w14:textId="77777777" w:rsidR="00E631EC" w:rsidRPr="00A3060D" w:rsidRDefault="00E631EC" w:rsidP="00A3060D">
            <w:pPr>
              <w:spacing w:before="120" w:after="120"/>
              <w:contextualSpacing/>
              <w:rPr>
                <w:rFonts w:cstheme="minorHAnsi"/>
              </w:rPr>
            </w:pPr>
            <w:r w:rsidRPr="00A3060D">
              <w:rPr>
                <w:rFonts w:cstheme="minorHAnsi"/>
              </w:rPr>
              <w:t>Community health site</w:t>
            </w:r>
          </w:p>
        </w:tc>
        <w:tc>
          <w:tcPr>
            <w:tcW w:w="1480" w:type="dxa"/>
          </w:tcPr>
          <w:p w14:paraId="64C908BE" w14:textId="77777777" w:rsidR="00E631EC" w:rsidRPr="00A3060D" w:rsidRDefault="00E631EC" w:rsidP="00A3060D">
            <w:pPr>
              <w:spacing w:before="120" w:after="120"/>
              <w:contextualSpacing/>
              <w:rPr>
                <w:rFonts w:cstheme="minorHAnsi"/>
              </w:rPr>
            </w:pPr>
            <w:r w:rsidRPr="00A3060D">
              <w:rPr>
                <w:rFonts w:cstheme="minorHAnsi"/>
              </w:rPr>
              <w:t>598</w:t>
            </w:r>
          </w:p>
        </w:tc>
        <w:tc>
          <w:tcPr>
            <w:tcW w:w="1508" w:type="dxa"/>
          </w:tcPr>
          <w:p w14:paraId="0F6159F6" w14:textId="77777777" w:rsidR="00E631EC" w:rsidRPr="00A3060D" w:rsidRDefault="00E631EC" w:rsidP="00A3060D">
            <w:pPr>
              <w:spacing w:before="120" w:after="120"/>
              <w:contextualSpacing/>
              <w:rPr>
                <w:rFonts w:cstheme="minorHAnsi"/>
              </w:rPr>
            </w:pPr>
            <w:r w:rsidRPr="00A3060D">
              <w:rPr>
                <w:rFonts w:cstheme="minorHAnsi"/>
              </w:rPr>
              <w:t>46</w:t>
            </w:r>
          </w:p>
        </w:tc>
      </w:tr>
      <w:tr w:rsidR="00E631EC" w:rsidRPr="00A3060D" w14:paraId="1FFD87A0" w14:textId="77777777" w:rsidTr="0090064C">
        <w:tc>
          <w:tcPr>
            <w:tcW w:w="685" w:type="dxa"/>
          </w:tcPr>
          <w:p w14:paraId="31A99605" w14:textId="77777777" w:rsidR="00E631EC" w:rsidRPr="00A3060D" w:rsidRDefault="00E631EC" w:rsidP="00A3060D">
            <w:pPr>
              <w:spacing w:before="120" w:after="120"/>
              <w:contextualSpacing/>
              <w:rPr>
                <w:rFonts w:cstheme="minorHAnsi"/>
              </w:rPr>
            </w:pPr>
            <w:r w:rsidRPr="00A3060D">
              <w:rPr>
                <w:rFonts w:cstheme="minorHAnsi"/>
              </w:rPr>
              <w:t>4</w:t>
            </w:r>
          </w:p>
        </w:tc>
        <w:tc>
          <w:tcPr>
            <w:tcW w:w="1437" w:type="dxa"/>
          </w:tcPr>
          <w:p w14:paraId="51ED0E10" w14:textId="77777777" w:rsidR="00E631EC" w:rsidRPr="00A3060D" w:rsidRDefault="00E631EC" w:rsidP="00A3060D">
            <w:pPr>
              <w:spacing w:before="120" w:after="120"/>
              <w:contextualSpacing/>
              <w:rPr>
                <w:rFonts w:cstheme="minorHAnsi"/>
              </w:rPr>
            </w:pPr>
            <w:r w:rsidRPr="00A3060D">
              <w:rPr>
                <w:rFonts w:cstheme="minorHAnsi"/>
              </w:rPr>
              <w:t>Charlton</w:t>
            </w:r>
          </w:p>
        </w:tc>
        <w:tc>
          <w:tcPr>
            <w:tcW w:w="3906" w:type="dxa"/>
          </w:tcPr>
          <w:p w14:paraId="0E416A43" w14:textId="77777777" w:rsidR="00E631EC" w:rsidRPr="00A3060D" w:rsidRDefault="00E631EC" w:rsidP="00A3060D">
            <w:pPr>
              <w:spacing w:before="120" w:after="120"/>
              <w:contextualSpacing/>
              <w:rPr>
                <w:rFonts w:cstheme="minorHAnsi"/>
              </w:rPr>
            </w:pPr>
            <w:r w:rsidRPr="00A3060D">
              <w:rPr>
                <w:rFonts w:cstheme="minorHAnsi"/>
              </w:rPr>
              <w:t>Solo GP general practice, rural public hospital RACH and UCC</w:t>
            </w:r>
          </w:p>
        </w:tc>
        <w:tc>
          <w:tcPr>
            <w:tcW w:w="1480" w:type="dxa"/>
          </w:tcPr>
          <w:p w14:paraId="7E9635C6" w14:textId="77777777" w:rsidR="00E631EC" w:rsidRPr="00A3060D" w:rsidRDefault="00E631EC" w:rsidP="00A3060D">
            <w:pPr>
              <w:spacing w:before="120" w:after="120"/>
              <w:contextualSpacing/>
              <w:rPr>
                <w:rFonts w:cstheme="minorHAnsi"/>
              </w:rPr>
            </w:pPr>
            <w:r w:rsidRPr="00A3060D">
              <w:rPr>
                <w:rFonts w:cstheme="minorHAnsi"/>
              </w:rPr>
              <w:t>1,095</w:t>
            </w:r>
          </w:p>
        </w:tc>
        <w:tc>
          <w:tcPr>
            <w:tcW w:w="1508" w:type="dxa"/>
          </w:tcPr>
          <w:p w14:paraId="6399D7ED" w14:textId="77777777" w:rsidR="00E631EC" w:rsidRPr="00A3060D" w:rsidRDefault="00E631EC" w:rsidP="00A3060D">
            <w:pPr>
              <w:spacing w:before="120" w:after="120"/>
              <w:contextualSpacing/>
              <w:rPr>
                <w:rFonts w:cstheme="minorHAnsi"/>
              </w:rPr>
            </w:pPr>
            <w:r w:rsidRPr="00A3060D">
              <w:rPr>
                <w:rFonts w:cstheme="minorHAnsi"/>
              </w:rPr>
              <w:t>56</w:t>
            </w:r>
          </w:p>
        </w:tc>
      </w:tr>
      <w:tr w:rsidR="00E631EC" w:rsidRPr="00A3060D" w14:paraId="0E6CD5D5" w14:textId="77777777" w:rsidTr="0090064C">
        <w:tc>
          <w:tcPr>
            <w:tcW w:w="685" w:type="dxa"/>
          </w:tcPr>
          <w:p w14:paraId="5C48C783" w14:textId="77777777" w:rsidR="00E631EC" w:rsidRPr="00A3060D" w:rsidRDefault="00E631EC" w:rsidP="00A3060D">
            <w:pPr>
              <w:spacing w:before="120" w:after="120"/>
              <w:contextualSpacing/>
              <w:rPr>
                <w:rFonts w:cstheme="minorHAnsi"/>
              </w:rPr>
            </w:pPr>
            <w:r w:rsidRPr="00A3060D">
              <w:rPr>
                <w:rFonts w:cstheme="minorHAnsi"/>
              </w:rPr>
              <w:t>5</w:t>
            </w:r>
          </w:p>
        </w:tc>
        <w:tc>
          <w:tcPr>
            <w:tcW w:w="1437" w:type="dxa"/>
          </w:tcPr>
          <w:p w14:paraId="6F1AC3E1" w14:textId="77777777" w:rsidR="00E631EC" w:rsidRPr="00A3060D" w:rsidRDefault="00E631EC" w:rsidP="00A3060D">
            <w:pPr>
              <w:spacing w:before="120" w:after="120"/>
              <w:contextualSpacing/>
              <w:rPr>
                <w:rFonts w:cstheme="minorHAnsi"/>
              </w:rPr>
            </w:pPr>
            <w:r w:rsidRPr="00A3060D">
              <w:rPr>
                <w:rFonts w:cstheme="minorHAnsi"/>
              </w:rPr>
              <w:t>Boort</w:t>
            </w:r>
          </w:p>
        </w:tc>
        <w:tc>
          <w:tcPr>
            <w:tcW w:w="3906" w:type="dxa"/>
          </w:tcPr>
          <w:p w14:paraId="70D98007" w14:textId="77777777" w:rsidR="00E631EC" w:rsidRPr="00A3060D" w:rsidRDefault="00E631EC" w:rsidP="00A3060D">
            <w:pPr>
              <w:spacing w:before="120" w:after="120"/>
              <w:contextualSpacing/>
              <w:rPr>
                <w:rFonts w:cstheme="minorHAnsi"/>
              </w:rPr>
            </w:pPr>
            <w:r w:rsidRPr="00A3060D">
              <w:rPr>
                <w:rFonts w:cstheme="minorHAnsi"/>
              </w:rPr>
              <w:t>Solo GP general practice, rural public hospital RACH and UCC</w:t>
            </w:r>
          </w:p>
        </w:tc>
        <w:tc>
          <w:tcPr>
            <w:tcW w:w="1480" w:type="dxa"/>
          </w:tcPr>
          <w:p w14:paraId="63117EF5" w14:textId="77777777" w:rsidR="00E631EC" w:rsidRPr="00A3060D" w:rsidRDefault="00E631EC" w:rsidP="00A3060D">
            <w:pPr>
              <w:spacing w:before="120" w:after="120"/>
              <w:contextualSpacing/>
              <w:rPr>
                <w:rFonts w:cstheme="minorHAnsi"/>
              </w:rPr>
            </w:pPr>
            <w:r w:rsidRPr="00A3060D">
              <w:rPr>
                <w:rFonts w:cstheme="minorHAnsi"/>
              </w:rPr>
              <w:t>940</w:t>
            </w:r>
          </w:p>
        </w:tc>
        <w:tc>
          <w:tcPr>
            <w:tcW w:w="1508" w:type="dxa"/>
          </w:tcPr>
          <w:p w14:paraId="314064EE" w14:textId="77777777" w:rsidR="00E631EC" w:rsidRPr="00A3060D" w:rsidRDefault="00E631EC" w:rsidP="00A3060D">
            <w:pPr>
              <w:spacing w:before="120" w:after="120"/>
              <w:contextualSpacing/>
              <w:rPr>
                <w:rFonts w:cstheme="minorHAnsi"/>
              </w:rPr>
            </w:pPr>
            <w:r w:rsidRPr="00A3060D">
              <w:rPr>
                <w:rFonts w:cstheme="minorHAnsi"/>
              </w:rPr>
              <w:t>57</w:t>
            </w:r>
          </w:p>
        </w:tc>
      </w:tr>
      <w:tr w:rsidR="00E631EC" w:rsidRPr="00A3060D" w14:paraId="311D7C9F" w14:textId="77777777" w:rsidTr="0090064C">
        <w:tc>
          <w:tcPr>
            <w:tcW w:w="685" w:type="dxa"/>
          </w:tcPr>
          <w:p w14:paraId="0053F7EB" w14:textId="77777777" w:rsidR="00E631EC" w:rsidRPr="00A3060D" w:rsidRDefault="00E631EC" w:rsidP="00A3060D">
            <w:pPr>
              <w:spacing w:before="120" w:after="120"/>
              <w:contextualSpacing/>
              <w:rPr>
                <w:rFonts w:cstheme="minorHAnsi"/>
              </w:rPr>
            </w:pPr>
            <w:r w:rsidRPr="00A3060D">
              <w:rPr>
                <w:rFonts w:cstheme="minorHAnsi"/>
              </w:rPr>
              <w:t>6</w:t>
            </w:r>
          </w:p>
        </w:tc>
        <w:tc>
          <w:tcPr>
            <w:tcW w:w="1437" w:type="dxa"/>
          </w:tcPr>
          <w:p w14:paraId="305A93F1" w14:textId="77777777" w:rsidR="00E631EC" w:rsidRPr="00A3060D" w:rsidRDefault="00E631EC" w:rsidP="00A3060D">
            <w:pPr>
              <w:spacing w:before="120" w:after="120"/>
              <w:contextualSpacing/>
              <w:rPr>
                <w:rFonts w:cstheme="minorHAnsi"/>
              </w:rPr>
            </w:pPr>
            <w:r w:rsidRPr="00A3060D">
              <w:rPr>
                <w:rFonts w:cstheme="minorHAnsi"/>
              </w:rPr>
              <w:t>Inglewood</w:t>
            </w:r>
          </w:p>
          <w:p w14:paraId="1DEA466B" w14:textId="77777777" w:rsidR="00E631EC" w:rsidRPr="00A3060D" w:rsidRDefault="00E631EC" w:rsidP="00A3060D">
            <w:pPr>
              <w:spacing w:before="120" w:after="120"/>
              <w:contextualSpacing/>
              <w:rPr>
                <w:rFonts w:cstheme="minorHAnsi"/>
              </w:rPr>
            </w:pPr>
            <w:r w:rsidRPr="00A3060D">
              <w:rPr>
                <w:rFonts w:cstheme="minorHAnsi"/>
              </w:rPr>
              <w:t>Wedderburn</w:t>
            </w:r>
          </w:p>
        </w:tc>
        <w:tc>
          <w:tcPr>
            <w:tcW w:w="3906" w:type="dxa"/>
          </w:tcPr>
          <w:p w14:paraId="3F9C2BC5" w14:textId="77777777" w:rsidR="00E631EC" w:rsidRPr="00A3060D" w:rsidRDefault="00E631EC" w:rsidP="00A3060D">
            <w:pPr>
              <w:spacing w:before="120" w:after="120"/>
              <w:contextualSpacing/>
              <w:rPr>
                <w:rFonts w:cstheme="minorHAnsi"/>
              </w:rPr>
            </w:pPr>
            <w:r w:rsidRPr="00A3060D">
              <w:rPr>
                <w:rFonts w:cstheme="minorHAnsi"/>
              </w:rPr>
              <w:t>Solo GP general practice, rural public hospital RACH and UCC</w:t>
            </w:r>
          </w:p>
        </w:tc>
        <w:tc>
          <w:tcPr>
            <w:tcW w:w="1480" w:type="dxa"/>
          </w:tcPr>
          <w:p w14:paraId="6548078B" w14:textId="77777777" w:rsidR="00E631EC" w:rsidRPr="00A3060D" w:rsidRDefault="00E631EC" w:rsidP="00A3060D">
            <w:pPr>
              <w:spacing w:before="120" w:after="120"/>
              <w:contextualSpacing/>
              <w:rPr>
                <w:rFonts w:cstheme="minorHAnsi"/>
              </w:rPr>
            </w:pPr>
            <w:r w:rsidRPr="00A3060D">
              <w:rPr>
                <w:rFonts w:cstheme="minorHAnsi"/>
              </w:rPr>
              <w:t>886</w:t>
            </w:r>
          </w:p>
          <w:p w14:paraId="17565DAE" w14:textId="77777777" w:rsidR="00E631EC" w:rsidRPr="00A3060D" w:rsidRDefault="00E631EC" w:rsidP="00A3060D">
            <w:pPr>
              <w:spacing w:before="120" w:after="120"/>
              <w:contextualSpacing/>
              <w:rPr>
                <w:rFonts w:cstheme="minorHAnsi"/>
              </w:rPr>
            </w:pPr>
            <w:r w:rsidRPr="00A3060D">
              <w:rPr>
                <w:rFonts w:cstheme="minorHAnsi"/>
              </w:rPr>
              <w:t>951</w:t>
            </w:r>
          </w:p>
        </w:tc>
        <w:tc>
          <w:tcPr>
            <w:tcW w:w="1508" w:type="dxa"/>
          </w:tcPr>
          <w:p w14:paraId="67548B30" w14:textId="77777777" w:rsidR="00E631EC" w:rsidRPr="00A3060D" w:rsidRDefault="00E631EC" w:rsidP="00A3060D">
            <w:pPr>
              <w:spacing w:before="120" w:after="120"/>
              <w:contextualSpacing/>
              <w:rPr>
                <w:rFonts w:cstheme="minorHAnsi"/>
              </w:rPr>
            </w:pPr>
            <w:r w:rsidRPr="00A3060D">
              <w:rPr>
                <w:rFonts w:cstheme="minorHAnsi"/>
              </w:rPr>
              <w:t>55</w:t>
            </w:r>
          </w:p>
          <w:p w14:paraId="316CAC5F" w14:textId="77777777" w:rsidR="00E631EC" w:rsidRPr="00A3060D" w:rsidRDefault="00E631EC" w:rsidP="00A3060D">
            <w:pPr>
              <w:spacing w:before="120" w:after="120"/>
              <w:contextualSpacing/>
              <w:rPr>
                <w:rFonts w:cstheme="minorHAnsi"/>
              </w:rPr>
            </w:pPr>
            <w:r w:rsidRPr="00A3060D">
              <w:rPr>
                <w:rFonts w:cstheme="minorHAnsi"/>
              </w:rPr>
              <w:t>58</w:t>
            </w:r>
          </w:p>
        </w:tc>
      </w:tr>
    </w:tbl>
    <w:p w14:paraId="5342BDDF" w14:textId="77777777" w:rsidR="00E631EC" w:rsidRPr="00A3060D" w:rsidRDefault="00E631EC" w:rsidP="00A3060D">
      <w:pPr>
        <w:spacing w:before="120" w:after="120" w:line="240" w:lineRule="auto"/>
        <w:contextualSpacing/>
        <w:rPr>
          <w:rFonts w:asciiTheme="minorHAnsi" w:hAnsiTheme="minorHAnsi" w:cstheme="minorHAnsi"/>
          <w:sz w:val="22"/>
          <w:szCs w:val="22"/>
        </w:rPr>
      </w:pPr>
    </w:p>
    <w:p w14:paraId="427AF33F" w14:textId="77777777" w:rsidR="00E631EC" w:rsidRPr="00A3060D" w:rsidRDefault="00E631EC" w:rsidP="00A3060D">
      <w:pPr>
        <w:spacing w:before="120" w:after="120" w:line="240" w:lineRule="auto"/>
        <w:contextualSpacing/>
        <w:rPr>
          <w:rFonts w:asciiTheme="minorHAnsi" w:hAnsiTheme="minorHAnsi" w:cstheme="minorHAnsi"/>
          <w:sz w:val="22"/>
          <w:szCs w:val="22"/>
        </w:rPr>
      </w:pPr>
      <w:r w:rsidRPr="00A3060D">
        <w:rPr>
          <w:rFonts w:asciiTheme="minorHAnsi" w:hAnsiTheme="minorHAnsi" w:cstheme="minorHAnsi"/>
          <w:sz w:val="22"/>
          <w:szCs w:val="22"/>
        </w:rPr>
        <w:t>The outcomes and benefits of this model are:</w:t>
      </w:r>
    </w:p>
    <w:p w14:paraId="01D28C8F" w14:textId="77777777" w:rsidR="00E631EC" w:rsidRPr="00A3060D" w:rsidRDefault="00E631EC" w:rsidP="00A3060D">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A3060D">
        <w:rPr>
          <w:rFonts w:cstheme="minorHAnsi"/>
          <w14:ligatures w14:val="standardContextual"/>
        </w:rPr>
        <w:lastRenderedPageBreak/>
        <w:t xml:space="preserve">Six networked Healthcare Hubs providing multidisciplinary team-based primary care clinics in underserved, ageing rural communities with high rates of chronic disease and critical workforce </w:t>
      </w:r>
      <w:proofErr w:type="gramStart"/>
      <w:r w:rsidRPr="00A3060D">
        <w:rPr>
          <w:rFonts w:cstheme="minorHAnsi"/>
          <w14:ligatures w14:val="standardContextual"/>
        </w:rPr>
        <w:t>shortages;</w:t>
      </w:r>
      <w:proofErr w:type="gramEnd"/>
    </w:p>
    <w:p w14:paraId="0567072B" w14:textId="77777777" w:rsidR="00E631EC" w:rsidRPr="00A3060D" w:rsidRDefault="00E631EC" w:rsidP="00A3060D">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A3060D">
        <w:rPr>
          <w:rFonts w:cstheme="minorHAnsi"/>
          <w14:ligatures w14:val="standardContextual"/>
        </w:rPr>
        <w:t xml:space="preserve">A sustainable primary healthcare employment model for multidisciplinary workforce at full rural generalist </w:t>
      </w:r>
      <w:proofErr w:type="gramStart"/>
      <w:r w:rsidRPr="00A3060D">
        <w:rPr>
          <w:rFonts w:cstheme="minorHAnsi"/>
          <w14:ligatures w14:val="standardContextual"/>
        </w:rPr>
        <w:t>scope;</w:t>
      </w:r>
      <w:proofErr w:type="gramEnd"/>
    </w:p>
    <w:p w14:paraId="5C8ABF75" w14:textId="77777777" w:rsidR="00E631EC" w:rsidRPr="00A3060D" w:rsidRDefault="00E631EC" w:rsidP="00A3060D">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A3060D">
        <w:rPr>
          <w:rFonts w:cstheme="minorHAnsi"/>
          <w14:ligatures w14:val="standardContextual"/>
        </w:rPr>
        <w:t xml:space="preserve">A succession plan for rural and aging solo GPs to maintain primary care service access in small rural </w:t>
      </w:r>
      <w:proofErr w:type="gramStart"/>
      <w:r w:rsidRPr="00A3060D">
        <w:rPr>
          <w:rFonts w:cstheme="minorHAnsi"/>
          <w14:ligatures w14:val="standardContextual"/>
        </w:rPr>
        <w:t>towns;</w:t>
      </w:r>
      <w:proofErr w:type="gramEnd"/>
    </w:p>
    <w:p w14:paraId="51DFDD3C" w14:textId="77777777" w:rsidR="00E631EC" w:rsidRPr="00A3060D" w:rsidRDefault="00E631EC" w:rsidP="00A3060D">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A3060D">
        <w:rPr>
          <w:rFonts w:cstheme="minorHAnsi"/>
          <w14:ligatures w14:val="standardContextual"/>
        </w:rPr>
        <w:t xml:space="preserve">Improved access to allied health providers for comprehensive primary healthcare and best practice in chronic disease management and palliative </w:t>
      </w:r>
      <w:proofErr w:type="gramStart"/>
      <w:r w:rsidRPr="00A3060D">
        <w:rPr>
          <w:rFonts w:cstheme="minorHAnsi"/>
          <w14:ligatures w14:val="standardContextual"/>
        </w:rPr>
        <w:t>care;</w:t>
      </w:r>
      <w:proofErr w:type="gramEnd"/>
    </w:p>
    <w:p w14:paraId="14372D60" w14:textId="77777777" w:rsidR="00E631EC" w:rsidRPr="00A3060D" w:rsidRDefault="00E631EC" w:rsidP="00A3060D">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A3060D">
        <w:rPr>
          <w:rFonts w:cstheme="minorHAnsi"/>
          <w14:ligatures w14:val="standardContextual"/>
        </w:rPr>
        <w:t>Cost savings of integrated planning with shared funding; and</w:t>
      </w:r>
    </w:p>
    <w:p w14:paraId="2B94D545" w14:textId="6BACA578" w:rsidR="00E631EC" w:rsidRPr="00A3060D" w:rsidRDefault="00E631EC" w:rsidP="00A3060D">
      <w:pPr>
        <w:pStyle w:val="ListParagraph"/>
        <w:numPr>
          <w:ilvl w:val="0"/>
          <w:numId w:val="1"/>
        </w:numPr>
        <w:autoSpaceDE w:val="0"/>
        <w:autoSpaceDN w:val="0"/>
        <w:adjustRightInd w:val="0"/>
        <w:spacing w:before="120" w:after="120" w:line="240" w:lineRule="auto"/>
        <w:ind w:left="714" w:hanging="357"/>
        <w:contextualSpacing w:val="0"/>
        <w:rPr>
          <w:rFonts w:cstheme="minorHAnsi"/>
          <w14:ligatures w14:val="standardContextual"/>
        </w:rPr>
      </w:pPr>
      <w:r w:rsidRPr="00A3060D">
        <w:rPr>
          <w:rFonts w:cstheme="minorHAnsi"/>
          <w14:ligatures w14:val="standardContextual"/>
        </w:rPr>
        <w:t xml:space="preserve">High-quality evidence and economic analysis to inform adaptable design, scalability and support wider implementation of the model in other rural regions with thin markets and workforce pools. </w:t>
      </w:r>
    </w:p>
    <w:p w14:paraId="07C67942" w14:textId="77777777" w:rsidR="00E631EC" w:rsidRPr="00A3060D" w:rsidRDefault="00E631EC" w:rsidP="00A3060D">
      <w:pPr>
        <w:spacing w:before="120" w:after="120" w:line="240" w:lineRule="auto"/>
        <w:contextualSpacing/>
        <w:rPr>
          <w:rFonts w:asciiTheme="minorHAnsi" w:hAnsiTheme="minorHAnsi" w:cstheme="minorHAnsi"/>
          <w:sz w:val="22"/>
          <w:szCs w:val="22"/>
        </w:rPr>
      </w:pPr>
      <w:r w:rsidRPr="00A3060D">
        <w:rPr>
          <w:rFonts w:asciiTheme="minorHAnsi" w:hAnsiTheme="minorHAnsi" w:cstheme="minorHAnsi"/>
          <w:sz w:val="22"/>
          <w:szCs w:val="22"/>
        </w:rPr>
        <w:t xml:space="preserve">The grant funds will support the recruitment of a project manager, a First Nations identified researcher, and additional researchers. Further, the grant will fund mentoring, data access, training, communications material and content creation. An independent evaluation will deliver high-quality evidence to support application in similar rural regions with small, isolated communities and market failure. </w:t>
      </w:r>
    </w:p>
    <w:p w14:paraId="242CC886" w14:textId="77777777" w:rsidR="00E631EC" w:rsidRPr="00A3060D" w:rsidRDefault="00E631EC" w:rsidP="00A3060D">
      <w:pPr>
        <w:spacing w:before="120" w:after="120" w:line="240" w:lineRule="auto"/>
        <w:contextualSpacing/>
        <w:rPr>
          <w:rFonts w:asciiTheme="minorHAnsi" w:hAnsiTheme="minorHAnsi" w:cstheme="minorHAnsi"/>
          <w:sz w:val="22"/>
          <w:szCs w:val="22"/>
        </w:rPr>
      </w:pPr>
    </w:p>
    <w:p w14:paraId="64268D80" w14:textId="77777777" w:rsidR="00E631EC" w:rsidRPr="00A3060D" w:rsidRDefault="00E631EC" w:rsidP="00A3060D">
      <w:pPr>
        <w:spacing w:before="120" w:after="120" w:line="240" w:lineRule="auto"/>
        <w:contextualSpacing/>
        <w:rPr>
          <w:rFonts w:asciiTheme="minorHAnsi" w:hAnsiTheme="minorHAnsi" w:cstheme="minorHAnsi"/>
          <w:sz w:val="22"/>
          <w:szCs w:val="22"/>
        </w:rPr>
      </w:pPr>
      <w:r w:rsidRPr="00A3060D">
        <w:rPr>
          <w:rFonts w:asciiTheme="minorHAnsi" w:hAnsiTheme="minorHAnsi" w:cstheme="minorHAnsi"/>
          <w:sz w:val="22"/>
          <w:szCs w:val="22"/>
        </w:rPr>
        <w:t>The project will be implemented by June 2024.</w:t>
      </w:r>
    </w:p>
    <w:bookmarkEnd w:id="1"/>
    <w:p w14:paraId="360F4E01" w14:textId="77777777" w:rsidR="00E631EC" w:rsidRPr="00A3060D" w:rsidRDefault="00E631EC" w:rsidP="00A3060D">
      <w:pPr>
        <w:spacing w:before="120" w:after="120" w:line="240" w:lineRule="auto"/>
        <w:contextualSpacing/>
        <w:rPr>
          <w:rFonts w:asciiTheme="minorHAnsi" w:hAnsiTheme="minorHAnsi" w:cstheme="minorHAnsi"/>
          <w:sz w:val="22"/>
          <w:szCs w:val="22"/>
        </w:rPr>
      </w:pPr>
      <w:r w:rsidRPr="00A3060D">
        <w:rPr>
          <w:rFonts w:asciiTheme="minorHAnsi" w:hAnsiTheme="minorHAnsi" w:cstheme="minorHAnsi"/>
          <w:noProof/>
          <w:sz w:val="22"/>
          <w:szCs w:val="22"/>
        </w:rPr>
        <w:drawing>
          <wp:inline distT="0" distB="0" distL="0" distR="0" wp14:anchorId="4A70FCB4" wp14:editId="685066A7">
            <wp:extent cx="5892800" cy="4125483"/>
            <wp:effectExtent l="0" t="0" r="0" b="0"/>
            <wp:docPr id="1" name="Picture 1" descr="Map of the project h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the project hubs"/>
                    <pic:cNvPicPr/>
                  </pic:nvPicPr>
                  <pic:blipFill>
                    <a:blip r:embed="rId5"/>
                    <a:stretch>
                      <a:fillRect/>
                    </a:stretch>
                  </pic:blipFill>
                  <pic:spPr>
                    <a:xfrm>
                      <a:off x="0" y="0"/>
                      <a:ext cx="5916071" cy="4141775"/>
                    </a:xfrm>
                    <a:prstGeom prst="rect">
                      <a:avLst/>
                    </a:prstGeom>
                  </pic:spPr>
                </pic:pic>
              </a:graphicData>
            </a:graphic>
          </wp:inline>
        </w:drawing>
      </w:r>
    </w:p>
    <w:bookmarkEnd w:id="0"/>
    <w:p w14:paraId="1941ED84" w14:textId="042BACCF" w:rsidR="00AC11FC" w:rsidRPr="00A3060D" w:rsidRDefault="00AC11FC" w:rsidP="00A3060D">
      <w:pPr>
        <w:spacing w:before="120" w:after="120" w:line="240" w:lineRule="auto"/>
        <w:contextualSpacing/>
        <w:rPr>
          <w:rFonts w:asciiTheme="minorHAnsi" w:hAnsiTheme="minorHAnsi" w:cstheme="minorHAnsi"/>
          <w:b/>
          <w:bCs/>
          <w:color w:val="000000"/>
          <w:sz w:val="22"/>
          <w:szCs w:val="22"/>
        </w:rPr>
      </w:pPr>
    </w:p>
    <w:sectPr w:rsidR="00AC11FC" w:rsidRPr="00A30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C4624"/>
    <w:multiLevelType w:val="hybridMultilevel"/>
    <w:tmpl w:val="40880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037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FC"/>
    <w:rsid w:val="000313F2"/>
    <w:rsid w:val="000F4523"/>
    <w:rsid w:val="00280050"/>
    <w:rsid w:val="00370F50"/>
    <w:rsid w:val="00655221"/>
    <w:rsid w:val="0070643D"/>
    <w:rsid w:val="007C59C7"/>
    <w:rsid w:val="00A3060D"/>
    <w:rsid w:val="00AC11FC"/>
    <w:rsid w:val="00DD79C2"/>
    <w:rsid w:val="00E535EB"/>
    <w:rsid w:val="00E631EC"/>
    <w:rsid w:val="00ED00F6"/>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6C4F"/>
  <w15:chartTrackingRefBased/>
  <w15:docId w15:val="{022E50AB-35AE-4129-9C88-002CD4E7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523"/>
    <w:pPr>
      <w:keepNext/>
      <w:keepLines/>
      <w:spacing w:before="240" w:after="0"/>
      <w:outlineLvl w:val="0"/>
    </w:pPr>
    <w:rPr>
      <w:rFonts w:asciiTheme="majorHAnsi" w:eastAsiaTheme="majorEastAsia" w:hAnsiTheme="majorHAnsi" w:cstheme="majorBidi"/>
      <w:b/>
      <w:kern w:val="0"/>
      <w:sz w:val="4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AC11FC"/>
    <w:pPr>
      <w:ind w:left="720"/>
      <w:contextualSpacing/>
    </w:pPr>
    <w:rPr>
      <w:rFonts w:asciiTheme="minorHAnsi" w:hAnsiTheme="minorHAnsi" w:cstheme="minorBidi"/>
      <w:kern w:val="0"/>
      <w:sz w:val="22"/>
      <w:szCs w:val="22"/>
      <w14:ligatures w14:val="none"/>
    </w:rPr>
  </w:style>
  <w:style w:type="paragraph" w:customStyle="1" w:styleId="Default">
    <w:name w:val="Default"/>
    <w:rsid w:val="00AC11FC"/>
    <w:pPr>
      <w:autoSpaceDE w:val="0"/>
      <w:autoSpaceDN w:val="0"/>
      <w:adjustRightInd w:val="0"/>
      <w:spacing w:after="0" w:line="240" w:lineRule="auto"/>
    </w:pPr>
    <w:rPr>
      <w:rFonts w:ascii="Arial" w:hAnsi="Arial" w:cs="Arial"/>
      <w:color w:val="000000"/>
      <w:kern w:val="0"/>
      <w14:ligatures w14:val="none"/>
    </w:rPr>
  </w:style>
  <w:style w:type="table" w:styleId="TableGrid">
    <w:name w:val="Table Grid"/>
    <w:basedOn w:val="TableNormal"/>
    <w:uiPriority w:val="39"/>
    <w:rsid w:val="00AC11FC"/>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AC11FC"/>
    <w:rPr>
      <w:rFonts w:asciiTheme="minorHAnsi" w:hAnsiTheme="minorHAnsi" w:cstheme="minorBidi"/>
      <w:kern w:val="0"/>
      <w:sz w:val="22"/>
      <w:szCs w:val="22"/>
      <w14:ligatures w14:val="none"/>
    </w:rPr>
  </w:style>
  <w:style w:type="character" w:customStyle="1" w:styleId="Heading1Char">
    <w:name w:val="Heading 1 Char"/>
    <w:basedOn w:val="DefaultParagraphFont"/>
    <w:link w:val="Heading1"/>
    <w:uiPriority w:val="9"/>
    <w:rsid w:val="000F4523"/>
    <w:rPr>
      <w:rFonts w:asciiTheme="majorHAnsi" w:eastAsiaTheme="majorEastAsia" w:hAnsiTheme="majorHAnsi" w:cstheme="majorBidi"/>
      <w:b/>
      <w:kern w:val="0"/>
      <w:sz w:val="48"/>
      <w:szCs w:val="32"/>
      <w14:ligatures w14:val="none"/>
    </w:rPr>
  </w:style>
  <w:style w:type="character" w:styleId="Hyperlink">
    <w:name w:val="Hyperlink"/>
    <w:basedOn w:val="DefaultParagraphFont"/>
    <w:uiPriority w:val="99"/>
    <w:unhideWhenUsed/>
    <w:rsid w:val="00370F50"/>
    <w:rPr>
      <w:color w:val="0563C1" w:themeColor="hyperlink"/>
      <w:u w:val="single"/>
    </w:rPr>
  </w:style>
  <w:style w:type="character" w:styleId="UnresolvedMention">
    <w:name w:val="Unresolved Mention"/>
    <w:basedOn w:val="DefaultParagraphFont"/>
    <w:uiPriority w:val="99"/>
    <w:semiHidden/>
    <w:unhideWhenUsed/>
    <w:rsid w:val="0037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IMOC - Northern District Community Health</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Northern District Community Health</dc:title>
  <dc:subject>Innovative Models of Care</dc:subject>
  <dc:creator>Australian Government Department of Health and Aged Care</dc:creator>
  <cp:keywords>rural health; health workforce</cp:keywords>
  <dc:description/>
  <cp:revision>2</cp:revision>
  <dcterms:created xsi:type="dcterms:W3CDTF">2025-03-17T02:35:00Z</dcterms:created>
  <dcterms:modified xsi:type="dcterms:W3CDTF">2025-03-17T02:35:00Z</dcterms:modified>
</cp:coreProperties>
</file>