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2AF6" w14:textId="3F16EE3D" w:rsidR="00751A23" w:rsidRDefault="001330D0" w:rsidP="00751A23">
      <w:pPr>
        <w:pStyle w:val="Title"/>
      </w:pPr>
      <w:r>
        <w:t>Inclusion Framework 2025-30</w:t>
      </w:r>
    </w:p>
    <w:p w14:paraId="1A1FE7C0" w14:textId="3EE12F81" w:rsidR="00751A23" w:rsidRDefault="001330D0" w:rsidP="00751A23">
      <w:pPr>
        <w:pStyle w:val="Subtitle"/>
        <w:sectPr w:rsidR="00751A23" w:rsidSect="00D45D94">
          <w:headerReference w:type="first" r:id="rId11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>
        <w:t>Department of Health and Aged Care</w:t>
      </w:r>
    </w:p>
    <w:p w14:paraId="550A760F" w14:textId="23667563" w:rsidR="00CA4BE3" w:rsidRPr="00CA4BE3" w:rsidRDefault="001330D0" w:rsidP="00CA4BE3">
      <w:pPr>
        <w:pStyle w:val="Heading1"/>
      </w:pPr>
      <w:r>
        <w:lastRenderedPageBreak/>
        <w:t>Our Vision</w:t>
      </w:r>
    </w:p>
    <w:p w14:paraId="332B48A0" w14:textId="77777777" w:rsidR="001330D0" w:rsidRPr="001330D0" w:rsidRDefault="001330D0" w:rsidP="001330D0">
      <w:r w:rsidRPr="001330D0">
        <w:t>The Department of Health and Aged Care is committed to a culturally safe, accessible, inclusive and respectful workplace for all employees.  </w:t>
      </w:r>
    </w:p>
    <w:p w14:paraId="1E8DE770" w14:textId="77777777" w:rsidR="001330D0" w:rsidRPr="001330D0" w:rsidRDefault="001330D0" w:rsidP="001330D0">
      <w:r w:rsidRPr="001330D0">
        <w:t>In our workplace, inclusion means having a diverse workforce where staff feel connected, are empowered to contribute their perspectives and experiences, and have equitable access to opportunities.  </w:t>
      </w:r>
    </w:p>
    <w:p w14:paraId="44F467D6" w14:textId="77777777" w:rsidR="001330D0" w:rsidRPr="001330D0" w:rsidRDefault="001330D0" w:rsidP="001330D0">
      <w:r w:rsidRPr="001330D0">
        <w:t>A diverse and inclusive workforce will enable the department to better reflect and serve the Australian public.  </w:t>
      </w:r>
    </w:p>
    <w:p w14:paraId="6F4066C3" w14:textId="77777777" w:rsidR="001330D0" w:rsidRPr="001330D0" w:rsidRDefault="001330D0" w:rsidP="001330D0">
      <w:r w:rsidRPr="001330D0">
        <w:t>The Inclusion Framework supports this through a holistic and intersectional approach for all diversity groups to increase awareness, address barriers and embed inclusion across our business. </w:t>
      </w:r>
    </w:p>
    <w:p w14:paraId="14B347DF" w14:textId="77777777" w:rsidR="001330D0" w:rsidRPr="001330D0" w:rsidRDefault="001330D0" w:rsidP="001330D0">
      <w:r w:rsidRPr="001330D0">
        <w:t>This includes understanding that individuals have multiple layers of identity and the need to address the various and overlapping barriers which may negatively impact access to opportunity.  </w:t>
      </w:r>
    </w:p>
    <w:p w14:paraId="3CD8E165" w14:textId="77777777" w:rsidR="001330D0" w:rsidRPr="001330D0" w:rsidRDefault="001330D0" w:rsidP="001330D0">
      <w:r w:rsidRPr="001330D0">
        <w:t>The Inclusion Framework will be implemented through an action plan to target relevant priorities and will be regularly evaluated for continuous improvement. </w:t>
      </w:r>
    </w:p>
    <w:p w14:paraId="48D3B9DB" w14:textId="401F8F60" w:rsidR="001330D0" w:rsidRDefault="001330D0" w:rsidP="001330D0">
      <w:pPr>
        <w:pStyle w:val="Heading1"/>
      </w:pPr>
      <w:r>
        <w:t>Objective 1</w:t>
      </w:r>
    </w:p>
    <w:p w14:paraId="5685C32F" w14:textId="66E9359C" w:rsidR="001330D0" w:rsidRDefault="001330D0" w:rsidP="001330D0">
      <w:pPr>
        <w:pStyle w:val="Heading2"/>
      </w:pPr>
      <w:r>
        <w:t>Ongoing commitment to diversity and inclusion</w:t>
      </w:r>
    </w:p>
    <w:p w14:paraId="17F3FB4B" w14:textId="77777777" w:rsidR="001330D0" w:rsidRPr="001330D0" w:rsidRDefault="001330D0" w:rsidP="001330D0">
      <w:r>
        <w:t>We will: </w:t>
      </w:r>
    </w:p>
    <w:p w14:paraId="37B82715" w14:textId="5F17F9F1" w:rsidR="001330D0" w:rsidRPr="001330D0" w:rsidRDefault="001330D0" w:rsidP="001330D0">
      <w:r>
        <w:t>1.</w:t>
      </w:r>
      <w:r w:rsidR="02CE2B61">
        <w:t>1</w:t>
      </w:r>
      <w:r>
        <w:t xml:space="preserve"> Enable all staff to build awareness of diversity and ways they can contribute to our inclusive culture. </w:t>
      </w:r>
    </w:p>
    <w:p w14:paraId="2EC02154" w14:textId="4BA7218A" w:rsidR="001330D0" w:rsidRPr="001330D0" w:rsidRDefault="001330D0" w:rsidP="001330D0">
      <w:r>
        <w:t>1.</w:t>
      </w:r>
      <w:r w:rsidR="65B1A0D1">
        <w:t>2</w:t>
      </w:r>
      <w:r>
        <w:t xml:space="preserve"> Promote diversity and inclusion training, mentoring and learning opportunities to all staff. </w:t>
      </w:r>
    </w:p>
    <w:p w14:paraId="1BCB5F0C" w14:textId="2EB0FEE1" w:rsidR="001330D0" w:rsidRPr="001330D0" w:rsidRDefault="001330D0" w:rsidP="001330D0">
      <w:r>
        <w:t>1.</w:t>
      </w:r>
      <w:r w:rsidR="202A98CD">
        <w:t>3</w:t>
      </w:r>
      <w:r>
        <w:t xml:space="preserve"> Adopt a proactive approach to address inclusion and diversity barriers in the workplace and uplift support for staff from diverse backgrounds. </w:t>
      </w:r>
    </w:p>
    <w:p w14:paraId="5B8B042C" w14:textId="6930EC44" w:rsidR="7A08CB89" w:rsidRDefault="7A08CB89">
      <w:r>
        <w:t>1.4 Support our diverse workforce through continued investment in our six Staff Diversity Networks. </w:t>
      </w:r>
    </w:p>
    <w:p w14:paraId="4EB43811" w14:textId="0BE0B8BF" w:rsidR="3278897E" w:rsidRDefault="3278897E"/>
    <w:p w14:paraId="61DE002D" w14:textId="43448A8A" w:rsidR="001330D0" w:rsidRPr="001330D0" w:rsidRDefault="001330D0" w:rsidP="001330D0">
      <w:pPr>
        <w:pStyle w:val="Heading1"/>
      </w:pPr>
      <w:r>
        <w:t>Objective 2</w:t>
      </w:r>
    </w:p>
    <w:p w14:paraId="35B88264" w14:textId="0EFC3AEF" w:rsidR="00CA4BE3" w:rsidRDefault="001330D0" w:rsidP="00CA4BE3">
      <w:pPr>
        <w:pStyle w:val="Heading2"/>
      </w:pPr>
      <w:r>
        <w:t>Diverse and inclusive leaders</w:t>
      </w:r>
    </w:p>
    <w:p w14:paraId="16D5084E" w14:textId="77777777" w:rsidR="001330D0" w:rsidRPr="001330D0" w:rsidRDefault="001330D0" w:rsidP="001330D0">
      <w:r w:rsidRPr="001330D0">
        <w:t>Our leaders will: </w:t>
      </w:r>
    </w:p>
    <w:p w14:paraId="05AC4A51" w14:textId="77777777" w:rsidR="001330D0" w:rsidRPr="001330D0" w:rsidRDefault="001330D0" w:rsidP="001330D0">
      <w:r w:rsidRPr="001330D0">
        <w:t>2.1 Exemplify inclusive behaviours and language and hold peers to account. </w:t>
      </w:r>
    </w:p>
    <w:p w14:paraId="3DABBED2" w14:textId="77777777" w:rsidR="001330D0" w:rsidRPr="001330D0" w:rsidRDefault="001330D0" w:rsidP="001330D0">
      <w:r w:rsidRPr="001330D0">
        <w:t>2.2 Engage with diversity and inclusion initiatives regularly. </w:t>
      </w:r>
    </w:p>
    <w:p w14:paraId="00C45D61" w14:textId="77777777" w:rsidR="001330D0" w:rsidRPr="001330D0" w:rsidRDefault="001330D0" w:rsidP="001330D0">
      <w:r w:rsidRPr="001330D0">
        <w:t>2.3 Demonstrate commitment to building a workforce that reflects the diversity  </w:t>
      </w:r>
    </w:p>
    <w:p w14:paraId="083EF29C" w14:textId="77777777" w:rsidR="001330D0" w:rsidRPr="001330D0" w:rsidRDefault="001330D0" w:rsidP="001330D0">
      <w:r w:rsidRPr="001330D0">
        <w:lastRenderedPageBreak/>
        <w:t>of the Australian public. </w:t>
      </w:r>
    </w:p>
    <w:p w14:paraId="71EE1021" w14:textId="77777777" w:rsidR="001330D0" w:rsidRPr="001330D0" w:rsidRDefault="001330D0" w:rsidP="001330D0">
      <w:r w:rsidRPr="001330D0">
        <w:t>2.4 Mature the SES Diversity Champions cohort to embed diversity and inclusion across the organisation. </w:t>
      </w:r>
    </w:p>
    <w:p w14:paraId="70FDB033" w14:textId="2CB4099F" w:rsidR="001330D0" w:rsidRDefault="001330D0" w:rsidP="001330D0">
      <w:pPr>
        <w:pStyle w:val="Heading1"/>
      </w:pPr>
      <w:r>
        <w:t>Objective 3</w:t>
      </w:r>
    </w:p>
    <w:p w14:paraId="24B1A948" w14:textId="5626AF50" w:rsidR="001330D0" w:rsidRDefault="001330D0" w:rsidP="001330D0">
      <w:pPr>
        <w:pStyle w:val="Heading2"/>
      </w:pPr>
      <w:r>
        <w:t>Inclusive recruitment</w:t>
      </w:r>
    </w:p>
    <w:p w14:paraId="056607BD" w14:textId="77777777" w:rsidR="001330D0" w:rsidRPr="001330D0" w:rsidRDefault="001330D0" w:rsidP="001330D0">
      <w:r w:rsidRPr="001330D0">
        <w:t>We will: </w:t>
      </w:r>
    </w:p>
    <w:p w14:paraId="36438AC5" w14:textId="77777777" w:rsidR="001330D0" w:rsidRPr="001330D0" w:rsidRDefault="001330D0" w:rsidP="001330D0">
      <w:r w:rsidRPr="001330D0">
        <w:t>3.1 Update recruitment processes to embed diversity and inclusion throughout the recruitment lifecycle. </w:t>
      </w:r>
    </w:p>
    <w:p w14:paraId="582F6861" w14:textId="77777777" w:rsidR="001330D0" w:rsidRPr="001330D0" w:rsidRDefault="001330D0" w:rsidP="001330D0">
      <w:r w:rsidRPr="001330D0">
        <w:t>3.2 Equip hiring managers to incorporate diversity and inclusion in their recruitment planning. </w:t>
      </w:r>
    </w:p>
    <w:p w14:paraId="2DC42FA6" w14:textId="77777777" w:rsidR="001330D0" w:rsidRPr="001330D0" w:rsidRDefault="001330D0" w:rsidP="001330D0">
      <w:r w:rsidRPr="001330D0">
        <w:t>3.3 Provide training and support for panels to ensure recruitment processes are inclusive. </w:t>
      </w:r>
    </w:p>
    <w:p w14:paraId="5A64C80C" w14:textId="77777777" w:rsidR="001330D0" w:rsidRPr="001330D0" w:rsidRDefault="001330D0" w:rsidP="001330D0">
      <w:r w:rsidRPr="001330D0">
        <w:t>3.4 Increase targeted recruitment processes and programs to attract and retain diverse employees. </w:t>
      </w:r>
    </w:p>
    <w:p w14:paraId="66E1FC38" w14:textId="00E1410E" w:rsidR="001330D0" w:rsidRDefault="001330D0" w:rsidP="001330D0">
      <w:pPr>
        <w:pStyle w:val="Heading1"/>
      </w:pPr>
      <w:r>
        <w:t>Objective 4</w:t>
      </w:r>
    </w:p>
    <w:p w14:paraId="2035F8E2" w14:textId="66118DED" w:rsidR="001330D0" w:rsidRDefault="001330D0" w:rsidP="001330D0">
      <w:pPr>
        <w:pStyle w:val="Heading2"/>
      </w:pPr>
      <w:r>
        <w:t>Diverse and inclusive data, systems and governance</w:t>
      </w:r>
    </w:p>
    <w:p w14:paraId="400776E3" w14:textId="77777777" w:rsidR="001330D0" w:rsidRPr="001330D0" w:rsidRDefault="001330D0" w:rsidP="001330D0">
      <w:r w:rsidRPr="001330D0">
        <w:t>We will: </w:t>
      </w:r>
    </w:p>
    <w:p w14:paraId="7968BD5A" w14:textId="77777777" w:rsidR="001330D0" w:rsidRPr="001330D0" w:rsidRDefault="001330D0" w:rsidP="001330D0">
      <w:r w:rsidRPr="001330D0">
        <w:t>4.1 Review departmental processes and systems to incorporate inclusion and accessibility considerations. </w:t>
      </w:r>
    </w:p>
    <w:p w14:paraId="42350C33" w14:textId="77777777" w:rsidR="001330D0" w:rsidRPr="001330D0" w:rsidRDefault="001330D0" w:rsidP="001330D0">
      <w:r w:rsidRPr="001330D0">
        <w:t>4.2 Explore best practice approaches to diversity data collection methods and outcomes. </w:t>
      </w:r>
    </w:p>
    <w:p w14:paraId="0821C697" w14:textId="77777777" w:rsidR="001330D0" w:rsidRPr="001330D0" w:rsidRDefault="001330D0" w:rsidP="001330D0">
      <w:r w:rsidRPr="001330D0">
        <w:t>4.3 Maintain clear governance frameworks for diversity and inclusion initiatives and strategies and report regularly and transparently on progress. </w:t>
      </w:r>
    </w:p>
    <w:p w14:paraId="204A5FE2" w14:textId="385960B1" w:rsidR="004E5ACF" w:rsidRPr="004E5ACF" w:rsidRDefault="001330D0" w:rsidP="001330D0">
      <w:r w:rsidRPr="001330D0">
        <w:t>4.4 Continue to consult and collaborate with staff from diverse backgrounds on policies, programs and initiatives. </w:t>
      </w:r>
    </w:p>
    <w:p w14:paraId="604D25BC" w14:textId="498C8DF0" w:rsidR="001F2F78" w:rsidRDefault="001F2F78" w:rsidP="00934368"/>
    <w:p w14:paraId="0AAD85D3" w14:textId="302E1232" w:rsidR="0051242B" w:rsidRPr="001F2F78" w:rsidRDefault="0051242B" w:rsidP="00934368"/>
    <w:sectPr w:rsidR="0051242B" w:rsidRPr="001F2F78" w:rsidSect="00A74345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09FD" w14:textId="77777777" w:rsidR="001330D0" w:rsidRDefault="001330D0" w:rsidP="00934368">
      <w:r>
        <w:separator/>
      </w:r>
    </w:p>
    <w:p w14:paraId="4D370D9E" w14:textId="77777777" w:rsidR="001330D0" w:rsidRDefault="001330D0" w:rsidP="00934368"/>
  </w:endnote>
  <w:endnote w:type="continuationSeparator" w:id="0">
    <w:p w14:paraId="5EA10E84" w14:textId="77777777" w:rsidR="001330D0" w:rsidRDefault="001330D0" w:rsidP="00934368">
      <w:r>
        <w:continuationSeparator/>
      </w:r>
    </w:p>
    <w:p w14:paraId="63B6C487" w14:textId="77777777" w:rsidR="001330D0" w:rsidRDefault="001330D0" w:rsidP="00934368"/>
  </w:endnote>
  <w:endnote w:type="continuationNotice" w:id="1">
    <w:p w14:paraId="58330BAC" w14:textId="77777777" w:rsidR="001330D0" w:rsidRDefault="001330D0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7FA1" w14:textId="52EFF73C" w:rsidR="00751A23" w:rsidRPr="00751A23" w:rsidRDefault="001330D0" w:rsidP="00934368">
    <w:pPr>
      <w:pStyle w:val="Footer"/>
    </w:pPr>
    <w:r>
      <w:t xml:space="preserve">Department of Health and Aged Care - </w:t>
    </w:r>
    <w:r w:rsidR="00751A23">
      <w:t>I</w:t>
    </w:r>
    <w:r>
      <w:t>nclusion Framework 2025-30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518E2" w14:textId="77777777" w:rsidR="001330D0" w:rsidRDefault="001330D0" w:rsidP="00934368">
      <w:r>
        <w:separator/>
      </w:r>
    </w:p>
    <w:p w14:paraId="54B86F0A" w14:textId="77777777" w:rsidR="001330D0" w:rsidRDefault="001330D0" w:rsidP="00934368"/>
  </w:footnote>
  <w:footnote w:type="continuationSeparator" w:id="0">
    <w:p w14:paraId="13CB6769" w14:textId="77777777" w:rsidR="001330D0" w:rsidRDefault="001330D0" w:rsidP="00934368">
      <w:r>
        <w:continuationSeparator/>
      </w:r>
    </w:p>
    <w:p w14:paraId="7D4AF0DF" w14:textId="77777777" w:rsidR="001330D0" w:rsidRDefault="001330D0" w:rsidP="00934368"/>
  </w:footnote>
  <w:footnote w:type="continuationNotice" w:id="1">
    <w:p w14:paraId="20537051" w14:textId="77777777" w:rsidR="001330D0" w:rsidRDefault="001330D0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ED07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DB02A6C" wp14:editId="6A585FA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D587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92103797">
    <w:abstractNumId w:val="7"/>
  </w:num>
  <w:num w:numId="2" w16cid:durableId="1019430310">
    <w:abstractNumId w:val="15"/>
  </w:num>
  <w:num w:numId="3" w16cid:durableId="285890401">
    <w:abstractNumId w:val="17"/>
  </w:num>
  <w:num w:numId="4" w16cid:durableId="710226896">
    <w:abstractNumId w:val="8"/>
  </w:num>
  <w:num w:numId="5" w16cid:durableId="1201429736">
    <w:abstractNumId w:val="8"/>
    <w:lvlOverride w:ilvl="0">
      <w:startOverride w:val="1"/>
    </w:lvlOverride>
  </w:num>
  <w:num w:numId="6" w16cid:durableId="650135967">
    <w:abstractNumId w:val="9"/>
  </w:num>
  <w:num w:numId="7" w16cid:durableId="768934143">
    <w:abstractNumId w:val="13"/>
  </w:num>
  <w:num w:numId="8" w16cid:durableId="1594044705">
    <w:abstractNumId w:val="16"/>
  </w:num>
  <w:num w:numId="9" w16cid:durableId="1597472586">
    <w:abstractNumId w:val="5"/>
  </w:num>
  <w:num w:numId="10" w16cid:durableId="1224370643">
    <w:abstractNumId w:val="4"/>
  </w:num>
  <w:num w:numId="11" w16cid:durableId="1280257977">
    <w:abstractNumId w:val="3"/>
  </w:num>
  <w:num w:numId="12" w16cid:durableId="598104470">
    <w:abstractNumId w:val="2"/>
  </w:num>
  <w:num w:numId="13" w16cid:durableId="1724282614">
    <w:abstractNumId w:val="6"/>
  </w:num>
  <w:num w:numId="14" w16cid:durableId="468129224">
    <w:abstractNumId w:val="1"/>
  </w:num>
  <w:num w:numId="15" w16cid:durableId="127482450">
    <w:abstractNumId w:val="0"/>
  </w:num>
  <w:num w:numId="16" w16cid:durableId="672992155">
    <w:abstractNumId w:val="18"/>
  </w:num>
  <w:num w:numId="17" w16cid:durableId="1968967545">
    <w:abstractNumId w:val="10"/>
  </w:num>
  <w:num w:numId="18" w16cid:durableId="380599295">
    <w:abstractNumId w:val="11"/>
  </w:num>
  <w:num w:numId="19" w16cid:durableId="229655419">
    <w:abstractNumId w:val="12"/>
  </w:num>
  <w:num w:numId="20" w16cid:durableId="1250576916">
    <w:abstractNumId w:val="10"/>
  </w:num>
  <w:num w:numId="21" w16cid:durableId="2138209114">
    <w:abstractNumId w:val="12"/>
  </w:num>
  <w:num w:numId="22" w16cid:durableId="1193693823">
    <w:abstractNumId w:val="18"/>
  </w:num>
  <w:num w:numId="23" w16cid:durableId="1547567536">
    <w:abstractNumId w:val="15"/>
  </w:num>
  <w:num w:numId="24" w16cid:durableId="1266570755">
    <w:abstractNumId w:val="17"/>
  </w:num>
  <w:num w:numId="25" w16cid:durableId="831291108">
    <w:abstractNumId w:val="8"/>
  </w:num>
  <w:num w:numId="26" w16cid:durableId="839854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0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0D0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354D"/>
    <w:rsid w:val="005C5AEB"/>
    <w:rsid w:val="005E0A3F"/>
    <w:rsid w:val="005E6883"/>
    <w:rsid w:val="005E772F"/>
    <w:rsid w:val="005F4ECA"/>
    <w:rsid w:val="006041BE"/>
    <w:rsid w:val="006043C7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0E2E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04994"/>
    <w:rsid w:val="00A16E36"/>
    <w:rsid w:val="00A24961"/>
    <w:rsid w:val="00A24B10"/>
    <w:rsid w:val="00A30E9B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2B61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2EB"/>
    <w:rsid w:val="00E515CB"/>
    <w:rsid w:val="00E52260"/>
    <w:rsid w:val="00E639B6"/>
    <w:rsid w:val="00E6434B"/>
    <w:rsid w:val="00E6463D"/>
    <w:rsid w:val="00E72E9B"/>
    <w:rsid w:val="00E849DA"/>
    <w:rsid w:val="00E9462E"/>
    <w:rsid w:val="00E957C8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  <w:rsid w:val="02CE2B61"/>
    <w:rsid w:val="202A98CD"/>
    <w:rsid w:val="3278897E"/>
    <w:rsid w:val="65B1A0D1"/>
    <w:rsid w:val="7A08C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7BD64"/>
  <w15:docId w15:val="{E0C5DB36-F109-4D5B-AA08-B0FBDDCD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6A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ISA\OneDrive%20-%20Department%20of%20Health\Desktop\Inclusion%20Framwork%20-%20Accessibility%20Version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429b8f-976a-47ae-b17b-d705779120c2" xsi:nil="true"/>
    <lcf76f155ced4ddcb4097134ff3c332f xmlns="0b612025-39a7-4b79-833a-09cd328a5836">
      <Terms xmlns="http://schemas.microsoft.com/office/infopath/2007/PartnerControls"/>
    </lcf76f155ced4ddcb4097134ff3c332f>
    <SharedWithUsers xmlns="bb429b8f-976a-47ae-b17b-d705779120c2">
      <UserInfo>
        <DisplayName>DESA, Katarina</DisplayName>
        <AccountId>499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4520cb5c344fc65d93841be3058f4ead">
  <xsd:schema xmlns:xsd="http://www.w3.org/2001/XMLSchema" xmlns:xs="http://www.w3.org/2001/XMLSchema" xmlns:p="http://schemas.microsoft.com/office/2006/metadata/properties" xmlns:ns2="0b612025-39a7-4b79-833a-09cd328a5836" xmlns:ns3="bb429b8f-976a-47ae-b17b-d705779120c2" targetNamespace="http://schemas.microsoft.com/office/2006/metadata/properties" ma:root="true" ma:fieldsID="8970377cb5e90e296ec9596208459446" ns2:_="" ns3:_="">
    <xsd:import namespace="0b612025-39a7-4b79-833a-09cd328a5836"/>
    <xsd:import namespace="bb429b8f-976a-47ae-b17b-d70577912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98e807-2efa-4bc0-9ef7-b66cb2750cca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77157-E2F4-4840-B479-EDDB0708D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12025-39a7-4b79-833a-09cd328a5836"/>
    <ds:schemaRef ds:uri="bb429b8f-976a-47ae-b17b-d70577912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Inclusion Framwork - Accessibility Version.dotx</Template>
  <TotalTime>0</TotalTime>
  <Pages>3</Pages>
  <Words>414</Words>
  <Characters>2533</Characters>
  <Application>Microsoft Office Word</Application>
  <DocSecurity>4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Inclusion Framework 2025–30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 Framework 2025–30</dc:title>
  <dc:subject>About the department</dc:subject>
  <dc:creator>Australian Government Department of Health and Aged Care</dc:creator>
  <cp:keywords>About the department</cp:keywords>
  <cp:revision>2</cp:revision>
  <cp:lastPrinted>2022-06-22T22:44:00Z</cp:lastPrinted>
  <dcterms:created xsi:type="dcterms:W3CDTF">2025-04-14T04:16:00Z</dcterms:created>
  <dcterms:modified xsi:type="dcterms:W3CDTF">2025-04-14T04:16:00Z</dcterms:modified>
</cp:coreProperties>
</file>