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FBBB0" w14:textId="14218730" w:rsidR="006C132C" w:rsidRPr="008E1F0F" w:rsidRDefault="006C132C" w:rsidP="00C4266D">
      <w:pPr>
        <w:pStyle w:val="Title"/>
      </w:pPr>
      <w:r w:rsidRPr="00C4266D">
        <w:t>First</w:t>
      </w:r>
      <w:r w:rsidRPr="008E1F0F">
        <w:t xml:space="preserve"> Nations Health Governance Group</w:t>
      </w:r>
    </w:p>
    <w:p w14:paraId="6CC2646E" w14:textId="2E5636D0" w:rsidR="006C132C" w:rsidRPr="00C4266D" w:rsidRDefault="006C132C" w:rsidP="00C4266D">
      <w:pPr>
        <w:pStyle w:val="Subtitle"/>
      </w:pPr>
      <w:r w:rsidRPr="00585710">
        <w:t>Communique –</w:t>
      </w:r>
      <w:r w:rsidR="00957805">
        <w:t xml:space="preserve"> </w:t>
      </w:r>
      <w:r w:rsidR="00A54856">
        <w:t xml:space="preserve">March </w:t>
      </w:r>
      <w:r w:rsidRPr="00585710">
        <w:t>202</w:t>
      </w:r>
      <w:r w:rsidR="00A54856">
        <w:t>5</w:t>
      </w:r>
    </w:p>
    <w:p w14:paraId="6389EC21" w14:textId="19D7D45A" w:rsidR="07F130BE" w:rsidRDefault="31E5DE91" w:rsidP="53F4F823">
      <w:pPr>
        <w:spacing w:before="240"/>
        <w:rPr>
          <w:rFonts w:eastAsia="Aptos" w:cs="Arial"/>
        </w:rPr>
      </w:pPr>
      <w:r>
        <w:t xml:space="preserve">The </w:t>
      </w:r>
      <w:r w:rsidR="6B4AF15F">
        <w:t>second</w:t>
      </w:r>
      <w:r>
        <w:t xml:space="preserve"> meeting of F</w:t>
      </w:r>
      <w:r w:rsidR="0F3F1D6F">
        <w:t xml:space="preserve">irst Nations </w:t>
      </w:r>
      <w:r>
        <w:t>H</w:t>
      </w:r>
      <w:r w:rsidR="0F3F1D6F">
        <w:t xml:space="preserve">ealth </w:t>
      </w:r>
      <w:r>
        <w:t>G</w:t>
      </w:r>
      <w:r w:rsidR="0F3F1D6F">
        <w:t xml:space="preserve">overnance </w:t>
      </w:r>
      <w:r>
        <w:t>G</w:t>
      </w:r>
      <w:r w:rsidR="0F3F1D6F">
        <w:t>roup (FNHGG)</w:t>
      </w:r>
      <w:r>
        <w:t xml:space="preserve"> was </w:t>
      </w:r>
      <w:r w:rsidR="6B4AF15F">
        <w:t xml:space="preserve">a joint meeting with the </w:t>
      </w:r>
      <w:r w:rsidR="43C84119">
        <w:t xml:space="preserve">Department of Health and Aged Care’s </w:t>
      </w:r>
      <w:r w:rsidR="6B4AF15F">
        <w:t>Closing the Gap Steering Committee (</w:t>
      </w:r>
      <w:r w:rsidR="35C9C8BB">
        <w:t>S</w:t>
      </w:r>
      <w:r w:rsidR="6B4AF15F">
        <w:t xml:space="preserve">teering </w:t>
      </w:r>
      <w:r w:rsidR="49F409F5">
        <w:t>C</w:t>
      </w:r>
      <w:r w:rsidR="6B4AF15F">
        <w:t xml:space="preserve">ommittee) </w:t>
      </w:r>
      <w:r>
        <w:t xml:space="preserve">held on Monday </w:t>
      </w:r>
      <w:r w:rsidR="6B4AF15F">
        <w:t>17 March 2025</w:t>
      </w:r>
      <w:r w:rsidR="5D2B6C58">
        <w:t>.</w:t>
      </w:r>
    </w:p>
    <w:p w14:paraId="590BF981" w14:textId="63D6CC6F" w:rsidR="07F130BE" w:rsidRDefault="1BBE48FC" w:rsidP="1EC5D5F9">
      <w:pPr>
        <w:rPr>
          <w:rFonts w:eastAsia="Aptos" w:cs="Arial"/>
        </w:rPr>
      </w:pPr>
      <w:r>
        <w:t xml:space="preserve"> </w:t>
      </w:r>
      <w:r w:rsidR="310A5764" w:rsidRPr="5BCF9FF2">
        <w:rPr>
          <w:rFonts w:eastAsia="Aptos" w:cs="Arial"/>
        </w:rPr>
        <w:t xml:space="preserve">The </w:t>
      </w:r>
      <w:r w:rsidR="4403FFD3" w:rsidRPr="5BCF9FF2">
        <w:rPr>
          <w:rFonts w:eastAsia="Aptos" w:cs="Arial"/>
        </w:rPr>
        <w:t>S</w:t>
      </w:r>
      <w:r w:rsidR="310A5764" w:rsidRPr="5BCF9FF2">
        <w:rPr>
          <w:rFonts w:eastAsia="Aptos" w:cs="Arial"/>
        </w:rPr>
        <w:t xml:space="preserve">teering </w:t>
      </w:r>
      <w:r w:rsidR="2D695659" w:rsidRPr="5BCF9FF2">
        <w:rPr>
          <w:rFonts w:eastAsia="Aptos" w:cs="Arial"/>
        </w:rPr>
        <w:t>C</w:t>
      </w:r>
      <w:r w:rsidR="310A5764" w:rsidRPr="5BCF9FF2">
        <w:rPr>
          <w:rFonts w:eastAsia="Aptos" w:cs="Arial"/>
        </w:rPr>
        <w:t>ommittee is chaired by the Chief Operating Officer</w:t>
      </w:r>
      <w:r w:rsidR="08C7C655" w:rsidRPr="5BCF9FF2">
        <w:rPr>
          <w:rFonts w:eastAsia="Aptos" w:cs="Arial"/>
        </w:rPr>
        <w:t>, with members including senior executives from across the department</w:t>
      </w:r>
      <w:r w:rsidR="310A5764" w:rsidRPr="5BCF9FF2">
        <w:rPr>
          <w:rFonts w:eastAsia="Aptos" w:cs="Arial"/>
        </w:rPr>
        <w:t xml:space="preserve">. </w:t>
      </w:r>
      <w:r w:rsidR="4E6BABA0" w:rsidRPr="5BCF9FF2">
        <w:rPr>
          <w:rFonts w:eastAsia="Aptos" w:cs="Arial"/>
        </w:rPr>
        <w:t xml:space="preserve">The </w:t>
      </w:r>
      <w:r w:rsidR="135D4DC6" w:rsidRPr="5BCF9FF2">
        <w:rPr>
          <w:rFonts w:eastAsia="Aptos" w:cs="Arial"/>
        </w:rPr>
        <w:t>S</w:t>
      </w:r>
      <w:r w:rsidR="61BB7CF1" w:rsidRPr="5BCF9FF2">
        <w:rPr>
          <w:rFonts w:eastAsia="Aptos" w:cs="Arial"/>
        </w:rPr>
        <w:t xml:space="preserve">teering </w:t>
      </w:r>
      <w:r w:rsidR="05358E4A" w:rsidRPr="5BCF9FF2">
        <w:rPr>
          <w:rFonts w:eastAsia="Aptos" w:cs="Arial"/>
        </w:rPr>
        <w:t>C</w:t>
      </w:r>
      <w:r w:rsidR="61BB7CF1" w:rsidRPr="5BCF9FF2">
        <w:rPr>
          <w:rFonts w:eastAsia="Aptos" w:cs="Arial"/>
        </w:rPr>
        <w:t xml:space="preserve">ommittee </w:t>
      </w:r>
      <w:r w:rsidR="4E6BABA0" w:rsidRPr="5BCF9FF2">
        <w:rPr>
          <w:rFonts w:eastAsia="Aptos" w:cs="Arial"/>
        </w:rPr>
        <w:t>aims t</w:t>
      </w:r>
      <w:r w:rsidR="14F526D9" w:rsidRPr="5BCF9FF2">
        <w:rPr>
          <w:rFonts w:eastAsia="Aptos" w:cs="Arial"/>
        </w:rPr>
        <w:t xml:space="preserve">o </w:t>
      </w:r>
      <w:r w:rsidR="45D30D8F" w:rsidRPr="5BCF9FF2">
        <w:rPr>
          <w:rFonts w:eastAsia="Aptos" w:cs="Arial"/>
        </w:rPr>
        <w:t>champion and driv</w:t>
      </w:r>
      <w:r w:rsidR="3E549B74" w:rsidRPr="5BCF9FF2">
        <w:rPr>
          <w:rFonts w:eastAsia="Aptos" w:cs="Arial"/>
        </w:rPr>
        <w:t>e</w:t>
      </w:r>
      <w:r w:rsidR="45D30D8F" w:rsidRPr="5BCF9FF2">
        <w:rPr>
          <w:rFonts w:eastAsia="Aptos" w:cs="Arial"/>
        </w:rPr>
        <w:t xml:space="preserve"> action to embed the </w:t>
      </w:r>
      <w:r w:rsidR="458BA59E" w:rsidRPr="5BCF9FF2">
        <w:rPr>
          <w:rFonts w:eastAsia="Aptos" w:cs="Arial"/>
        </w:rPr>
        <w:t>P</w:t>
      </w:r>
      <w:r w:rsidR="45D30D8F" w:rsidRPr="5BCF9FF2">
        <w:rPr>
          <w:rFonts w:eastAsia="Aptos" w:cs="Arial"/>
        </w:rPr>
        <w:t xml:space="preserve">riority </w:t>
      </w:r>
      <w:r w:rsidR="5601E46B" w:rsidRPr="5BCF9FF2">
        <w:rPr>
          <w:rFonts w:eastAsia="Aptos" w:cs="Arial"/>
        </w:rPr>
        <w:t>R</w:t>
      </w:r>
      <w:r w:rsidR="45D30D8F" w:rsidRPr="5BCF9FF2">
        <w:rPr>
          <w:rFonts w:eastAsia="Aptos" w:cs="Arial"/>
        </w:rPr>
        <w:t>eforms in the department’s structures, processes, and work.</w:t>
      </w:r>
    </w:p>
    <w:p w14:paraId="38C64BE2" w14:textId="0773B9A2" w:rsidR="44AE7D61" w:rsidRDefault="44AE7D61" w:rsidP="1EC5D5F9">
      <w:pPr>
        <w:rPr>
          <w:rFonts w:cs="Calibri"/>
        </w:rPr>
      </w:pPr>
      <w:r w:rsidRPr="72E5907F">
        <w:rPr>
          <w:rFonts w:cs="Calibri"/>
        </w:rPr>
        <w:t xml:space="preserve">This joint meeting highlighted the importance of both groups coming together to </w:t>
      </w:r>
      <w:r w:rsidR="44C6063B" w:rsidRPr="72E5907F">
        <w:rPr>
          <w:rFonts w:cs="Calibri"/>
        </w:rPr>
        <w:t>develop</w:t>
      </w:r>
      <w:r w:rsidRPr="72E5907F">
        <w:rPr>
          <w:rFonts w:cs="Calibri"/>
        </w:rPr>
        <w:t xml:space="preserve"> solutions and to further strategic partnerships and shared decision making between sector and the department.</w:t>
      </w:r>
    </w:p>
    <w:p w14:paraId="77DF644F" w14:textId="1EF3EDB7" w:rsidR="008169FD" w:rsidRPr="002D54CE" w:rsidRDefault="71EE600F" w:rsidP="53F4F823">
      <w:pPr>
        <w:spacing w:after="0"/>
      </w:pPr>
      <w:r>
        <w:t>T</w:t>
      </w:r>
      <w:r w:rsidR="1AD3577D">
        <w:t>he meeting</w:t>
      </w:r>
      <w:r w:rsidR="61801860">
        <w:t xml:space="preserve"> considered updates on </w:t>
      </w:r>
      <w:r w:rsidR="245B00DD" w:rsidRPr="09423F78">
        <w:rPr>
          <w:rFonts w:eastAsia="Calibri" w:cs="Calibri"/>
          <w:color w:val="000000" w:themeColor="text1"/>
        </w:rPr>
        <w:t xml:space="preserve">the </w:t>
      </w:r>
      <w:r w:rsidR="5802DBFE" w:rsidRPr="09423F78">
        <w:rPr>
          <w:rFonts w:eastAsia="Calibri" w:cs="Calibri"/>
          <w:color w:val="000000" w:themeColor="text1"/>
          <w:lang w:val="en-US"/>
        </w:rPr>
        <w:t>Aboriginal and Torres Strait Islander Health Plan</w:t>
      </w:r>
      <w:r w:rsidR="5802DBFE" w:rsidRPr="09423F78">
        <w:rPr>
          <w:rFonts w:eastAsia="Calibri" w:cs="Calibri"/>
        </w:rPr>
        <w:t xml:space="preserve"> (</w:t>
      </w:r>
      <w:r w:rsidR="5802DBFE" w:rsidRPr="09423F78">
        <w:rPr>
          <w:rFonts w:eastAsia="Calibri"/>
          <w:color w:val="000000" w:themeColor="text1"/>
        </w:rPr>
        <w:t>Health Plan),</w:t>
      </w:r>
      <w:r w:rsidR="5802DBFE" w:rsidRPr="09423F78">
        <w:rPr>
          <w:rFonts w:eastAsia="Calibri" w:cs="Calibri"/>
          <w:color w:val="000000" w:themeColor="text1"/>
        </w:rPr>
        <w:t xml:space="preserve"> the </w:t>
      </w:r>
      <w:r w:rsidR="0BC7CC5F" w:rsidRPr="09423F78">
        <w:rPr>
          <w:rFonts w:eastAsia="Calibri" w:cs="Calibri"/>
          <w:color w:val="000000" w:themeColor="text1"/>
        </w:rPr>
        <w:t>Aboriginal and Torres Strait Islander Health Workforce Strategic Framework and Implementation Plan</w:t>
      </w:r>
      <w:r w:rsidR="0BC7CC5F" w:rsidRPr="09423F78">
        <w:rPr>
          <w:rFonts w:eastAsia="Calibri" w:cs="Calibri"/>
        </w:rPr>
        <w:t xml:space="preserve"> (</w:t>
      </w:r>
      <w:r w:rsidR="42A5C85E" w:rsidRPr="09423F78">
        <w:rPr>
          <w:rFonts w:eastAsia="Calibri"/>
          <w:color w:val="000000" w:themeColor="text1"/>
        </w:rPr>
        <w:t>Workforce Plan</w:t>
      </w:r>
      <w:r w:rsidR="770305EF" w:rsidRPr="09423F78">
        <w:rPr>
          <w:rFonts w:eastAsia="Calibri"/>
          <w:color w:val="000000" w:themeColor="text1"/>
        </w:rPr>
        <w:t>)</w:t>
      </w:r>
      <w:r w:rsidR="42A5C85E" w:rsidRPr="09423F78">
        <w:rPr>
          <w:rFonts w:eastAsia="Calibri"/>
          <w:color w:val="000000" w:themeColor="text1"/>
        </w:rPr>
        <w:t xml:space="preserve">,  Aged Care </w:t>
      </w:r>
      <w:r w:rsidR="77B5ECD1" w:rsidRPr="09423F78">
        <w:rPr>
          <w:rFonts w:eastAsia="Calibri"/>
          <w:color w:val="000000" w:themeColor="text1"/>
        </w:rPr>
        <w:t xml:space="preserve">priorities, </w:t>
      </w:r>
      <w:r w:rsidR="526DAA2E" w:rsidRPr="09423F78">
        <w:rPr>
          <w:rFonts w:eastAsia="Calibri"/>
          <w:color w:val="000000" w:themeColor="text1"/>
        </w:rPr>
        <w:t>S</w:t>
      </w:r>
      <w:r w:rsidR="42A5C85E" w:rsidRPr="09423F78">
        <w:rPr>
          <w:rFonts w:eastAsia="Calibri"/>
          <w:color w:val="000000" w:themeColor="text1"/>
        </w:rPr>
        <w:t>teer</w:t>
      </w:r>
      <w:r w:rsidR="67382D45" w:rsidRPr="09423F78">
        <w:rPr>
          <w:rFonts w:eastAsia="Calibri"/>
          <w:color w:val="000000" w:themeColor="text1"/>
        </w:rPr>
        <w:t xml:space="preserve">ing </w:t>
      </w:r>
      <w:r w:rsidR="2D6061F2" w:rsidRPr="09423F78">
        <w:rPr>
          <w:rFonts w:eastAsia="Calibri"/>
          <w:color w:val="000000" w:themeColor="text1"/>
        </w:rPr>
        <w:t>C</w:t>
      </w:r>
      <w:r w:rsidR="67382D45" w:rsidRPr="09423F78">
        <w:rPr>
          <w:rFonts w:eastAsia="Calibri"/>
          <w:color w:val="000000" w:themeColor="text1"/>
        </w:rPr>
        <w:t xml:space="preserve">ommittee overview and 2025 FNHGG workplan </w:t>
      </w:r>
      <w:r w:rsidR="57784209" w:rsidRPr="09423F78">
        <w:rPr>
          <w:rFonts w:eastAsia="Calibri"/>
          <w:color w:val="000000" w:themeColor="text1"/>
        </w:rPr>
        <w:t>priorities</w:t>
      </w:r>
      <w:r w:rsidR="0EFF8096">
        <w:t>.</w:t>
      </w:r>
      <w:r w:rsidR="2D743E50">
        <w:t xml:space="preserve"> </w:t>
      </w:r>
      <w:r w:rsidR="1535F95B">
        <w:t>Members d</w:t>
      </w:r>
      <w:r w:rsidR="230C301B">
        <w:t>iscussed</w:t>
      </w:r>
      <w:r w:rsidR="0845DACA">
        <w:t xml:space="preserve"> </w:t>
      </w:r>
      <w:r w:rsidR="2211D5AE">
        <w:t xml:space="preserve">these updates and identified the </w:t>
      </w:r>
      <w:r w:rsidR="0845DACA">
        <w:t xml:space="preserve">following </w:t>
      </w:r>
      <w:r w:rsidR="300D972A">
        <w:t>areas of focus</w:t>
      </w:r>
      <w:r w:rsidR="2F1B5927">
        <w:t xml:space="preserve"> for further consideration and action</w:t>
      </w:r>
      <w:r w:rsidR="2D743E50">
        <w:t>:</w:t>
      </w:r>
    </w:p>
    <w:p w14:paraId="1F5620CE" w14:textId="3A223543" w:rsidR="1EC5D5F9" w:rsidRDefault="00A15C20" w:rsidP="09423F78">
      <w:pPr>
        <w:pStyle w:val="ListParagraph"/>
        <w:numPr>
          <w:ilvl w:val="0"/>
          <w:numId w:val="1"/>
        </w:numPr>
        <w:spacing w:before="40" w:after="240" w:line="240" w:lineRule="auto"/>
        <w:rPr>
          <w:rFonts w:eastAsia="Calibri" w:cs="Calibri"/>
          <w:color w:val="000000" w:themeColor="text1"/>
        </w:rPr>
      </w:pPr>
      <w:r w:rsidRPr="09423F78">
        <w:rPr>
          <w:rFonts w:eastAsia="Calibri" w:cs="Calibri"/>
          <w:color w:val="000000" w:themeColor="text1"/>
        </w:rPr>
        <w:t>Delivering</w:t>
      </w:r>
      <w:r w:rsidR="27F0F032" w:rsidRPr="09423F78">
        <w:rPr>
          <w:rFonts w:eastAsia="Calibri" w:cs="Calibri"/>
          <w:color w:val="000000" w:themeColor="text1"/>
        </w:rPr>
        <w:t xml:space="preserve"> accountability</w:t>
      </w:r>
    </w:p>
    <w:p w14:paraId="2DBA1E99" w14:textId="2D11BE82" w:rsidR="1EC5D5F9" w:rsidRDefault="27F0F032" w:rsidP="09423F78">
      <w:pPr>
        <w:pStyle w:val="ListParagraph"/>
        <w:numPr>
          <w:ilvl w:val="0"/>
          <w:numId w:val="1"/>
        </w:numPr>
        <w:spacing w:before="40" w:after="240" w:line="240" w:lineRule="auto"/>
        <w:rPr>
          <w:rFonts w:eastAsia="Calibri" w:cs="Calibri"/>
          <w:color w:val="000000" w:themeColor="text1"/>
        </w:rPr>
      </w:pPr>
      <w:r w:rsidRPr="09423F78">
        <w:rPr>
          <w:rFonts w:eastAsia="Calibri" w:cs="Calibri"/>
          <w:color w:val="000000" w:themeColor="text1"/>
        </w:rPr>
        <w:t>Eliminating institutional racism</w:t>
      </w:r>
    </w:p>
    <w:p w14:paraId="63287E0B" w14:textId="60D7E38D" w:rsidR="1EC5D5F9" w:rsidRDefault="27F0F032" w:rsidP="09423F78">
      <w:pPr>
        <w:pStyle w:val="ListParagraph"/>
        <w:numPr>
          <w:ilvl w:val="0"/>
          <w:numId w:val="1"/>
        </w:numPr>
        <w:spacing w:before="40" w:after="240" w:line="240" w:lineRule="auto"/>
        <w:rPr>
          <w:rFonts w:eastAsia="Calibri" w:cs="Calibri"/>
          <w:color w:val="000000" w:themeColor="text1"/>
        </w:rPr>
      </w:pPr>
      <w:r w:rsidRPr="09423F78">
        <w:rPr>
          <w:rFonts w:eastAsia="Calibri" w:cs="Calibri"/>
          <w:color w:val="000000" w:themeColor="text1"/>
        </w:rPr>
        <w:t>Embedding the Priority Reforms</w:t>
      </w:r>
      <w:r w:rsidR="2D743E50" w:rsidRPr="09423F78">
        <w:rPr>
          <w:rFonts w:eastAsia="Calibri" w:cs="Calibri"/>
          <w:color w:val="000000" w:themeColor="text1"/>
        </w:rPr>
        <w:t>.</w:t>
      </w:r>
    </w:p>
    <w:p w14:paraId="444B650A" w14:textId="53392EDF" w:rsidR="00A54856" w:rsidRDefault="4004277B" w:rsidP="1EC5D5F9">
      <w:pPr>
        <w:rPr>
          <w:rFonts w:cs="Calibri"/>
        </w:rPr>
      </w:pPr>
      <w:r>
        <w:t xml:space="preserve">The FNHGG </w:t>
      </w:r>
      <w:r w:rsidR="0CCEFDFC">
        <w:t xml:space="preserve">will </w:t>
      </w:r>
      <w:r w:rsidR="0AE1876D">
        <w:t xml:space="preserve">also </w:t>
      </w:r>
      <w:r>
        <w:t>continue to progress priorities in the Health</w:t>
      </w:r>
      <w:r w:rsidR="00DC5474">
        <w:t xml:space="preserve"> and Workforce Strategic</w:t>
      </w:r>
      <w:r>
        <w:t xml:space="preserve"> Plan</w:t>
      </w:r>
      <w:r w:rsidR="00DC5474">
        <w:t>s</w:t>
      </w:r>
      <w:r>
        <w:t xml:space="preserve"> </w:t>
      </w:r>
      <w:r w:rsidR="2C1786B0">
        <w:t xml:space="preserve">and </w:t>
      </w:r>
      <w:r w:rsidR="51AA45D4">
        <w:t xml:space="preserve">ensure it is supported by </w:t>
      </w:r>
      <w:r>
        <w:t xml:space="preserve">strong governance arrangements and robust data and accountability frameworks. </w:t>
      </w:r>
    </w:p>
    <w:p w14:paraId="13F3A9B9" w14:textId="2DDE68BE" w:rsidR="00A54856" w:rsidRPr="00A54856" w:rsidRDefault="4004277B" w:rsidP="38352D70">
      <w:r>
        <w:t>The department</w:t>
      </w:r>
      <w:r w:rsidR="385449E4">
        <w:t xml:space="preserve"> also provided an update on the co-designed procurement process</w:t>
      </w:r>
      <w:r>
        <w:t>, to engage an experienced First Nations organisation to facilitate the creation of the Accountability Framework with</w:t>
      </w:r>
      <w:r w:rsidR="39D85DA0">
        <w:t xml:space="preserve"> the</w:t>
      </w:r>
      <w:r>
        <w:t xml:space="preserve"> FNHGG and the department. This facilitated </w:t>
      </w:r>
      <w:r w:rsidR="3ABEB34E">
        <w:t xml:space="preserve">partnership </w:t>
      </w:r>
      <w:r>
        <w:t xml:space="preserve">process will </w:t>
      </w:r>
      <w:r w:rsidR="525EB74C">
        <w:t xml:space="preserve">commence </w:t>
      </w:r>
      <w:r>
        <w:t>with FNHGG members</w:t>
      </w:r>
      <w:r w:rsidR="1325AD2F">
        <w:t xml:space="preserve"> in late March</w:t>
      </w:r>
      <w:r>
        <w:t>.</w:t>
      </w:r>
    </w:p>
    <w:p w14:paraId="76546A48" w14:textId="10BFAE97" w:rsidR="006C132C" w:rsidRPr="00C4266D" w:rsidRDefault="0406E4D2" w:rsidP="00C4266D">
      <w:pPr>
        <w:pStyle w:val="Heading2"/>
      </w:pPr>
      <w:r>
        <w:t>Related documents</w:t>
      </w:r>
    </w:p>
    <w:p w14:paraId="5AC9EABD" w14:textId="77777777" w:rsidR="00953347" w:rsidRPr="00112945" w:rsidRDefault="00953347" w:rsidP="00957805">
      <w:pPr>
        <w:numPr>
          <w:ilvl w:val="0"/>
          <w:numId w:val="12"/>
        </w:numPr>
        <w:spacing w:after="0" w:line="240" w:lineRule="auto"/>
        <w:rPr>
          <w:rFonts w:cs="Calibri"/>
        </w:rPr>
      </w:pPr>
      <w:hyperlink r:id="rId10" w:history="1">
        <w:r w:rsidRPr="00112945">
          <w:rPr>
            <w:rStyle w:val="Hyperlink"/>
            <w:rFonts w:cs="Calibri"/>
          </w:rPr>
          <w:t>National Agreement on Closing the Gap (especially Priority Reforms and Targets)</w:t>
        </w:r>
      </w:hyperlink>
    </w:p>
    <w:p w14:paraId="0F3F4A27" w14:textId="77777777" w:rsidR="00953347" w:rsidRPr="00112945" w:rsidRDefault="00953347" w:rsidP="00957805">
      <w:pPr>
        <w:numPr>
          <w:ilvl w:val="0"/>
          <w:numId w:val="12"/>
        </w:numPr>
        <w:spacing w:after="0" w:line="240" w:lineRule="auto"/>
        <w:rPr>
          <w:rFonts w:cs="Calibri"/>
        </w:rPr>
      </w:pPr>
      <w:hyperlink r:id="rId11" w:history="1">
        <w:r w:rsidRPr="00112945">
          <w:rPr>
            <w:rStyle w:val="Hyperlink"/>
            <w:rFonts w:cs="Calibri"/>
          </w:rPr>
          <w:t>National Aboriginal and Torres Strait Islander Health Plan 2021-2031</w:t>
        </w:r>
      </w:hyperlink>
      <w:r w:rsidRPr="00112945">
        <w:rPr>
          <w:rFonts w:cs="Calibri"/>
        </w:rPr>
        <w:t xml:space="preserve"> </w:t>
      </w:r>
    </w:p>
    <w:p w14:paraId="0A0C6674" w14:textId="77777777" w:rsidR="00953347" w:rsidRPr="00112945" w:rsidRDefault="00953347" w:rsidP="00957805">
      <w:pPr>
        <w:numPr>
          <w:ilvl w:val="0"/>
          <w:numId w:val="12"/>
        </w:numPr>
        <w:spacing w:after="0" w:line="240" w:lineRule="auto"/>
        <w:rPr>
          <w:rStyle w:val="Hyperlink"/>
          <w:rFonts w:cs="Calibri"/>
        </w:rPr>
      </w:pPr>
      <w:hyperlink r:id="rId12" w:history="1">
        <w:r w:rsidRPr="00112945">
          <w:rPr>
            <w:rStyle w:val="Hyperlink"/>
            <w:rFonts w:cs="Calibri"/>
          </w:rPr>
          <w:t>National Aboriginal and Torres Strait Islander Health Workforce Strategic Framework and Implementation Plan 2021–2031</w:t>
        </w:r>
      </w:hyperlink>
    </w:p>
    <w:p w14:paraId="4BFD9856" w14:textId="3D73178E" w:rsidR="006C132C" w:rsidRPr="008E1F0F" w:rsidRDefault="008D4500" w:rsidP="00957805">
      <w:pPr>
        <w:pStyle w:val="ListParagraph"/>
        <w:numPr>
          <w:ilvl w:val="0"/>
          <w:numId w:val="12"/>
        </w:numPr>
        <w:spacing w:after="0" w:line="240" w:lineRule="auto"/>
      </w:pPr>
      <w:hyperlink r:id="rId13" w:history="1">
        <w:r w:rsidRPr="008E1F0F">
          <w:rPr>
            <w:rStyle w:val="Hyperlink"/>
            <w:rFonts w:cs="Calibri"/>
          </w:rPr>
          <w:t>The United Nations Declaration on the Rights of Indigenous Peoples (UNDRIP)</w:t>
        </w:r>
      </w:hyperlink>
    </w:p>
    <w:sectPr w:rsidR="006C132C" w:rsidRPr="008E1F0F" w:rsidSect="00C4266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09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9D9E6" w14:textId="77777777" w:rsidR="00B65874" w:rsidRDefault="00B65874" w:rsidP="0005477B">
      <w:pPr>
        <w:spacing w:after="0" w:line="240" w:lineRule="auto"/>
      </w:pPr>
      <w:r>
        <w:separator/>
      </w:r>
    </w:p>
  </w:endnote>
  <w:endnote w:type="continuationSeparator" w:id="0">
    <w:p w14:paraId="495B4D2C" w14:textId="77777777" w:rsidR="00B65874" w:rsidRDefault="00B65874" w:rsidP="0005477B">
      <w:pPr>
        <w:spacing w:after="0" w:line="240" w:lineRule="auto"/>
      </w:pPr>
      <w:r>
        <w:continuationSeparator/>
      </w:r>
    </w:p>
  </w:endnote>
  <w:endnote w:type="continuationNotice" w:id="1">
    <w:p w14:paraId="46AABC69" w14:textId="77777777" w:rsidR="00B65874" w:rsidRDefault="00B658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727BD" w14:textId="77777777" w:rsidR="00FB3992" w:rsidRDefault="00FB39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68B59" w14:textId="5C4ABA06" w:rsidR="00C4266D" w:rsidRDefault="00C4266D" w:rsidP="00C4266D">
    <w:pPr>
      <w:pStyle w:val="Footer"/>
    </w:pPr>
    <w:r>
      <w:t xml:space="preserve">First Nations Health Governance Group Communique – </w:t>
    </w:r>
    <w:r w:rsidR="00A54856">
      <w:t>March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51F35" w14:textId="77777777" w:rsidR="00FB3992" w:rsidRDefault="00FB3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9D893" w14:textId="77777777" w:rsidR="00B65874" w:rsidRDefault="00B65874" w:rsidP="0005477B">
      <w:pPr>
        <w:spacing w:after="0" w:line="240" w:lineRule="auto"/>
      </w:pPr>
      <w:r>
        <w:separator/>
      </w:r>
    </w:p>
  </w:footnote>
  <w:footnote w:type="continuationSeparator" w:id="0">
    <w:p w14:paraId="4669D59C" w14:textId="77777777" w:rsidR="00B65874" w:rsidRDefault="00B65874" w:rsidP="0005477B">
      <w:pPr>
        <w:spacing w:after="0" w:line="240" w:lineRule="auto"/>
      </w:pPr>
      <w:r>
        <w:continuationSeparator/>
      </w:r>
    </w:p>
  </w:footnote>
  <w:footnote w:type="continuationNotice" w:id="1">
    <w:p w14:paraId="2D2DAE8D" w14:textId="77777777" w:rsidR="00B65874" w:rsidRDefault="00B658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4FDF1" w14:textId="77777777" w:rsidR="00FB3992" w:rsidRDefault="00FB39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5D879" w14:textId="5AE29511" w:rsidR="00C4266D" w:rsidRDefault="00C4266D">
    <w:pPr>
      <w:pStyle w:val="Header"/>
    </w:pPr>
    <w:r>
      <w:rPr>
        <w:noProof/>
        <w:lang w:eastAsia="en-AU"/>
      </w:rPr>
      <w:drawing>
        <wp:inline distT="0" distB="0" distL="0" distR="0" wp14:anchorId="281408A4" wp14:editId="239C4E27">
          <wp:extent cx="5759450" cy="941705"/>
          <wp:effectExtent l="0" t="0" r="6350" b="0"/>
          <wp:docPr id="1091636584" name="Picture 1091636584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404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6535" w14:textId="77777777" w:rsidR="00FB3992" w:rsidRDefault="00FB39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45C4"/>
    <w:multiLevelType w:val="hybridMultilevel"/>
    <w:tmpl w:val="A13025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A0F8D"/>
    <w:multiLevelType w:val="hybridMultilevel"/>
    <w:tmpl w:val="3C8C3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E7E1F"/>
    <w:multiLevelType w:val="hybridMultilevel"/>
    <w:tmpl w:val="67B63DFE"/>
    <w:lvl w:ilvl="0" w:tplc="C8D4E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8EC5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7299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FA4D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9C9D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18A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686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4468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16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C5379"/>
    <w:multiLevelType w:val="hybridMultilevel"/>
    <w:tmpl w:val="0260920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7237A"/>
    <w:multiLevelType w:val="hybridMultilevel"/>
    <w:tmpl w:val="F80448FC"/>
    <w:lvl w:ilvl="0" w:tplc="42D42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8CB4F"/>
    <w:multiLevelType w:val="hybridMultilevel"/>
    <w:tmpl w:val="1E5ABED2"/>
    <w:lvl w:ilvl="0" w:tplc="2D22C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2EF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6C5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940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E664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7458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22D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E63D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F5F34"/>
    <w:multiLevelType w:val="hybridMultilevel"/>
    <w:tmpl w:val="1A3831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A1F2A"/>
    <w:multiLevelType w:val="hybridMultilevel"/>
    <w:tmpl w:val="27C29A0C"/>
    <w:lvl w:ilvl="0" w:tplc="459CF57A">
      <w:numFmt w:val="bullet"/>
      <w:lvlText w:val=""/>
      <w:lvlJc w:val="left"/>
      <w:pPr>
        <w:ind w:left="502" w:hanging="360"/>
      </w:pPr>
      <w:rPr>
        <w:rFonts w:ascii="Symbol" w:eastAsiaTheme="minorHAnsi" w:hAnsi="Symbol" w:cs="Calibri" w:hint="default"/>
      </w:rPr>
    </w:lvl>
    <w:lvl w:ilvl="1" w:tplc="0C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74FB7"/>
    <w:multiLevelType w:val="hybridMultilevel"/>
    <w:tmpl w:val="C7C42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00274"/>
    <w:multiLevelType w:val="hybridMultilevel"/>
    <w:tmpl w:val="B33E08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17DBE"/>
    <w:multiLevelType w:val="multilevel"/>
    <w:tmpl w:val="0638DD0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AE15C7D"/>
    <w:multiLevelType w:val="hybridMultilevel"/>
    <w:tmpl w:val="9224E0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839079">
    <w:abstractNumId w:val="2"/>
  </w:num>
  <w:num w:numId="2" w16cid:durableId="15623311">
    <w:abstractNumId w:val="5"/>
  </w:num>
  <w:num w:numId="3" w16cid:durableId="1770277810">
    <w:abstractNumId w:val="3"/>
  </w:num>
  <w:num w:numId="4" w16cid:durableId="1240362585">
    <w:abstractNumId w:val="7"/>
  </w:num>
  <w:num w:numId="5" w16cid:durableId="204366993">
    <w:abstractNumId w:val="3"/>
  </w:num>
  <w:num w:numId="6" w16cid:durableId="782921670">
    <w:abstractNumId w:val="6"/>
  </w:num>
  <w:num w:numId="7" w16cid:durableId="1854299765">
    <w:abstractNumId w:val="8"/>
  </w:num>
  <w:num w:numId="8" w16cid:durableId="904339343">
    <w:abstractNumId w:val="9"/>
  </w:num>
  <w:num w:numId="9" w16cid:durableId="142940217">
    <w:abstractNumId w:val="11"/>
  </w:num>
  <w:num w:numId="10" w16cid:durableId="1904290582">
    <w:abstractNumId w:val="1"/>
  </w:num>
  <w:num w:numId="11" w16cid:durableId="1215123301">
    <w:abstractNumId w:val="10"/>
  </w:num>
  <w:num w:numId="12" w16cid:durableId="1164321646">
    <w:abstractNumId w:val="4"/>
  </w:num>
  <w:num w:numId="13" w16cid:durableId="1071346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2C"/>
    <w:rsid w:val="0005477B"/>
    <w:rsid w:val="00066C36"/>
    <w:rsid w:val="00086F58"/>
    <w:rsid w:val="000E22B4"/>
    <w:rsid w:val="000F259A"/>
    <w:rsid w:val="000F40C7"/>
    <w:rsid w:val="00110014"/>
    <w:rsid w:val="00112945"/>
    <w:rsid w:val="0011746B"/>
    <w:rsid w:val="001319F4"/>
    <w:rsid w:val="00141495"/>
    <w:rsid w:val="00141781"/>
    <w:rsid w:val="00143E2C"/>
    <w:rsid w:val="0019487D"/>
    <w:rsid w:val="001A7CCA"/>
    <w:rsid w:val="001F553D"/>
    <w:rsid w:val="00224210"/>
    <w:rsid w:val="002267A1"/>
    <w:rsid w:val="00232C00"/>
    <w:rsid w:val="00257789"/>
    <w:rsid w:val="00260A27"/>
    <w:rsid w:val="0029526B"/>
    <w:rsid w:val="00295A95"/>
    <w:rsid w:val="002C3807"/>
    <w:rsid w:val="002C7CEA"/>
    <w:rsid w:val="002D54CE"/>
    <w:rsid w:val="0030155B"/>
    <w:rsid w:val="00314A9D"/>
    <w:rsid w:val="003532A3"/>
    <w:rsid w:val="00362539"/>
    <w:rsid w:val="00383268"/>
    <w:rsid w:val="00384EA7"/>
    <w:rsid w:val="003A5D3B"/>
    <w:rsid w:val="003A7ED1"/>
    <w:rsid w:val="003B1EDA"/>
    <w:rsid w:val="003B44F1"/>
    <w:rsid w:val="003C2B15"/>
    <w:rsid w:val="003E2038"/>
    <w:rsid w:val="00405262"/>
    <w:rsid w:val="00414F4E"/>
    <w:rsid w:val="004254BF"/>
    <w:rsid w:val="0044095E"/>
    <w:rsid w:val="00462AE3"/>
    <w:rsid w:val="00466CDD"/>
    <w:rsid w:val="00473D79"/>
    <w:rsid w:val="00491B92"/>
    <w:rsid w:val="004A6182"/>
    <w:rsid w:val="004B4FE5"/>
    <w:rsid w:val="004C67FF"/>
    <w:rsid w:val="004F5988"/>
    <w:rsid w:val="005120DE"/>
    <w:rsid w:val="00531C05"/>
    <w:rsid w:val="00573455"/>
    <w:rsid w:val="00574E10"/>
    <w:rsid w:val="00585710"/>
    <w:rsid w:val="005A2022"/>
    <w:rsid w:val="005D64C0"/>
    <w:rsid w:val="005E1555"/>
    <w:rsid w:val="005E2CAE"/>
    <w:rsid w:val="00604E0D"/>
    <w:rsid w:val="006247D9"/>
    <w:rsid w:val="006362D2"/>
    <w:rsid w:val="00650183"/>
    <w:rsid w:val="00690FC4"/>
    <w:rsid w:val="006C132C"/>
    <w:rsid w:val="006C5E2A"/>
    <w:rsid w:val="006D541D"/>
    <w:rsid w:val="006E3BD9"/>
    <w:rsid w:val="006F0ADF"/>
    <w:rsid w:val="0071078A"/>
    <w:rsid w:val="0071369D"/>
    <w:rsid w:val="00717B81"/>
    <w:rsid w:val="007259D1"/>
    <w:rsid w:val="00772305"/>
    <w:rsid w:val="007A7513"/>
    <w:rsid w:val="007D2588"/>
    <w:rsid w:val="00801D99"/>
    <w:rsid w:val="0081484C"/>
    <w:rsid w:val="008169FD"/>
    <w:rsid w:val="008177CF"/>
    <w:rsid w:val="00817AB9"/>
    <w:rsid w:val="00834E32"/>
    <w:rsid w:val="00845BF6"/>
    <w:rsid w:val="008525E4"/>
    <w:rsid w:val="00853F84"/>
    <w:rsid w:val="00854364"/>
    <w:rsid w:val="0088010F"/>
    <w:rsid w:val="00880E9D"/>
    <w:rsid w:val="00885605"/>
    <w:rsid w:val="008914BC"/>
    <w:rsid w:val="0089290A"/>
    <w:rsid w:val="008D4500"/>
    <w:rsid w:val="008E1F0F"/>
    <w:rsid w:val="00916282"/>
    <w:rsid w:val="00923D33"/>
    <w:rsid w:val="009319FE"/>
    <w:rsid w:val="00953347"/>
    <w:rsid w:val="00957805"/>
    <w:rsid w:val="00A00662"/>
    <w:rsid w:val="00A15C20"/>
    <w:rsid w:val="00A54856"/>
    <w:rsid w:val="00A93BDB"/>
    <w:rsid w:val="00AB7470"/>
    <w:rsid w:val="00AF1CCC"/>
    <w:rsid w:val="00AF575B"/>
    <w:rsid w:val="00B1747B"/>
    <w:rsid w:val="00B53885"/>
    <w:rsid w:val="00B65874"/>
    <w:rsid w:val="00B710EB"/>
    <w:rsid w:val="00B82D2A"/>
    <w:rsid w:val="00B85C31"/>
    <w:rsid w:val="00BA6025"/>
    <w:rsid w:val="00BB6BFD"/>
    <w:rsid w:val="00C209D6"/>
    <w:rsid w:val="00C21936"/>
    <w:rsid w:val="00C27739"/>
    <w:rsid w:val="00C3042E"/>
    <w:rsid w:val="00C337E0"/>
    <w:rsid w:val="00C4266D"/>
    <w:rsid w:val="00C55632"/>
    <w:rsid w:val="00C57643"/>
    <w:rsid w:val="00C6570C"/>
    <w:rsid w:val="00CE1849"/>
    <w:rsid w:val="00CF1A73"/>
    <w:rsid w:val="00D019B3"/>
    <w:rsid w:val="00D34459"/>
    <w:rsid w:val="00D3540D"/>
    <w:rsid w:val="00D57D71"/>
    <w:rsid w:val="00DA1ACA"/>
    <w:rsid w:val="00DA77B3"/>
    <w:rsid w:val="00DB4EB9"/>
    <w:rsid w:val="00DC0465"/>
    <w:rsid w:val="00DC5474"/>
    <w:rsid w:val="00DF1245"/>
    <w:rsid w:val="00E15847"/>
    <w:rsid w:val="00E23606"/>
    <w:rsid w:val="00E25EB3"/>
    <w:rsid w:val="00E526DB"/>
    <w:rsid w:val="00E67430"/>
    <w:rsid w:val="00E94479"/>
    <w:rsid w:val="00EC55AD"/>
    <w:rsid w:val="00EE483E"/>
    <w:rsid w:val="00EF703D"/>
    <w:rsid w:val="00F24F7C"/>
    <w:rsid w:val="00F51735"/>
    <w:rsid w:val="00F63689"/>
    <w:rsid w:val="00F700CA"/>
    <w:rsid w:val="00F75EE2"/>
    <w:rsid w:val="00F806C8"/>
    <w:rsid w:val="00FB140A"/>
    <w:rsid w:val="00FB3992"/>
    <w:rsid w:val="00FE096A"/>
    <w:rsid w:val="010CB8B7"/>
    <w:rsid w:val="02E0BC28"/>
    <w:rsid w:val="0339CAF2"/>
    <w:rsid w:val="0371C90E"/>
    <w:rsid w:val="03A2DF98"/>
    <w:rsid w:val="03DA6D03"/>
    <w:rsid w:val="03E7B4F9"/>
    <w:rsid w:val="0406E4D2"/>
    <w:rsid w:val="05358E4A"/>
    <w:rsid w:val="05602579"/>
    <w:rsid w:val="06BC866E"/>
    <w:rsid w:val="07315417"/>
    <w:rsid w:val="07D2683E"/>
    <w:rsid w:val="07F130BE"/>
    <w:rsid w:val="0845DACA"/>
    <w:rsid w:val="08C7C655"/>
    <w:rsid w:val="08C854C7"/>
    <w:rsid w:val="09333FDA"/>
    <w:rsid w:val="09423F78"/>
    <w:rsid w:val="096B9CBB"/>
    <w:rsid w:val="09EA7251"/>
    <w:rsid w:val="0A0FB1FC"/>
    <w:rsid w:val="0AA1F6ED"/>
    <w:rsid w:val="0AE1876D"/>
    <w:rsid w:val="0B0C6045"/>
    <w:rsid w:val="0B29B0DC"/>
    <w:rsid w:val="0BC7CC5F"/>
    <w:rsid w:val="0C45A92C"/>
    <w:rsid w:val="0C7540B8"/>
    <w:rsid w:val="0CCEFDFC"/>
    <w:rsid w:val="0CFF1E5A"/>
    <w:rsid w:val="0DE249F6"/>
    <w:rsid w:val="0E719CAD"/>
    <w:rsid w:val="0EA1C885"/>
    <w:rsid w:val="0EFF8096"/>
    <w:rsid w:val="0F3F1D6F"/>
    <w:rsid w:val="0F42F705"/>
    <w:rsid w:val="122F10E2"/>
    <w:rsid w:val="1325AD2F"/>
    <w:rsid w:val="13450A8C"/>
    <w:rsid w:val="135D4DC6"/>
    <w:rsid w:val="14C419DE"/>
    <w:rsid w:val="14F526D9"/>
    <w:rsid w:val="1535F95B"/>
    <w:rsid w:val="156CAB39"/>
    <w:rsid w:val="15732CC4"/>
    <w:rsid w:val="16EFBDBE"/>
    <w:rsid w:val="1879060C"/>
    <w:rsid w:val="18841B45"/>
    <w:rsid w:val="1926B3D7"/>
    <w:rsid w:val="196B8878"/>
    <w:rsid w:val="19C2D84A"/>
    <w:rsid w:val="1A929107"/>
    <w:rsid w:val="1A981229"/>
    <w:rsid w:val="1AD1D60E"/>
    <w:rsid w:val="1AD3577D"/>
    <w:rsid w:val="1BBE48FC"/>
    <w:rsid w:val="1BE60574"/>
    <w:rsid w:val="1C468348"/>
    <w:rsid w:val="1D795044"/>
    <w:rsid w:val="1DCB2803"/>
    <w:rsid w:val="1E331F5F"/>
    <w:rsid w:val="1E9B0612"/>
    <w:rsid w:val="1EC5D5F9"/>
    <w:rsid w:val="1F1C7D66"/>
    <w:rsid w:val="203FA3F7"/>
    <w:rsid w:val="204DC2EC"/>
    <w:rsid w:val="20DF111C"/>
    <w:rsid w:val="2211D5AE"/>
    <w:rsid w:val="22EE98BA"/>
    <w:rsid w:val="230C301B"/>
    <w:rsid w:val="245B00DD"/>
    <w:rsid w:val="2460FA97"/>
    <w:rsid w:val="2471EEDC"/>
    <w:rsid w:val="2490CF7B"/>
    <w:rsid w:val="2492342C"/>
    <w:rsid w:val="252B3F25"/>
    <w:rsid w:val="25F3A74B"/>
    <w:rsid w:val="272334DE"/>
    <w:rsid w:val="2775CC07"/>
    <w:rsid w:val="27F0F032"/>
    <w:rsid w:val="297FA296"/>
    <w:rsid w:val="2A9C1B61"/>
    <w:rsid w:val="2B6A7943"/>
    <w:rsid w:val="2BA64DAC"/>
    <w:rsid w:val="2BCCB8B5"/>
    <w:rsid w:val="2C1786B0"/>
    <w:rsid w:val="2C2D8894"/>
    <w:rsid w:val="2D16A502"/>
    <w:rsid w:val="2D173861"/>
    <w:rsid w:val="2D6061F2"/>
    <w:rsid w:val="2D695659"/>
    <w:rsid w:val="2D743E50"/>
    <w:rsid w:val="2D7A008F"/>
    <w:rsid w:val="2D82F15A"/>
    <w:rsid w:val="2E7FB567"/>
    <w:rsid w:val="2EC08E1B"/>
    <w:rsid w:val="2F1B5927"/>
    <w:rsid w:val="300D972A"/>
    <w:rsid w:val="309748E1"/>
    <w:rsid w:val="310A5764"/>
    <w:rsid w:val="31897027"/>
    <w:rsid w:val="31E5DE91"/>
    <w:rsid w:val="32E20FE3"/>
    <w:rsid w:val="33960723"/>
    <w:rsid w:val="34D49FA5"/>
    <w:rsid w:val="354CCC9C"/>
    <w:rsid w:val="35C9C8BB"/>
    <w:rsid w:val="360E5651"/>
    <w:rsid w:val="36290217"/>
    <w:rsid w:val="3654A610"/>
    <w:rsid w:val="36993B22"/>
    <w:rsid w:val="36C800A3"/>
    <w:rsid w:val="36D75669"/>
    <w:rsid w:val="37FCEA5B"/>
    <w:rsid w:val="38352D70"/>
    <w:rsid w:val="385449E4"/>
    <w:rsid w:val="386BCA84"/>
    <w:rsid w:val="39D85DA0"/>
    <w:rsid w:val="3ABEB34E"/>
    <w:rsid w:val="3AEE6DB2"/>
    <w:rsid w:val="3B585AF1"/>
    <w:rsid w:val="3DEC4CDE"/>
    <w:rsid w:val="3E1806C0"/>
    <w:rsid w:val="3E53EA6F"/>
    <w:rsid w:val="3E549B74"/>
    <w:rsid w:val="3F5F0EB9"/>
    <w:rsid w:val="4004277B"/>
    <w:rsid w:val="406E33D7"/>
    <w:rsid w:val="40931C5F"/>
    <w:rsid w:val="4167EF5B"/>
    <w:rsid w:val="41C25301"/>
    <w:rsid w:val="4252101C"/>
    <w:rsid w:val="42A5C85E"/>
    <w:rsid w:val="42DFEFDE"/>
    <w:rsid w:val="43C84119"/>
    <w:rsid w:val="43F9BB50"/>
    <w:rsid w:val="4403FFD3"/>
    <w:rsid w:val="44561557"/>
    <w:rsid w:val="44AE7D61"/>
    <w:rsid w:val="44C6063B"/>
    <w:rsid w:val="44D41D53"/>
    <w:rsid w:val="4528D48A"/>
    <w:rsid w:val="454BEFA9"/>
    <w:rsid w:val="4571F037"/>
    <w:rsid w:val="458BA59E"/>
    <w:rsid w:val="45D30D8F"/>
    <w:rsid w:val="47669953"/>
    <w:rsid w:val="47E1B66D"/>
    <w:rsid w:val="49712BB8"/>
    <w:rsid w:val="49E8CABA"/>
    <w:rsid w:val="49F409F5"/>
    <w:rsid w:val="4A54B266"/>
    <w:rsid w:val="4BAAF0AF"/>
    <w:rsid w:val="4C15AD1E"/>
    <w:rsid w:val="4C4E7B12"/>
    <w:rsid w:val="4CC28EC2"/>
    <w:rsid w:val="4CD738B9"/>
    <w:rsid w:val="4D415786"/>
    <w:rsid w:val="4DE03A5A"/>
    <w:rsid w:val="4E6BABA0"/>
    <w:rsid w:val="4F3BAEE9"/>
    <w:rsid w:val="4FFFF696"/>
    <w:rsid w:val="50F42EF0"/>
    <w:rsid w:val="513D9111"/>
    <w:rsid w:val="514DEC74"/>
    <w:rsid w:val="51AA45D4"/>
    <w:rsid w:val="51E8215D"/>
    <w:rsid w:val="525EB74C"/>
    <w:rsid w:val="526DAA2E"/>
    <w:rsid w:val="528689EB"/>
    <w:rsid w:val="52B2540A"/>
    <w:rsid w:val="533A0A06"/>
    <w:rsid w:val="536FB825"/>
    <w:rsid w:val="538519BF"/>
    <w:rsid w:val="53F4F823"/>
    <w:rsid w:val="5431A0B9"/>
    <w:rsid w:val="550F0A61"/>
    <w:rsid w:val="5601E46B"/>
    <w:rsid w:val="563D17F2"/>
    <w:rsid w:val="576502D1"/>
    <w:rsid w:val="57784209"/>
    <w:rsid w:val="57A97263"/>
    <w:rsid w:val="57EC3D4A"/>
    <w:rsid w:val="5802DBFE"/>
    <w:rsid w:val="5825B800"/>
    <w:rsid w:val="583D8E55"/>
    <w:rsid w:val="59E01287"/>
    <w:rsid w:val="5A1B3263"/>
    <w:rsid w:val="5B06BF03"/>
    <w:rsid w:val="5B85547E"/>
    <w:rsid w:val="5B8B5947"/>
    <w:rsid w:val="5B8C13B2"/>
    <w:rsid w:val="5BCF9FF2"/>
    <w:rsid w:val="5D2B6C58"/>
    <w:rsid w:val="5DC21A89"/>
    <w:rsid w:val="5EA36857"/>
    <w:rsid w:val="5F89C666"/>
    <w:rsid w:val="5FD7B5A2"/>
    <w:rsid w:val="5FD7DC24"/>
    <w:rsid w:val="60271B5B"/>
    <w:rsid w:val="6126C23E"/>
    <w:rsid w:val="61801860"/>
    <w:rsid w:val="61A1D62E"/>
    <w:rsid w:val="61BB7CF1"/>
    <w:rsid w:val="61E22C1C"/>
    <w:rsid w:val="63C9101D"/>
    <w:rsid w:val="641C62DD"/>
    <w:rsid w:val="66FB073A"/>
    <w:rsid w:val="67382D45"/>
    <w:rsid w:val="67911DA0"/>
    <w:rsid w:val="68402493"/>
    <w:rsid w:val="688E3B89"/>
    <w:rsid w:val="68C93CA9"/>
    <w:rsid w:val="6B2A549C"/>
    <w:rsid w:val="6B4AF15F"/>
    <w:rsid w:val="6C2B6E59"/>
    <w:rsid w:val="6C5C3038"/>
    <w:rsid w:val="6CE6A5F5"/>
    <w:rsid w:val="6D2178A4"/>
    <w:rsid w:val="6D60794A"/>
    <w:rsid w:val="6F2E1C81"/>
    <w:rsid w:val="6F8218AA"/>
    <w:rsid w:val="6FA8B710"/>
    <w:rsid w:val="71EE600F"/>
    <w:rsid w:val="72087623"/>
    <w:rsid w:val="72E5907F"/>
    <w:rsid w:val="759C9357"/>
    <w:rsid w:val="760E9F3B"/>
    <w:rsid w:val="770305EF"/>
    <w:rsid w:val="77B5ECD1"/>
    <w:rsid w:val="799FE4E9"/>
    <w:rsid w:val="7B77F39D"/>
    <w:rsid w:val="7C88681B"/>
    <w:rsid w:val="7D6DC16F"/>
    <w:rsid w:val="7DA70DEA"/>
    <w:rsid w:val="7DED887E"/>
    <w:rsid w:val="7E2B2D39"/>
    <w:rsid w:val="7E2FC35B"/>
    <w:rsid w:val="7E6D6C31"/>
    <w:rsid w:val="7F7EF10F"/>
    <w:rsid w:val="7FBDF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50A17"/>
  <w15:chartTrackingRefBased/>
  <w15:docId w15:val="{B4EB0F41-AC2A-4BAC-ABAA-C54C3C25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66D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3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266D"/>
    <w:pPr>
      <w:keepNext/>
      <w:keepLines/>
      <w:spacing w:before="40" w:after="40"/>
      <w:outlineLvl w:val="1"/>
    </w:pPr>
    <w:rPr>
      <w:rFonts w:eastAsiaTheme="majorEastAsia" w:cstheme="majorBidi"/>
      <w:b/>
      <w:color w:val="0F4761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13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13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13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3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3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3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3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3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4266D"/>
    <w:rPr>
      <w:rFonts w:ascii="Calibri" w:eastAsiaTheme="majorEastAsia" w:hAnsi="Calibri" w:cstheme="majorBidi"/>
      <w:b/>
      <w:color w:val="0F4761" w:themeColor="accent1" w:themeShade="BF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13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3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3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3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3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3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3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266D"/>
    <w:pPr>
      <w:jc w:val="center"/>
    </w:pPr>
    <w:rPr>
      <w:rFonts w:cs="Calibri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4266D"/>
    <w:rPr>
      <w:rFonts w:ascii="Calibri" w:hAnsi="Calibri" w:cs="Calibri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266D"/>
    <w:pPr>
      <w:pBdr>
        <w:bottom w:val="single" w:sz="4" w:space="1" w:color="auto"/>
      </w:pBdr>
      <w:spacing w:after="0"/>
      <w:jc w:val="center"/>
    </w:pPr>
    <w:rPr>
      <w:rFonts w:cs="Calibri"/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C4266D"/>
    <w:rPr>
      <w:rFonts w:ascii="Calibri" w:hAnsi="Calibri" w:cs="Calibri"/>
      <w:b/>
    </w:rPr>
  </w:style>
  <w:style w:type="paragraph" w:styleId="Quote">
    <w:name w:val="Quote"/>
    <w:basedOn w:val="Normal"/>
    <w:next w:val="Normal"/>
    <w:link w:val="QuoteChar"/>
    <w:uiPriority w:val="29"/>
    <w:qFormat/>
    <w:rsid w:val="006C1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132C"/>
    <w:rPr>
      <w:i/>
      <w:iCs/>
      <w:color w:val="404040" w:themeColor="text1" w:themeTint="BF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6C13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13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3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3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132C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71078A"/>
  </w:style>
  <w:style w:type="paragraph" w:styleId="Header">
    <w:name w:val="header"/>
    <w:basedOn w:val="Normal"/>
    <w:link w:val="HeaderChar"/>
    <w:uiPriority w:val="99"/>
    <w:unhideWhenUsed/>
    <w:rsid w:val="000547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77B"/>
  </w:style>
  <w:style w:type="paragraph" w:styleId="Footer">
    <w:name w:val="footer"/>
    <w:basedOn w:val="Normal"/>
    <w:link w:val="FooterChar"/>
    <w:uiPriority w:val="99"/>
    <w:unhideWhenUsed/>
    <w:rsid w:val="000547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77B"/>
  </w:style>
  <w:style w:type="paragraph" w:styleId="BodyText">
    <w:name w:val="Body Text"/>
    <w:basedOn w:val="Normal"/>
    <w:link w:val="BodyTextChar"/>
    <w:qFormat/>
    <w:rsid w:val="0005477B"/>
    <w:pPr>
      <w:spacing w:before="120" w:after="120" w:line="280" w:lineRule="atLeast"/>
    </w:pPr>
    <w:rPr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05477B"/>
    <w:rPr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05477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77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0547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477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5477B"/>
    <w:rPr>
      <w:sz w:val="16"/>
      <w:szCs w:val="16"/>
    </w:rPr>
  </w:style>
  <w:style w:type="paragraph" w:styleId="Revision">
    <w:name w:val="Revision"/>
    <w:hidden/>
    <w:uiPriority w:val="99"/>
    <w:semiHidden/>
    <w:rsid w:val="0005477B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4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1495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426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1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ocial.desa.un.org/issues/indigenous-peoples/united-nations-declaration-on-the-rights-of-indigenous-people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health.gov.au/resources/publications/national-aboriginal-and-torres-strait-islander-health-workforce-strategic-framework-and-implementation-plan-2021-2031?language=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alth.gov.au/resources/publications/national-aboriginal-and-torres-strait-islander-health-plan-2021-2031?language=en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closingthegap.gov.au/national-agreement/national-agreement-closing-the-gap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5" ma:contentTypeDescription="Create a new document." ma:contentTypeScope="" ma:versionID="0d0ce634d8e1debb2709750e2f619630">
  <xsd:schema xmlns:xsd="http://www.w3.org/2001/XMLSchema" xmlns:xs="http://www.w3.org/2001/XMLSchema" xmlns:p="http://schemas.microsoft.com/office/2006/metadata/properties" xmlns:ns2="b8d296df-c91f-46ec-882c-a5f320b081a8" xmlns:ns3="2c0b4a26-a0a6-442a-a800-f5fe1d9f3f5b" targetNamespace="http://schemas.microsoft.com/office/2006/metadata/properties" ma:root="true" ma:fieldsID="e4464d0e4fe38c2d88082e2b55858126" ns2:_="" ns3:_="">
    <xsd:import namespace="b8d296df-c91f-46ec-882c-a5f320b081a8"/>
    <xsd:import namespace="2c0b4a26-a0a6-442a-a800-f5fe1d9f3f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361db0a-280d-446f-bede-925ac9fb4603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A13731-B3E1-4DFA-BC10-571231A0F9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8135D5-972E-4B8E-9ADD-C352F320EC8D}">
  <ds:schemaRefs>
    <ds:schemaRef ds:uri="http://schemas.microsoft.com/office/2006/documentManagement/types"/>
    <ds:schemaRef ds:uri="http://purl.org/dc/terms/"/>
    <ds:schemaRef ds:uri="b8d296df-c91f-46ec-882c-a5f320b081a8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2c0b4a26-a0a6-442a-a800-f5fe1d9f3f5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A8C33BA-5A58-4BB4-BBE7-A991E4447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296df-c91f-46ec-882c-a5f320b081a8"/>
    <ds:schemaRef ds:uri="2c0b4a26-a0a6-442a-a800-f5fe1d9f3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Nations Health Governance Group (FNHGG) communique – December 2024</dc:title>
  <dc:subject>Aboriginal and Torres Strait Islander health</dc:subject>
  <dc:creator>Australian Government Department of Health and Aged Care</dc:creator>
  <cp:keywords>First Nations Health Governance Group</cp:keywords>
  <dc:description/>
  <cp:revision>2</cp:revision>
  <dcterms:created xsi:type="dcterms:W3CDTF">2025-04-23T23:15:00Z</dcterms:created>
  <dcterms:modified xsi:type="dcterms:W3CDTF">2025-04-23T23:15:00Z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0x010100CEAD95CDC3CF6F4BB024108E1E74F34E</vt:lpwstr>
  </property>
</Properties>
</file>