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18CD9" w14:textId="77777777" w:rsidR="00D85658" w:rsidRDefault="00167569">
      <w:pPr>
        <w:pStyle w:val="Title"/>
      </w:pPr>
      <w:r>
        <w:t>Australian Respiratory Surveillance Report</w:t>
      </w:r>
    </w:p>
    <w:p w14:paraId="34C552F3" w14:textId="77777777" w:rsidR="00D85658" w:rsidRDefault="00167569">
      <w:r>
        <w:br w:type="page"/>
      </w:r>
    </w:p>
    <w:p w14:paraId="110C0055" w14:textId="77777777" w:rsidR="00D85658" w:rsidRDefault="00167569">
      <w:pPr>
        <w:pStyle w:val="Heading1"/>
      </w:pPr>
      <w:bookmarkStart w:id="0" w:name="key-messages"/>
      <w:r>
        <w:lastRenderedPageBreak/>
        <w:t>Key messages</w:t>
      </w:r>
    </w:p>
    <w:p w14:paraId="14757E5F" w14:textId="6CC6A292" w:rsidR="00D85658" w:rsidRDefault="00167569">
      <w:r>
        <w:t xml:space="preserve">This report presents a national epidemiological update for </w:t>
      </w:r>
      <w:r w:rsidR="00DB683B">
        <w:t xml:space="preserve">acute respiratory infections, including </w:t>
      </w:r>
      <w:r>
        <w:t>coronavirus disease 2019 (COVID-19), influenza and respiratory syncytial virus (RSV)</w:t>
      </w:r>
      <w:r w:rsidR="703EBBB8">
        <w:t>,</w:t>
      </w:r>
      <w:r>
        <w:t xml:space="preserve"> with a focus on the current reporting period (30 December </w:t>
      </w:r>
      <w:r w:rsidR="00E71BE4">
        <w:t xml:space="preserve">2024 </w:t>
      </w:r>
      <w:r>
        <w:t>to 26 January 2025) and earlier severity reporting periods (up to 12 January 2025).</w:t>
      </w:r>
    </w:p>
    <w:p w14:paraId="6367FA29" w14:textId="7FC95213" w:rsidR="005D30B1" w:rsidRDefault="00167569">
      <w:pPr>
        <w:pStyle w:val="Boxtype"/>
        <w:rPr>
          <w:lang w:val="en-US"/>
        </w:rPr>
      </w:pPr>
      <w:r w:rsidRPr="14B21061">
        <w:rPr>
          <w:b/>
          <w:bCs/>
          <w:lang w:val="en-US"/>
        </w:rPr>
        <w:t>In the community:</w:t>
      </w:r>
      <w:r w:rsidRPr="14B21061">
        <w:rPr>
          <w:lang w:val="en-US"/>
        </w:rPr>
        <w:t xml:space="preserve"> Respiratory illness activity (self-reported new fever and cough symptoms) is currently lower than observed </w:t>
      </w:r>
      <w:r w:rsidR="00685DFA" w:rsidRPr="14B21061">
        <w:rPr>
          <w:lang w:val="en-US"/>
        </w:rPr>
        <w:t>at</w:t>
      </w:r>
      <w:r w:rsidRPr="14B21061">
        <w:rPr>
          <w:lang w:val="en-US"/>
        </w:rPr>
        <w:t xml:space="preserve"> the same </w:t>
      </w:r>
      <w:r w:rsidR="00685DFA" w:rsidRPr="14B21061">
        <w:rPr>
          <w:lang w:val="en-US"/>
        </w:rPr>
        <w:t>time</w:t>
      </w:r>
      <w:r w:rsidRPr="14B21061">
        <w:rPr>
          <w:lang w:val="en-US"/>
        </w:rPr>
        <w:t xml:space="preserve"> in previous years. Fewer people reported taking time off work due to respiratory illness (self-reported new fever and cough symptoms) </w:t>
      </w:r>
      <w:r w:rsidR="00685DFA" w:rsidRPr="14B21061">
        <w:rPr>
          <w:lang w:val="en-US"/>
        </w:rPr>
        <w:t>this</w:t>
      </w:r>
      <w:r w:rsidRPr="14B21061">
        <w:rPr>
          <w:lang w:val="en-US"/>
        </w:rPr>
        <w:t xml:space="preserve"> month, compared with the previous month. </w:t>
      </w:r>
      <w:r w:rsidR="00EC2327" w:rsidRPr="14B21061">
        <w:rPr>
          <w:lang w:val="en-US"/>
        </w:rPr>
        <w:t xml:space="preserve">This month the number of COVID-19 cases </w:t>
      </w:r>
      <w:r w:rsidR="00EC2327" w:rsidRPr="77E573C6">
        <w:rPr>
          <w:lang w:val="en-US"/>
        </w:rPr>
        <w:t>remain</w:t>
      </w:r>
      <w:r w:rsidR="59523D84" w:rsidRPr="77E573C6">
        <w:rPr>
          <w:lang w:val="en-US"/>
        </w:rPr>
        <w:t>s</w:t>
      </w:r>
      <w:r w:rsidR="00EC2327" w:rsidRPr="14B21061">
        <w:rPr>
          <w:lang w:val="en-US"/>
        </w:rPr>
        <w:t xml:space="preserve"> low. </w:t>
      </w:r>
      <w:r w:rsidR="005D30B1" w:rsidRPr="14B21061">
        <w:rPr>
          <w:lang w:val="en-US"/>
        </w:rPr>
        <w:t xml:space="preserve">The number of influenza cases this month </w:t>
      </w:r>
      <w:r w:rsidR="74F66E24" w:rsidRPr="77E573C6">
        <w:rPr>
          <w:lang w:val="en-US"/>
        </w:rPr>
        <w:t>is</w:t>
      </w:r>
      <w:r w:rsidR="005D30B1" w:rsidRPr="14B21061">
        <w:rPr>
          <w:lang w:val="en-US"/>
        </w:rPr>
        <w:t xml:space="preserve"> slightly higher than the five-year average and the number of cases seen in the same period in previous years; however, </w:t>
      </w:r>
      <w:r w:rsidR="00EC2327" w:rsidRPr="14B21061">
        <w:rPr>
          <w:lang w:val="en-US"/>
        </w:rPr>
        <w:t xml:space="preserve">influenza </w:t>
      </w:r>
      <w:r w:rsidR="005D30B1" w:rsidRPr="14B21061">
        <w:rPr>
          <w:lang w:val="en-US"/>
        </w:rPr>
        <w:t>case numbers remain at low interseasonal levels</w:t>
      </w:r>
      <w:r w:rsidR="00EC2327" w:rsidRPr="14B21061">
        <w:rPr>
          <w:lang w:val="en-US"/>
        </w:rPr>
        <w:t xml:space="preserve">. This month, the number of RSV cases </w:t>
      </w:r>
      <w:r w:rsidR="00EC2327" w:rsidRPr="77E573C6">
        <w:rPr>
          <w:lang w:val="en-US"/>
        </w:rPr>
        <w:t>remain</w:t>
      </w:r>
      <w:r w:rsidR="2EB2A486" w:rsidRPr="77E573C6">
        <w:rPr>
          <w:lang w:val="en-US"/>
        </w:rPr>
        <w:t>s</w:t>
      </w:r>
      <w:r w:rsidR="00EC2327" w:rsidRPr="14B21061">
        <w:rPr>
          <w:lang w:val="en-US"/>
        </w:rPr>
        <w:t xml:space="preserve"> low and</w:t>
      </w:r>
      <w:r w:rsidR="00EC2327" w:rsidRPr="77E573C6">
        <w:rPr>
          <w:lang w:val="en-US"/>
        </w:rPr>
        <w:t xml:space="preserve"> </w:t>
      </w:r>
      <w:r w:rsidR="4CB8FE66" w:rsidRPr="77E573C6">
        <w:rPr>
          <w:lang w:val="en-US"/>
        </w:rPr>
        <w:t>is</w:t>
      </w:r>
      <w:r w:rsidR="00EC2327" w:rsidRPr="14B21061">
        <w:rPr>
          <w:lang w:val="en-US"/>
        </w:rPr>
        <w:t xml:space="preserve"> consistent with the number of cases seen in the same interseasonal period in previous years.</w:t>
      </w:r>
    </w:p>
    <w:p w14:paraId="7A7DAC8B" w14:textId="551E1511" w:rsidR="00D85658" w:rsidRDefault="005D30B1">
      <w:pPr>
        <w:pStyle w:val="Boxtype"/>
        <w:rPr>
          <w:lang w:val="en-US"/>
        </w:rPr>
      </w:pPr>
      <w:r w:rsidRPr="14B21061">
        <w:rPr>
          <w:b/>
          <w:bCs/>
          <w:lang w:val="en-US"/>
        </w:rPr>
        <w:t>In g</w:t>
      </w:r>
      <w:r w:rsidR="00167569" w:rsidRPr="14B21061">
        <w:rPr>
          <w:b/>
          <w:bCs/>
          <w:lang w:val="en-US"/>
        </w:rPr>
        <w:t>eneral practice</w:t>
      </w:r>
      <w:r w:rsidRPr="14B21061">
        <w:rPr>
          <w:b/>
          <w:bCs/>
          <w:lang w:val="en-US"/>
        </w:rPr>
        <w:t>:</w:t>
      </w:r>
      <w:r w:rsidR="00167569" w:rsidRPr="14B21061">
        <w:rPr>
          <w:lang w:val="en-US"/>
        </w:rPr>
        <w:t xml:space="preserve"> </w:t>
      </w:r>
      <w:r w:rsidR="00F55A3C" w:rsidRPr="14B21061">
        <w:rPr>
          <w:lang w:val="en-US"/>
        </w:rPr>
        <w:t xml:space="preserve">There were slightly fewer influenza-like-illness (new fever and cough symptoms) </w:t>
      </w:r>
      <w:r w:rsidR="00167569" w:rsidRPr="14B21061">
        <w:rPr>
          <w:lang w:val="en-US"/>
        </w:rPr>
        <w:t>consultation</w:t>
      </w:r>
      <w:r w:rsidR="00F55A3C" w:rsidRPr="14B21061">
        <w:rPr>
          <w:lang w:val="en-US"/>
        </w:rPr>
        <w:t xml:space="preserve">s </w:t>
      </w:r>
      <w:r w:rsidR="2A8C71C4" w:rsidRPr="77E573C6">
        <w:rPr>
          <w:lang w:val="en-US"/>
        </w:rPr>
        <w:t>in</w:t>
      </w:r>
      <w:r w:rsidR="00167569" w:rsidRPr="14B21061">
        <w:rPr>
          <w:lang w:val="en-US"/>
        </w:rPr>
        <w:t xml:space="preserve"> sentinel surveillance sites </w:t>
      </w:r>
      <w:r w:rsidR="00F55A3C" w:rsidRPr="14B21061">
        <w:rPr>
          <w:lang w:val="en-US"/>
        </w:rPr>
        <w:t>this</w:t>
      </w:r>
      <w:r w:rsidR="00167569" w:rsidRPr="14B21061">
        <w:rPr>
          <w:lang w:val="en-US"/>
        </w:rPr>
        <w:t xml:space="preserve"> month</w:t>
      </w:r>
      <w:r w:rsidR="00F55A3C" w:rsidRPr="14B21061">
        <w:rPr>
          <w:lang w:val="en-US"/>
        </w:rPr>
        <w:t xml:space="preserve">; however, </w:t>
      </w:r>
      <w:proofErr w:type="gramStart"/>
      <w:r w:rsidR="00F55A3C" w:rsidRPr="14B21061">
        <w:rPr>
          <w:lang w:val="en-US"/>
        </w:rPr>
        <w:t>similar to</w:t>
      </w:r>
      <w:proofErr w:type="gramEnd"/>
      <w:r w:rsidR="008C5881">
        <w:rPr>
          <w:lang w:val="en-US"/>
        </w:rPr>
        <w:t xml:space="preserve"> </w:t>
      </w:r>
      <w:r w:rsidR="00F55A3C" w:rsidRPr="14B21061">
        <w:rPr>
          <w:lang w:val="en-US"/>
        </w:rPr>
        <w:t>2024, influenza-like-illness rates</w:t>
      </w:r>
      <w:r w:rsidR="00C12E21" w:rsidRPr="14B21061">
        <w:rPr>
          <w:lang w:val="en-US"/>
        </w:rPr>
        <w:t xml:space="preserve"> this month</w:t>
      </w:r>
      <w:r w:rsidR="00F55A3C" w:rsidRPr="14B21061">
        <w:rPr>
          <w:lang w:val="en-US"/>
        </w:rPr>
        <w:t xml:space="preserve"> remain slightly higher than observed at the same time in previous years and </w:t>
      </w:r>
      <w:r w:rsidR="6C136A61" w:rsidRPr="77E573C6">
        <w:rPr>
          <w:lang w:val="en-US"/>
        </w:rPr>
        <w:t xml:space="preserve">than </w:t>
      </w:r>
      <w:r w:rsidR="00F55A3C" w:rsidRPr="14B21061">
        <w:rPr>
          <w:lang w:val="en-US"/>
        </w:rPr>
        <w:t xml:space="preserve">the five-year average. </w:t>
      </w:r>
      <w:r w:rsidR="00167569" w:rsidRPr="14B21061">
        <w:rPr>
          <w:lang w:val="en-US"/>
        </w:rPr>
        <w:t xml:space="preserve"> </w:t>
      </w:r>
    </w:p>
    <w:p w14:paraId="42514CE1" w14:textId="4F7329BC" w:rsidR="00D85658" w:rsidRDefault="00167569">
      <w:pPr>
        <w:pStyle w:val="Boxtype"/>
      </w:pPr>
      <w:r w:rsidRPr="14B21061">
        <w:rPr>
          <w:b/>
          <w:bCs/>
          <w:lang w:val="en-US"/>
        </w:rPr>
        <w:t>In hospitals:</w:t>
      </w:r>
      <w:r w:rsidRPr="14B21061">
        <w:rPr>
          <w:lang w:val="en-US"/>
        </w:rPr>
        <w:t xml:space="preserve"> </w:t>
      </w:r>
      <w:r w:rsidR="00BF2750" w:rsidRPr="14B21061">
        <w:rPr>
          <w:lang w:val="en-US"/>
        </w:rPr>
        <w:t>Sentinel hospital</w:t>
      </w:r>
      <w:r w:rsidR="000C7514" w:rsidRPr="14B21061">
        <w:rPr>
          <w:lang w:val="en-US"/>
        </w:rPr>
        <w:t>-based</w:t>
      </w:r>
      <w:r w:rsidR="00BF2750" w:rsidRPr="14B21061">
        <w:rPr>
          <w:lang w:val="en-US"/>
        </w:rPr>
        <w:t xml:space="preserve"> surveillance shows the proportion of patients with severe acute respiratory infections has remained low and stable this </w:t>
      </w:r>
      <w:r w:rsidR="0501038F" w:rsidRPr="77E573C6">
        <w:rPr>
          <w:lang w:val="en-US"/>
        </w:rPr>
        <w:t xml:space="preserve">severity reporting </w:t>
      </w:r>
      <w:r w:rsidR="291F4740" w:rsidRPr="77E573C6">
        <w:rPr>
          <w:lang w:val="en-US"/>
        </w:rPr>
        <w:t>period</w:t>
      </w:r>
      <w:r w:rsidR="00BF2750" w:rsidRPr="77E573C6">
        <w:rPr>
          <w:lang w:val="en-US"/>
        </w:rPr>
        <w:t>.</w:t>
      </w:r>
      <w:r w:rsidR="00BF2750" w:rsidRPr="14B21061">
        <w:rPr>
          <w:lang w:val="en-US"/>
        </w:rPr>
        <w:t xml:space="preserve"> Most patients were admitted with COVID-19. The length of hospital stay varies only slightly between illnesses.</w:t>
      </w:r>
      <w:r w:rsidRPr="14B21061">
        <w:rPr>
          <w:lang w:val="en-US"/>
        </w:rPr>
        <w:t xml:space="preserve"> The proportion of those patients with a severe acute respiratory infection who were admitted directly to </w:t>
      </w:r>
      <w:r w:rsidRPr="77E573C6">
        <w:rPr>
          <w:lang w:val="en-US"/>
        </w:rPr>
        <w:t>a</w:t>
      </w:r>
      <w:r w:rsidR="5971C996" w:rsidRPr="77E573C6">
        <w:rPr>
          <w:lang w:val="en-US"/>
        </w:rPr>
        <w:t xml:space="preserve"> sentinel </w:t>
      </w:r>
      <w:r w:rsidR="7E1C4E8F" w:rsidRPr="77E573C6">
        <w:rPr>
          <w:lang w:val="en-US"/>
        </w:rPr>
        <w:t>surveillance</w:t>
      </w:r>
      <w:r w:rsidRPr="14B21061">
        <w:rPr>
          <w:lang w:val="en-US"/>
        </w:rPr>
        <w:t xml:space="preserve"> intensive care has remained low. </w:t>
      </w:r>
      <w:r w:rsidR="006A3B06" w:rsidRPr="14B21061">
        <w:rPr>
          <w:lang w:val="en-US"/>
        </w:rPr>
        <w:t>More children (those aged 16 years and younger) were admitted with COVID-19 and influenza than with RSV at sentinel hospitals</w:t>
      </w:r>
      <w:r w:rsidR="00DA6F24" w:rsidRPr="14B21061">
        <w:rPr>
          <w:lang w:val="en-US"/>
        </w:rPr>
        <w:t>, while more adults were admitted with COVID-19 compared to influenza or RSV.</w:t>
      </w:r>
      <w:r w:rsidR="00194D86" w:rsidRPr="14B21061">
        <w:rPr>
          <w:lang w:val="en-US"/>
        </w:rPr>
        <w:t xml:space="preserve"> Sentinel intensive care surveillance shows the overall number of patients with severe acute respiratory infections has decreased. The duration of intensive care </w:t>
      </w:r>
      <w:r w:rsidR="00194D86" w:rsidRPr="77E573C6">
        <w:rPr>
          <w:lang w:val="en-US"/>
        </w:rPr>
        <w:t>varies</w:t>
      </w:r>
      <w:r w:rsidR="00194D86" w:rsidRPr="14B21061">
        <w:rPr>
          <w:lang w:val="en-US"/>
        </w:rPr>
        <w:t xml:space="preserve"> slightly between illnesses. </w:t>
      </w:r>
      <w:r w:rsidRPr="14B21061">
        <w:rPr>
          <w:lang w:val="en-US"/>
        </w:rPr>
        <w:t xml:space="preserve">The average number of COVID-19 cases </w:t>
      </w:r>
      <w:r w:rsidR="00194D86" w:rsidRPr="14B21061">
        <w:rPr>
          <w:lang w:val="en-US"/>
        </w:rPr>
        <w:t xml:space="preserve">in intensive care </w:t>
      </w:r>
      <w:r w:rsidRPr="14B21061">
        <w:rPr>
          <w:lang w:val="en-US"/>
        </w:rPr>
        <w:t>has increased this month</w:t>
      </w:r>
      <w:r w:rsidR="00194D86" w:rsidRPr="14B21061">
        <w:rPr>
          <w:lang w:val="en-US"/>
        </w:rPr>
        <w:t xml:space="preserve"> (though this may be driven by artefact</w:t>
      </w:r>
      <w:r w:rsidR="008F40AD">
        <w:rPr>
          <w:lang w:val="en-US"/>
        </w:rPr>
        <w:t>s, such as techn</w:t>
      </w:r>
      <w:r w:rsidR="00F2561C">
        <w:rPr>
          <w:lang w:val="en-US"/>
        </w:rPr>
        <w:t xml:space="preserve">ical issues </w:t>
      </w:r>
      <w:r w:rsidR="007004C5">
        <w:rPr>
          <w:lang w:val="en-US"/>
        </w:rPr>
        <w:t>leading to the under</w:t>
      </w:r>
      <w:r w:rsidR="00F2561C">
        <w:rPr>
          <w:lang w:val="en-US"/>
        </w:rPr>
        <w:t>reporting</w:t>
      </w:r>
      <w:r w:rsidR="007004C5">
        <w:rPr>
          <w:lang w:val="en-US"/>
        </w:rPr>
        <w:t xml:space="preserve"> of </w:t>
      </w:r>
      <w:r w:rsidR="00F2561C">
        <w:rPr>
          <w:lang w:val="en-US"/>
        </w:rPr>
        <w:t>case</w:t>
      </w:r>
      <w:r w:rsidR="007004C5">
        <w:rPr>
          <w:lang w:val="en-US"/>
        </w:rPr>
        <w:t xml:space="preserve"> number</w:t>
      </w:r>
      <w:r w:rsidR="00F2561C">
        <w:rPr>
          <w:lang w:val="en-US"/>
        </w:rPr>
        <w:t>s</w:t>
      </w:r>
      <w:r w:rsidR="00194D86" w:rsidRPr="14B21061">
        <w:rPr>
          <w:lang w:val="en-US"/>
        </w:rPr>
        <w:t>)</w:t>
      </w:r>
      <w:r w:rsidR="001C2350" w:rsidRPr="14B21061">
        <w:rPr>
          <w:lang w:val="en-US"/>
        </w:rPr>
        <w:t xml:space="preserve">, while the average number of intensive care staff unavailable due to COVID-19 illness or exposure </w:t>
      </w:r>
      <w:r w:rsidR="00194D86" w:rsidRPr="14B21061">
        <w:rPr>
          <w:lang w:val="en-US"/>
        </w:rPr>
        <w:t>has decreased</w:t>
      </w:r>
      <w:r w:rsidRPr="14B21061">
        <w:rPr>
          <w:lang w:val="en-US"/>
        </w:rPr>
        <w:t>.</w:t>
      </w:r>
      <w:r w:rsidR="00CC3485" w:rsidRPr="14B21061">
        <w:rPr>
          <w:lang w:val="en-US"/>
        </w:rPr>
        <w:t xml:space="preserve"> </w:t>
      </w:r>
    </w:p>
    <w:p w14:paraId="43FF1B4B" w14:textId="04F728AC" w:rsidR="00D85658" w:rsidRDefault="00167569" w:rsidP="007135B8">
      <w:pPr>
        <w:pStyle w:val="Boxtype"/>
      </w:pPr>
      <w:r>
        <w:rPr>
          <w:b/>
          <w:bCs/>
        </w:rPr>
        <w:t>Deaths:</w:t>
      </w:r>
      <w:r>
        <w:t xml:space="preserve"> </w:t>
      </w:r>
      <w:r w:rsidR="007135B8">
        <w:t>COVID-19 has been the leading cause of acute respiratory infection mortality across 2022-2024. All three acute respiratory infections (COVID-19, influenza and RSV) under surveillance are more likely to cause death in older age groups than younger age groups.</w:t>
      </w:r>
      <w:r w:rsidR="00CC1587">
        <w:t xml:space="preserve"> Please note, </w:t>
      </w:r>
      <w:r w:rsidR="0043336A">
        <w:t xml:space="preserve">the </w:t>
      </w:r>
      <w:r w:rsidR="00CC1587" w:rsidRPr="00CC1587">
        <w:rPr>
          <w:lang w:val="en-AU"/>
        </w:rPr>
        <w:t>Australian Bureau of Statistics acute respiratory infection mortality reporting provides data up to 30 November 2024</w:t>
      </w:r>
      <w:r w:rsidR="0043336A">
        <w:rPr>
          <w:lang w:val="en-AU"/>
        </w:rPr>
        <w:t xml:space="preserve"> only.</w:t>
      </w:r>
    </w:p>
    <w:p w14:paraId="2CC6F7FF" w14:textId="5DDBCA51" w:rsidR="00D85658" w:rsidRDefault="00167569" w:rsidP="006E79C7">
      <w:pPr>
        <w:pStyle w:val="Boxtype"/>
      </w:pPr>
      <w:r w:rsidRPr="14B21061">
        <w:rPr>
          <w:b/>
          <w:bCs/>
          <w:lang w:val="en-US"/>
        </w:rPr>
        <w:t>In laboratories:</w:t>
      </w:r>
      <w:r w:rsidRPr="14B21061">
        <w:rPr>
          <w:lang w:val="en-US"/>
        </w:rPr>
        <w:t xml:space="preserve"> </w:t>
      </w:r>
      <w:r w:rsidR="006423EF" w:rsidRPr="14B21061">
        <w:rPr>
          <w:lang w:val="en-US"/>
        </w:rPr>
        <w:t>Test positivity for SARS-CoV-2, influenza and RSV remained low and stable</w:t>
      </w:r>
      <w:r w:rsidR="75649D5B" w:rsidRPr="77E573C6">
        <w:rPr>
          <w:lang w:val="en-US"/>
        </w:rPr>
        <w:t xml:space="preserve"> this month</w:t>
      </w:r>
      <w:r w:rsidR="006423EF" w:rsidRPr="14B21061">
        <w:rPr>
          <w:lang w:val="en-US"/>
        </w:rPr>
        <w:t xml:space="preserve">, though a slight increase in influenza test positivity was </w:t>
      </w:r>
      <w:r w:rsidR="68E99935" w:rsidRPr="77E573C6">
        <w:rPr>
          <w:lang w:val="en-US"/>
        </w:rPr>
        <w:t>observed</w:t>
      </w:r>
      <w:r w:rsidR="006423EF" w:rsidRPr="77E573C6">
        <w:rPr>
          <w:lang w:val="en-US"/>
        </w:rPr>
        <w:t>.</w:t>
      </w:r>
      <w:r w:rsidR="006423EF" w:rsidRPr="14B21061">
        <w:rPr>
          <w:lang w:val="en-US"/>
        </w:rPr>
        <w:t xml:space="preserve"> </w:t>
      </w:r>
      <w:r w:rsidR="006E79C7" w:rsidRPr="14B21061">
        <w:rPr>
          <w:lang w:val="en-US"/>
        </w:rPr>
        <w:t xml:space="preserve">The recombinant lineage XEC is now the dominant SARS-CoV-2 variant in Australia, outnumbering JN.1 sub-lineage sequences for the first time. On 24 January 2025, the World Health Organization designated LP.8.1 as a variant under monitoring. There is currently limited information available about the risk posed by LP.8.1 as this variant is still being characterised. </w:t>
      </w:r>
      <w:r w:rsidR="0015403F" w:rsidRPr="14B21061">
        <w:rPr>
          <w:lang w:val="en-US"/>
        </w:rPr>
        <w:t>S</w:t>
      </w:r>
      <w:r w:rsidR="006E79C7" w:rsidRPr="14B21061">
        <w:rPr>
          <w:lang w:val="en-US"/>
        </w:rPr>
        <w:t>mall numbers of LP.8.1</w:t>
      </w:r>
      <w:r w:rsidR="0015403F" w:rsidRPr="14B21061">
        <w:rPr>
          <w:lang w:val="en-US"/>
        </w:rPr>
        <w:t xml:space="preserve"> sub-lineage sequences have been observed</w:t>
      </w:r>
      <w:r w:rsidR="006E79C7" w:rsidRPr="14B21061">
        <w:rPr>
          <w:lang w:val="en-US"/>
        </w:rPr>
        <w:t xml:space="preserve"> in Australia.</w:t>
      </w:r>
    </w:p>
    <w:p w14:paraId="6824ACC1" w14:textId="72AB652A" w:rsidR="00D85658" w:rsidRDefault="00167569">
      <w:pPr>
        <w:pStyle w:val="Boxtype"/>
      </w:pPr>
      <w:r w:rsidRPr="14B21061">
        <w:rPr>
          <w:b/>
          <w:bCs/>
          <w:lang w:val="en-US"/>
        </w:rPr>
        <w:t>Vaccine coverage, effectiveness and match:</w:t>
      </w:r>
      <w:r w:rsidRPr="14B21061">
        <w:rPr>
          <w:lang w:val="en-US"/>
        </w:rPr>
        <w:t xml:space="preserve"> </w:t>
      </w:r>
      <w:r w:rsidR="00AB0669" w:rsidRPr="14B21061">
        <w:rPr>
          <w:lang w:val="en-US"/>
        </w:rPr>
        <w:t>It is too early to assess or report vaccine data for 2025</w:t>
      </w:r>
      <w:r w:rsidRPr="14B21061">
        <w:rPr>
          <w:lang w:val="en-US"/>
        </w:rPr>
        <w:t>.</w:t>
      </w:r>
    </w:p>
    <w:p w14:paraId="62044E04" w14:textId="77777777" w:rsidR="00D85658" w:rsidRDefault="00167569">
      <w:r>
        <w:br w:type="page"/>
      </w:r>
    </w:p>
    <w:p w14:paraId="5A31CA7D" w14:textId="77777777" w:rsidR="00D85658" w:rsidRDefault="00167569">
      <w:pPr>
        <w:pStyle w:val="Heading1"/>
      </w:pPr>
      <w:bookmarkStart w:id="1" w:name="Xb38d0cffd8a81be8f26a3ed55dcf92ea697f36c"/>
      <w:bookmarkEnd w:id="0"/>
      <w:r>
        <w:lastRenderedPageBreak/>
        <w:t>Australian Respiratory Surveillance Report</w:t>
      </w:r>
    </w:p>
    <w:p w14:paraId="433211D9" w14:textId="4374E4CA" w:rsidR="00D85658" w:rsidRDefault="00167569">
      <w:r>
        <w:t xml:space="preserve">This report was prepared by </w:t>
      </w:r>
      <w:r w:rsidR="00164843">
        <w:t>Gizem Bilgin, Nga Nguyen, Jenna Hassall</w:t>
      </w:r>
      <w:r>
        <w:t xml:space="preserve">, and </w:t>
      </w:r>
      <w:r w:rsidR="00D81AE5">
        <w:t>Siobhan St George</w:t>
      </w:r>
      <w:r>
        <w:t xml:space="preserve"> on behalf of the interim Australian Centre for Disease Control. We thank the staff and participants from the surveillance systems who contribute data for acute respiratory illness surveillance across Australia.</w:t>
      </w:r>
    </w:p>
    <w:p w14:paraId="72E39602" w14:textId="7679DF23" w:rsidR="00D85658" w:rsidRDefault="00167569">
      <w:pPr>
        <w:pStyle w:val="BodyText"/>
      </w:pPr>
      <w:r>
        <w:t xml:space="preserve">The report presents a national overview of acute respiratory infections in Australia, drawing information from several different surveillance systems. </w:t>
      </w:r>
      <w:r w:rsidR="00D81AE5">
        <w:t xml:space="preserve">These </w:t>
      </w:r>
      <w:r>
        <w:t>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1FFEC550" w14:textId="77777777" w:rsidR="00D85658" w:rsidRDefault="00167569">
      <w:pPr>
        <w:pStyle w:val="BodyText"/>
      </w:pPr>
      <w:r>
        <w:t xml:space="preserve">Surveillance indicators presented in this report are based on the </w:t>
      </w:r>
      <w:hyperlink r:id="rId11">
        <w:r>
          <w:rPr>
            <w:rStyle w:val="Hyperlink"/>
          </w:rPr>
          <w:t>Australian National Surveillance Plan for COVID-19, Influenza, and RSV</w:t>
        </w:r>
      </w:hyperlink>
      <w:r>
        <w:t xml:space="preserve">. Please refer to the </w:t>
      </w:r>
      <w:hyperlink r:id="rId12">
        <w:r>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22EE32B0" w14:textId="77777777" w:rsidR="00D81AE5" w:rsidRPr="004B4E67" w:rsidRDefault="00167569" w:rsidP="004B4E67">
      <w:pPr>
        <w:pStyle w:val="ListBullet"/>
      </w:pPr>
      <w:r w:rsidRPr="004B4E67">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w:t>
      </w:r>
    </w:p>
    <w:p w14:paraId="0BE447D6" w14:textId="29E6A8CE" w:rsidR="00D85658" w:rsidRPr="004B4E67" w:rsidRDefault="00167569" w:rsidP="004B4E67">
      <w:pPr>
        <w:pStyle w:val="ListBullet"/>
      </w:pPr>
      <w:r w:rsidRPr="004B4E67">
        <w:t>Data in this report are presented by</w:t>
      </w:r>
      <w:r w:rsidR="00D81AE5" w:rsidRPr="004B4E67">
        <w:t xml:space="preserve"> date of event (diagnosis, admission or death) or by the International Organization for Standardization</w:t>
      </w:r>
      <w:r w:rsidR="00B26798" w:rsidRPr="004B4E67">
        <w:t xml:space="preserve"> (ISO</w:t>
      </w:r>
      <w:r w:rsidR="00D81AE5" w:rsidRPr="004B4E67">
        <w:t xml:space="preserve">) week date system, with weeks defined as seven-day periods which </w:t>
      </w:r>
      <w:r w:rsidR="00B26798" w:rsidRPr="004B4E67">
        <w:t>begin</w:t>
      </w:r>
      <w:r w:rsidR="00D81AE5" w:rsidRPr="004B4E67">
        <w:t xml:space="preserve"> on a Monday and end on a Sunday</w:t>
      </w:r>
      <w:r w:rsidRPr="004B4E67">
        <w:t>.</w:t>
      </w:r>
      <w:r w:rsidR="00B26798" w:rsidRPr="004B4E67">
        <w:t xml:space="preserve"> The ISO week date system is used</w:t>
      </w:r>
      <w:r w:rsidR="0034353B" w:rsidRPr="004B4E67">
        <w:t xml:space="preserve"> to</w:t>
      </w:r>
      <w:r w:rsidR="00905C7B" w:rsidRPr="004B4E67">
        <w:t xml:space="preserve"> support </w:t>
      </w:r>
      <w:r w:rsidR="0034353B" w:rsidRPr="004B4E67">
        <w:t xml:space="preserve">trends </w:t>
      </w:r>
      <w:r w:rsidR="00905C7B" w:rsidRPr="004B4E67">
        <w:t xml:space="preserve">comparisons </w:t>
      </w:r>
      <w:r w:rsidR="0034353B" w:rsidRPr="004B4E67">
        <w:t>over time more effectively.</w:t>
      </w:r>
      <w:r w:rsidR="00B26798" w:rsidRPr="004B4E67">
        <w:t xml:space="preserve"> </w:t>
      </w:r>
      <w:r w:rsidR="00117FF5" w:rsidRPr="004B4E67">
        <w:t>The current reporting period this month includes 30 December to 26 January 2025 and where comparisons to the p</w:t>
      </w:r>
      <w:r w:rsidR="00610788" w:rsidRPr="004B4E67">
        <w:t>r</w:t>
      </w:r>
      <w:r w:rsidR="00117FF5" w:rsidRPr="004B4E67">
        <w:t>evious month are made this includes 2 December to 29 December 2024.</w:t>
      </w:r>
    </w:p>
    <w:p w14:paraId="4FA491F1" w14:textId="17665A5E" w:rsidR="00D85658" w:rsidRPr="004B4E67" w:rsidRDefault="00167569" w:rsidP="004B4E67">
      <w:pPr>
        <w:pStyle w:val="ListBullet"/>
      </w:pPr>
      <w:r w:rsidRPr="004B4E67">
        <w:t xml:space="preserve">In Australia, states and territories report notified cases to the National Notifiable Diseases Surveillance System (NNDSS) based on the </w:t>
      </w:r>
      <w:hyperlink r:id="rId13">
        <w:r w:rsidRPr="004B4E67">
          <w:rPr>
            <w:rStyle w:val="Hyperlink"/>
            <w:color w:val="033636" w:themeColor="text1"/>
            <w:u w:val="none"/>
          </w:rPr>
          <w:t>Australian national surveillance case definitions</w:t>
        </w:r>
      </w:hyperlink>
      <w:r w:rsidRPr="004B4E67">
        <w:t xml:space="preserve">. NNDSS data are analysed and reported based on diagnosis date, which is the true onset date of a case if known, otherwise it is the earliest of the specimen date, the notification date, or the notification received date. </w:t>
      </w:r>
      <w:r w:rsidR="00D0007A" w:rsidRPr="004B4E67">
        <w:t xml:space="preserve">The </w:t>
      </w:r>
      <w:r w:rsidRPr="004B4E67">
        <w:t>NNDSS data for this report were extracted on 29 January 2025.</w:t>
      </w:r>
    </w:p>
    <w:p w14:paraId="777FA30A" w14:textId="20289241" w:rsidR="00D85658" w:rsidRPr="004B4E67" w:rsidRDefault="00167569" w:rsidP="004B4E67">
      <w:pPr>
        <w:pStyle w:val="ListBullet"/>
      </w:pPr>
      <w:r w:rsidRPr="004B4E67">
        <w:t xml:space="preserve">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w:t>
      </w:r>
      <w:r w:rsidR="00610788" w:rsidRPr="004B4E67">
        <w:t xml:space="preserve">from 16 December 2024 </w:t>
      </w:r>
      <w:r w:rsidRPr="004B4E67">
        <w:t>to 12 January 2025</w:t>
      </w:r>
      <w:r w:rsidR="00610788" w:rsidRPr="004B4E67">
        <w:t xml:space="preserve"> and where comparisons to the previous severity month are made this includes 18 November to 15 December 2024</w:t>
      </w:r>
      <w:r w:rsidRPr="004B4E67">
        <w:t>.</w:t>
      </w:r>
    </w:p>
    <w:p w14:paraId="769EA453" w14:textId="6DE33680" w:rsidR="00D85658" w:rsidRPr="004B4E67" w:rsidRDefault="00167569" w:rsidP="004B4E67">
      <w:pPr>
        <w:pStyle w:val="ListBullet"/>
      </w:pPr>
      <w:r w:rsidRPr="004B4E67">
        <w:t xml:space="preserve">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w:t>
      </w:r>
      <w:r w:rsidR="00D0007A" w:rsidRPr="004B4E67">
        <w:t xml:space="preserve">at least </w:t>
      </w:r>
      <w:r w:rsidR="002E7E08" w:rsidRPr="004B4E67">
        <w:t>two</w:t>
      </w:r>
      <w:r w:rsidRPr="004B4E67">
        <w:t xml:space="preserve"> months.</w:t>
      </w:r>
    </w:p>
    <w:p w14:paraId="3F13015C" w14:textId="40AEC1C3" w:rsidR="00D85658" w:rsidRDefault="00167569" w:rsidP="004B4E67">
      <w:pPr>
        <w:pStyle w:val="ListBullet"/>
      </w:pPr>
      <w:r w:rsidRPr="004B4E67">
        <w:t>While every care</w:t>
      </w:r>
      <w:r>
        <w:t xml:space="preserv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5727EDFA" w14:textId="77777777" w:rsidR="00D85658" w:rsidRDefault="00167569">
      <w:r>
        <w:br w:type="page"/>
      </w:r>
    </w:p>
    <w:p w14:paraId="31E17B92" w14:textId="77777777" w:rsidR="00D85658" w:rsidRDefault="00167569">
      <w:pPr>
        <w:pStyle w:val="Heading1"/>
      </w:pPr>
      <w:bookmarkStart w:id="2" w:name="community-surveillance"/>
      <w:bookmarkEnd w:id="1"/>
      <w:r>
        <w:lastRenderedPageBreak/>
        <w:t>Community surveillance</w:t>
      </w:r>
    </w:p>
    <w:p w14:paraId="324E4B29" w14:textId="2D9C25EE" w:rsidR="00D85658" w:rsidRDefault="00167569">
      <w:r>
        <w:t xml:space="preserve">Community surveillance monitors respiratory illnesses in the community, providing information on the number of people reporting respiratory symptoms, testing practices, and the impact of respiratory illnesses. </w:t>
      </w:r>
      <w:r w:rsidR="00411C23" w:rsidRPr="00411C23">
        <w:t>Community surveillance also includes notification data obtained from laboratory tests for infections. Infections that are diagnosed and notified are only a subset of the total number of infections occurring in the community.</w:t>
      </w:r>
    </w:p>
    <w:p w14:paraId="00A62370" w14:textId="7AC614B4" w:rsidR="00D85658" w:rsidRDefault="00167569" w:rsidP="004B4E67">
      <w:pPr>
        <w:pStyle w:val="ListBullet"/>
      </w:pPr>
      <w:r>
        <w:t xml:space="preserve">Community surveys </w:t>
      </w:r>
      <w:r w:rsidR="0043234C">
        <w:t xml:space="preserve">indicate </w:t>
      </w:r>
      <w:r>
        <w:t xml:space="preserve">respiratory illness symptoms and test positivity </w:t>
      </w:r>
      <w:r w:rsidR="00C71850">
        <w:t xml:space="preserve">remain </w:t>
      </w:r>
      <w:r w:rsidR="0043234C">
        <w:t>low</w:t>
      </w:r>
      <w:r w:rsidR="00E211B2">
        <w:t xml:space="preserve"> and stable </w:t>
      </w:r>
      <w:r w:rsidR="1F34DB39">
        <w:t>this month,</w:t>
      </w:r>
      <w:r w:rsidR="00E211B2">
        <w:t xml:space="preserve"> consistent with </w:t>
      </w:r>
      <w:r w:rsidR="00C71850">
        <w:t>interseasonal levels</w:t>
      </w:r>
      <w:r w:rsidR="74AFE26E">
        <w:t xml:space="preserve"> in previous years</w:t>
      </w:r>
      <w:r>
        <w:t>.</w:t>
      </w:r>
    </w:p>
    <w:p w14:paraId="00AA345E" w14:textId="7FB2B1B3" w:rsidR="00D85658" w:rsidRDefault="00167569" w:rsidP="004B4E67">
      <w:pPr>
        <w:pStyle w:val="ListBullet"/>
      </w:pPr>
      <w:r>
        <w:t xml:space="preserve">This </w:t>
      </w:r>
      <w:r w:rsidR="004014FC">
        <w:t>month</w:t>
      </w:r>
      <w:r>
        <w:t xml:space="preserve"> (30 December to 26 January 2025), fewer survey participants reported new fever and cough symptoms (0.9%), than in the previous </w:t>
      </w:r>
      <w:r w:rsidR="009246E1">
        <w:t>month</w:t>
      </w:r>
      <w:r>
        <w:t xml:space="preserve"> (1.3%) (Figure 1).</w:t>
      </w:r>
    </w:p>
    <w:p w14:paraId="1CA7A1DD" w14:textId="0BCCBC1B" w:rsidR="00D85658" w:rsidRDefault="00167569" w:rsidP="004B4E67">
      <w:pPr>
        <w:pStyle w:val="ListBullet"/>
      </w:pPr>
      <w:r>
        <w:t xml:space="preserve">This </w:t>
      </w:r>
      <w:r w:rsidR="004014FC">
        <w:t>month</w:t>
      </w:r>
      <w:r>
        <w:t xml:space="preserve">, </w:t>
      </w:r>
      <w:r w:rsidR="004D1D5E">
        <w:t>more</w:t>
      </w:r>
      <w:r>
        <w:t xml:space="preserve"> survey participants with new fever and cough symptoms used a rapid antigen test (RAT) (65.1%; 536/823) </w:t>
      </w:r>
      <w:r w:rsidR="004D1D5E">
        <w:t>than</w:t>
      </w:r>
      <w:r>
        <w:t xml:space="preserve"> a polymerase chain reaction (PCR)</w:t>
      </w:r>
      <w:r w:rsidR="007779BE">
        <w:t xml:space="preserve"> test</w:t>
      </w:r>
      <w:r>
        <w:t xml:space="preserve"> (14.8%; 122/823) to test for severe acute respiratory syndrome coronavirus 2 (SARS-CoV-2).</w:t>
      </w:r>
    </w:p>
    <w:p w14:paraId="65F96499" w14:textId="7E20E3B1" w:rsidR="00D85658" w:rsidRDefault="00167569" w:rsidP="004B4E67">
      <w:pPr>
        <w:pStyle w:val="ListBullet2"/>
      </w:pPr>
      <w:r>
        <w:t>Self-reported SARS-CoV-2 RAT positivity was</w:t>
      </w:r>
      <w:r w:rsidR="00C71850">
        <w:t xml:space="preserve"> slightly</w:t>
      </w:r>
      <w:r>
        <w:t xml:space="preserve"> higher this </w:t>
      </w:r>
      <w:r w:rsidR="004014FC">
        <w:t>month</w:t>
      </w:r>
      <w:r>
        <w:t xml:space="preserve"> (41.6%; 223/536) than in the previous </w:t>
      </w:r>
      <w:r w:rsidR="009246E1">
        <w:t>month</w:t>
      </w:r>
      <w:r>
        <w:t xml:space="preserve"> (40.3%; 317/786), while self-reported SARS-CoV-2 PCR positivity was lower this </w:t>
      </w:r>
      <w:r w:rsidR="00E338FF">
        <w:t>month</w:t>
      </w:r>
      <w:r>
        <w:t xml:space="preserve"> (21.3%; 26/122) than in the previous </w:t>
      </w:r>
      <w:r w:rsidR="00E338FF">
        <w:t>month</w:t>
      </w:r>
      <w:r>
        <w:t xml:space="preserve"> (24.3%; 45/185).</w:t>
      </w:r>
    </w:p>
    <w:p w14:paraId="2B9533D0" w14:textId="4ECBF004" w:rsidR="00D85658" w:rsidRDefault="00167569" w:rsidP="004B4E67">
      <w:pPr>
        <w:pStyle w:val="ListBullet"/>
      </w:pPr>
      <w:r>
        <w:t xml:space="preserve">This </w:t>
      </w:r>
      <w:r w:rsidR="00E338FF">
        <w:t>month</w:t>
      </w:r>
      <w:r>
        <w:t>, 18.2% (150/823) of survey participants with new fever and cough symptoms used a PCR test to test for influenza.</w:t>
      </w:r>
    </w:p>
    <w:p w14:paraId="15F175DA" w14:textId="6CE63FB5" w:rsidR="00D85658" w:rsidRDefault="00167569" w:rsidP="004B4E67">
      <w:pPr>
        <w:pStyle w:val="ListBullet2"/>
      </w:pPr>
      <w:r>
        <w:t xml:space="preserve">Self-reported influenza PCR positivity was higher this </w:t>
      </w:r>
      <w:r w:rsidR="00E338FF">
        <w:t>month</w:t>
      </w:r>
      <w:r>
        <w:t xml:space="preserve"> (18.7%; 28/150), than in the previous </w:t>
      </w:r>
      <w:r w:rsidR="00E338FF">
        <w:t>month</w:t>
      </w:r>
      <w:r>
        <w:t xml:space="preserve"> (11.5%; 33/286).</w:t>
      </w:r>
    </w:p>
    <w:p w14:paraId="6B42E404" w14:textId="272FB74E" w:rsidR="00D85658" w:rsidRDefault="00167569" w:rsidP="004B4E67">
      <w:pPr>
        <w:pStyle w:val="ListBullet"/>
      </w:pPr>
      <w:r>
        <w:t xml:space="preserve">In the year to date, </w:t>
      </w:r>
      <w:r w:rsidR="00553FC4">
        <w:t xml:space="preserve">the proportion of survey participants with </w:t>
      </w:r>
      <w:r>
        <w:t xml:space="preserve">new fever and cough symptoms </w:t>
      </w:r>
      <w:r w:rsidR="00553FC4">
        <w:t>has been</w:t>
      </w:r>
      <w:r w:rsidR="00553FC4" w:rsidRPr="00553FC4">
        <w:t xml:space="preserve"> lower </w:t>
      </w:r>
      <w:r w:rsidR="00553FC4">
        <w:t xml:space="preserve">than the same time in previous years </w:t>
      </w:r>
      <w:r>
        <w:t>(Figure 1).</w:t>
      </w:r>
    </w:p>
    <w:p w14:paraId="003253A9" w14:textId="60AA8169" w:rsidR="00D85658" w:rsidRDefault="00167569">
      <w:r>
        <w:rPr>
          <w:b/>
          <w:bCs/>
        </w:rPr>
        <w:t>Figure 1: Age standardised percentage of survey participants reporting new fever and cough symptoms compared with the five-year average</w:t>
      </w:r>
      <w:r w:rsidR="0063188E">
        <w:rPr>
          <w:b/>
          <w:bCs/>
        </w:rPr>
        <w:t>*</w:t>
      </w:r>
      <w:r>
        <w:rPr>
          <w:b/>
          <w:bCs/>
        </w:rPr>
        <w:t xml:space="preserve"> by year and week of report, Australia, 2022 to 26 January 2025</w:t>
      </w:r>
    </w:p>
    <w:p w14:paraId="25C02495" w14:textId="0DC2E8CE" w:rsidR="00D85658" w:rsidRDefault="00C173C5">
      <w:pPr>
        <w:pStyle w:val="BodyText"/>
      </w:pPr>
      <w:r>
        <w:rPr>
          <w:noProof/>
        </w:rPr>
        <w:drawing>
          <wp:inline distT="0" distB="0" distL="0" distR="0" wp14:anchorId="0969F0F2" wp14:editId="231C6D14">
            <wp:extent cx="6184900" cy="2650671"/>
            <wp:effectExtent l="0" t="0" r="0" b="0"/>
            <wp:docPr id="27" name="Picture" descr="Figure 1: Age standardised percentage of survey participants reporting new fever and cough symptoms compared with the five-year average* by year and week of report, Australia, 2022 to 26 January 2025"/>
            <wp:cNvGraphicFramePr/>
            <a:graphic xmlns:a="http://schemas.openxmlformats.org/drawingml/2006/main">
              <a:graphicData uri="http://schemas.openxmlformats.org/drawingml/2006/picture">
                <pic:pic xmlns:pic="http://schemas.openxmlformats.org/drawingml/2006/picture">
                  <pic:nvPicPr>
                    <pic:cNvPr id="27" name="Picture" descr="Figure 1: Age standardised percentage of survey participants reporting new fever and cough symptoms compared with the five-year average* by year and week of report, Australia, 2022 to 26 January 2025"/>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74825B8" w14:textId="27EC16B4" w:rsidR="00D85658" w:rsidRDefault="00167569" w:rsidP="00E86F03">
      <w:pPr>
        <w:pStyle w:val="Smalltext"/>
      </w:pPr>
      <w:r>
        <w:t>Source: FluTracking</w:t>
      </w:r>
      <w:r>
        <w:br/>
        <w:t xml:space="preserve">* From 2020, FluTracking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Pr>
            <w:rStyle w:val="Hyperlink"/>
          </w:rPr>
          <w:t>Technical Supplement</w:t>
        </w:r>
      </w:hyperlink>
      <w:r>
        <w:t xml:space="preserve"> for interpretation of the five-year average.</w:t>
      </w:r>
    </w:p>
    <w:p w14:paraId="395F8DE7" w14:textId="2098FB44" w:rsidR="0063188E" w:rsidRDefault="0063188E" w:rsidP="004B4E67">
      <w:pPr>
        <w:numPr>
          <w:ilvl w:val="0"/>
          <w:numId w:val="8"/>
        </w:numPr>
      </w:pPr>
      <w:r>
        <w:t xml:space="preserve">This </w:t>
      </w:r>
      <w:r w:rsidR="00E338FF">
        <w:t>month</w:t>
      </w:r>
      <w:r>
        <w:t xml:space="preserve">, fewer survey participants reported taking three or more days off work or normal duties due to fever and cough symptoms (45.6%; 375/823), than </w:t>
      </w:r>
      <w:r w:rsidR="00742510">
        <w:t>in the previous</w:t>
      </w:r>
      <w:r>
        <w:t xml:space="preserve"> </w:t>
      </w:r>
      <w:r w:rsidR="00E338FF">
        <w:t>month</w:t>
      </w:r>
      <w:r>
        <w:t xml:space="preserve"> (47.8%; 240/502).</w:t>
      </w:r>
    </w:p>
    <w:p w14:paraId="62C266FB" w14:textId="584F4008" w:rsidR="00D85658" w:rsidRDefault="00167569" w:rsidP="00CC6298">
      <w:pPr>
        <w:numPr>
          <w:ilvl w:val="0"/>
          <w:numId w:val="11"/>
        </w:numPr>
      </w:pPr>
      <w:r>
        <w:t xml:space="preserve">This </w:t>
      </w:r>
      <w:r w:rsidR="00A013BE">
        <w:t>month</w:t>
      </w:r>
      <w:r>
        <w:t xml:space="preserve"> (30 December to 26 January 2025), there was a</w:t>
      </w:r>
      <w:r w:rsidR="00153FBC">
        <w:t xml:space="preserve"> 18.9%</w:t>
      </w:r>
      <w:r>
        <w:t xml:space="preserve"> decrease </w:t>
      </w:r>
      <w:r w:rsidR="00175569">
        <w:t>in</w:t>
      </w:r>
      <w:r>
        <w:t xml:space="preserve"> COVID-19 notifications, a</w:t>
      </w:r>
      <w:r w:rsidR="00153FBC">
        <w:t xml:space="preserve"> 92.7%</w:t>
      </w:r>
      <w:r>
        <w:t xml:space="preserve"> increase </w:t>
      </w:r>
      <w:r w:rsidR="00175569">
        <w:t>in</w:t>
      </w:r>
      <w:r>
        <w:t xml:space="preserve"> influenza notifications</w:t>
      </w:r>
      <w:r w:rsidR="00307BD4">
        <w:t xml:space="preserve"> (described further below)</w:t>
      </w:r>
      <w:r>
        <w:t xml:space="preserve">, and a </w:t>
      </w:r>
      <w:r w:rsidR="00153FBC">
        <w:t xml:space="preserve">15.4% </w:t>
      </w:r>
      <w:r>
        <w:t xml:space="preserve">decrease </w:t>
      </w:r>
      <w:r w:rsidR="00175569">
        <w:t>in</w:t>
      </w:r>
      <w:r>
        <w:t xml:space="preserve"> RSV notifications.</w:t>
      </w:r>
    </w:p>
    <w:p w14:paraId="56F59402" w14:textId="532BBFF6" w:rsidR="00D85658" w:rsidRDefault="00167569" w:rsidP="00C71850">
      <w:pPr>
        <w:spacing w:before="240"/>
      </w:pPr>
      <w:r>
        <w:rPr>
          <w:b/>
          <w:bCs/>
        </w:rPr>
        <w:lastRenderedPageBreak/>
        <w:t>Table 1: Notifi</w:t>
      </w:r>
      <w:r w:rsidR="007A4D45">
        <w:rPr>
          <w:b/>
          <w:bCs/>
        </w:rPr>
        <w:t xml:space="preserve">ed COVID-19, influenza and RSV cases </w:t>
      </w:r>
      <w:r>
        <w:rPr>
          <w:b/>
          <w:bCs/>
        </w:rPr>
        <w:t>and notification rate per 100,000 population by disease, five-year age group, and jurisdiction*</w:t>
      </w:r>
      <w:r>
        <w:rPr>
          <w:b/>
          <w:bCs/>
          <w:vertAlign w:val="superscript"/>
        </w:rPr>
        <w:t>†</w:t>
      </w:r>
      <w:r>
        <w:rPr>
          <w:b/>
          <w:bCs/>
        </w:rPr>
        <w:t xml:space="preserve">, Australia, </w:t>
      </w:r>
      <w:r w:rsidR="00E70147">
        <w:rPr>
          <w:b/>
          <w:bCs/>
        </w:rPr>
        <w:t>30 December 2024</w:t>
      </w:r>
      <w:r>
        <w:rPr>
          <w:b/>
          <w:bCs/>
        </w:rPr>
        <w:t xml:space="preserve"> to 26 January 2025</w:t>
      </w:r>
    </w:p>
    <w:tbl>
      <w:tblPr>
        <w:tblW w:w="5000" w:type="pct"/>
        <w:jc w:val="center"/>
        <w:tblLook w:val="0420" w:firstRow="1" w:lastRow="0" w:firstColumn="0" w:lastColumn="0" w:noHBand="0" w:noVBand="1"/>
        <w:tblDescription w:val="Table 1: Notified COVID-19, influenza and RSV cases and notification rate per 100,000 population by disease, five-year age group, and jurisdiction*†, Australia, 30 December 2024 to 26 January 2025"/>
      </w:tblPr>
      <w:tblGrid>
        <w:gridCol w:w="861"/>
        <w:gridCol w:w="1151"/>
        <w:gridCol w:w="920"/>
        <w:gridCol w:w="900"/>
        <w:gridCol w:w="1150"/>
        <w:gridCol w:w="920"/>
        <w:gridCol w:w="900"/>
        <w:gridCol w:w="1150"/>
        <w:gridCol w:w="900"/>
        <w:gridCol w:w="900"/>
      </w:tblGrid>
      <w:tr w:rsidR="00D85658" w:rsidRPr="0063188E" w14:paraId="2C50C8D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3BEEFD" w14:textId="77777777" w:rsidR="00D85658" w:rsidRPr="00CE44FA"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4C26B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CE44FA">
              <w:rPr>
                <w:rFonts w:eastAsia="Arial" w:cs="Arial"/>
                <w:b/>
                <w:color w:val="033636"/>
                <w:sz w:val="16"/>
                <w:szCs w:val="16"/>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762D4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CE44FA">
              <w:rPr>
                <w:rFonts w:eastAsia="Arial" w:cs="Arial"/>
                <w:b/>
                <w:color w:val="033636"/>
                <w:sz w:val="16"/>
                <w:szCs w:val="16"/>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B3946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sz w:val="16"/>
                <w:szCs w:val="16"/>
              </w:rPr>
            </w:pPr>
            <w:r w:rsidRPr="00CE44FA">
              <w:rPr>
                <w:rFonts w:eastAsia="Arial" w:cs="Arial"/>
                <w:b/>
                <w:color w:val="033636"/>
                <w:sz w:val="16"/>
                <w:szCs w:val="16"/>
              </w:rPr>
              <w:t>RSV</w:t>
            </w:r>
          </w:p>
        </w:tc>
      </w:tr>
      <w:tr w:rsidR="00D85658" w:rsidRPr="0063188E" w14:paraId="08971502"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23604B9" w14:textId="77777777" w:rsidR="00D85658" w:rsidRPr="00CE44FA"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rPr>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60098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Reporting</w:t>
            </w:r>
            <w:r w:rsidRPr="0063188E">
              <w:rPr>
                <w:rFonts w:eastAsia="Arial" w:cs="Arial"/>
                <w:b/>
                <w:color w:val="033636"/>
                <w:sz w:val="14"/>
                <w:szCs w:val="14"/>
              </w:rPr>
              <w:br/>
              <w:t>period</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5A04C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7597B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 xml:space="preserve"> date</w:t>
            </w:r>
            <w:r w:rsidRPr="0063188E">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49158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Reporting</w:t>
            </w:r>
            <w:r w:rsidRPr="0063188E">
              <w:rPr>
                <w:rFonts w:eastAsia="Arial" w:cs="Arial"/>
                <w:b/>
                <w:color w:val="033636"/>
                <w:sz w:val="14"/>
                <w:szCs w:val="14"/>
              </w:rPr>
              <w:br/>
              <w:t>period</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CBA6A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C5EB0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D63D8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Reporting</w:t>
            </w:r>
            <w:r w:rsidRPr="0063188E">
              <w:rPr>
                <w:rFonts w:eastAsia="Arial" w:cs="Arial"/>
                <w:b/>
                <w:color w:val="033636"/>
                <w:sz w:val="14"/>
                <w:szCs w:val="14"/>
              </w:rPr>
              <w:br/>
              <w:t>period</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02C00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88CB20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4"/>
                <w:szCs w:val="14"/>
              </w:rPr>
            </w:pPr>
            <w:r w:rsidRPr="0063188E">
              <w:rPr>
                <w:rFonts w:eastAsia="Arial" w:cs="Arial"/>
                <w:b/>
                <w:color w:val="033636"/>
                <w:sz w:val="14"/>
                <w:szCs w:val="14"/>
              </w:rPr>
              <w:t>Year to</w:t>
            </w:r>
            <w:r w:rsidRPr="0063188E">
              <w:rPr>
                <w:rFonts w:eastAsia="Arial" w:cs="Arial"/>
                <w:b/>
                <w:color w:val="033636"/>
                <w:sz w:val="14"/>
                <w:szCs w:val="14"/>
              </w:rPr>
              <w:br/>
              <w:t>date</w:t>
            </w:r>
            <w:r w:rsidRPr="0063188E">
              <w:rPr>
                <w:rFonts w:eastAsia="Arial" w:cs="Arial"/>
                <w:b/>
                <w:color w:val="033636"/>
                <w:sz w:val="14"/>
                <w:szCs w:val="14"/>
              </w:rPr>
              <w:br/>
              <w:t>(rate)</w:t>
            </w:r>
          </w:p>
        </w:tc>
      </w:tr>
      <w:tr w:rsidR="00D85658" w:rsidRPr="0063188E" w14:paraId="529A664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0DAC5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b/>
                <w:color w:val="033636"/>
                <w:sz w:val="16"/>
                <w:szCs w:val="16"/>
              </w:rPr>
              <w:t>Age group (years)</w:t>
            </w:r>
          </w:p>
        </w:tc>
      </w:tr>
      <w:tr w:rsidR="00D85658" w:rsidRPr="0063188E" w14:paraId="42F4AEC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53246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A8AFD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2,011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6E302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9533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9DD6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EFF82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100FC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39A80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EEBAB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E4A4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109</w:t>
            </w:r>
          </w:p>
        </w:tc>
      </w:tr>
      <w:tr w:rsidR="00D85658" w:rsidRPr="0063188E" w14:paraId="205C901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1130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A3E97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0E9C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545D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644A8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8CFC1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AF8AF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722D2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3BC0D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62838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w:t>
            </w:r>
          </w:p>
        </w:tc>
      </w:tr>
      <w:tr w:rsidR="00D85658" w:rsidRPr="0063188E" w14:paraId="4C548F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05EC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0FE5E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F2EBC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C724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CA226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96C4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2B3B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E6759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39D51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B14FF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264612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22DDA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E25F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417F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B8AD1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D4E19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FF57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991C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96EA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D7F3D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B21E6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w:t>
            </w:r>
          </w:p>
        </w:tc>
      </w:tr>
      <w:tr w:rsidR="00D85658" w:rsidRPr="0063188E" w14:paraId="3FC48A2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4004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CB59F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73F1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4BE74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3DEF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BE6E3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9834A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29261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A6188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75E9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7C0846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4654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DDA18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8B220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5E3F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6C6F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AB6B2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9F82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F1D33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41107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282F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5BAFB9D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8882B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B967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99752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3146E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79893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9214D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3755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D5E2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A0B31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042FE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66F3C04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795B0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A5E0E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B2C5B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8647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13C2C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5704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0BE3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E11D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EE7A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A9D24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w:t>
            </w:r>
          </w:p>
        </w:tc>
      </w:tr>
      <w:tr w:rsidR="00D85658" w:rsidRPr="0063188E" w14:paraId="752F07A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238A1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5F76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0790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5059F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715D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2DC82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43AF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7C60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B453A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A237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w:t>
            </w:r>
          </w:p>
        </w:tc>
      </w:tr>
      <w:tr w:rsidR="00D85658" w:rsidRPr="0063188E" w14:paraId="5A92B3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45B53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6ACB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5CD4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6968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0A852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A1F7A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702D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4898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BE072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25DCC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w:t>
            </w:r>
          </w:p>
        </w:tc>
      </w:tr>
      <w:tr w:rsidR="00D85658" w:rsidRPr="0063188E" w14:paraId="1A5475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03CC5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C2ECF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088A0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A41C6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E1E6B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DECA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4B9BA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F34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A377C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35E30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w:t>
            </w:r>
          </w:p>
        </w:tc>
      </w:tr>
      <w:tr w:rsidR="00D85658" w:rsidRPr="0063188E" w14:paraId="6A367C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C661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24DF7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9D95A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83BF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4BE27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B091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D9148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F5FA2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89917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E552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w:t>
            </w:r>
          </w:p>
        </w:tc>
      </w:tr>
      <w:tr w:rsidR="00D85658" w:rsidRPr="0063188E" w14:paraId="78C950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44131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9C454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B517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105E4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D97C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B523F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315D5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D6F60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A9241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DA4D0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w:t>
            </w:r>
          </w:p>
        </w:tc>
      </w:tr>
      <w:tr w:rsidR="00D85658" w:rsidRPr="0063188E" w14:paraId="4BC27C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31A1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7DF8B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C76E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B3D2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535C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7D6AB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73AA4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8175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3811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FC93E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13</w:t>
            </w:r>
          </w:p>
        </w:tc>
      </w:tr>
      <w:tr w:rsidR="00D85658" w:rsidRPr="0063188E" w14:paraId="11353F1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35D36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FD3A5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7,574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30BF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DEFB1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28A1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87DF0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1,499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831CF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FB871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9BF1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A4B15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w:t>
            </w:r>
          </w:p>
        </w:tc>
      </w:tr>
      <w:tr w:rsidR="00D85658" w:rsidRPr="0063188E" w14:paraId="281ECD7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C203F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b/>
                <w:color w:val="033636"/>
                <w:sz w:val="16"/>
                <w:szCs w:val="16"/>
              </w:rPr>
              <w:t xml:space="preserve">Jurisdiction </w:t>
            </w:r>
          </w:p>
        </w:tc>
      </w:tr>
      <w:tr w:rsidR="00D85658" w:rsidRPr="0063188E" w14:paraId="4BA98F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CDA3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0C729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94889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9914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572B0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9C55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B47DB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487B0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56ED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996AF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w:t>
            </w:r>
          </w:p>
        </w:tc>
      </w:tr>
      <w:tr w:rsidR="00D85658" w:rsidRPr="0063188E" w14:paraId="2F9864A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F3E2F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561A8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7,816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44AB3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697F0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BEB5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C1403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4,369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C9CB1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FDE0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6B69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7DA8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19</w:t>
            </w:r>
          </w:p>
        </w:tc>
      </w:tr>
      <w:tr w:rsidR="00D85658" w:rsidRPr="0063188E" w14:paraId="0853B81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A708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9BA95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BB135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2C48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9B596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C1616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C304A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96A97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07E3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7F0F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w:t>
            </w:r>
          </w:p>
        </w:tc>
      </w:tr>
      <w:tr w:rsidR="00D85658" w:rsidRPr="0063188E" w14:paraId="4A9685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C9AAC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A9456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6,032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D8965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5,335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0B500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A1BF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0DE5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2,302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BEFEE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46E14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1,808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E35F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838C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29</w:t>
            </w:r>
          </w:p>
        </w:tc>
      </w:tr>
      <w:tr w:rsidR="00D85658" w:rsidRPr="0063188E" w14:paraId="2AA71D9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6B8D9"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6E069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EC92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78E81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6D8AD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4EA1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5823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A08C1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2AEC41"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B63F4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w:t>
            </w:r>
          </w:p>
        </w:tc>
      </w:tr>
      <w:tr w:rsidR="00D85658" w:rsidRPr="0063188E" w14:paraId="265CB4C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27725D" w14:textId="4975F64C"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Tas</w:t>
            </w:r>
            <w:r w:rsidR="000D7AF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5B365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FCE2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4199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E5850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2D1D9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D5A8C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8186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8E1AD6"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A86CA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w:t>
            </w:r>
          </w:p>
        </w:tc>
      </w:tr>
      <w:tr w:rsidR="00D85658" w:rsidRPr="0063188E" w14:paraId="3489153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12BE3" w14:textId="59D25081"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Vic</w:t>
            </w:r>
            <w:r w:rsidR="000D7AFB">
              <w:rPr>
                <w:rFonts w:eastAsia="Arial" w:cs="Arial"/>
                <w:color w:val="033636"/>
                <w:sz w:val="16"/>
                <w:szCs w:val="16"/>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4D704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D8C18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48C2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011AD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2,798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6F9B2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2,622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A0C48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F09FE"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4EFE2F"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447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A3D28"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6</w:t>
            </w:r>
          </w:p>
        </w:tc>
      </w:tr>
      <w:tr w:rsidR="00D85658" w:rsidRPr="0063188E" w14:paraId="2501E0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0028E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2E607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38803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9A970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A1402A"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1,007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7437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952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39BD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8DA9A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2F1E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213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79452"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color w:val="033636"/>
                <w:sz w:val="16"/>
                <w:szCs w:val="16"/>
              </w:rPr>
              <w:t>7</w:t>
            </w:r>
          </w:p>
        </w:tc>
      </w:tr>
      <w:tr w:rsidR="00D85658" w:rsidRPr="0063188E" w14:paraId="3E52539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0909B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rPr>
                <w:sz w:val="16"/>
                <w:szCs w:val="16"/>
              </w:rPr>
            </w:pPr>
            <w:r w:rsidRPr="00CE44FA">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C627E3"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20,706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52614"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18,559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C2956B"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EB270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11,958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441207"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11,341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746705"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A0E170"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4,636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F56F7D"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4,169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C2D42C" w14:textId="77777777" w:rsidR="00D85658" w:rsidRPr="00CE44FA"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sz w:val="16"/>
                <w:szCs w:val="16"/>
              </w:rPr>
            </w:pPr>
            <w:r w:rsidRPr="00CE44FA">
              <w:rPr>
                <w:rFonts w:eastAsia="Arial" w:cs="Arial"/>
                <w:b/>
                <w:color w:val="033636"/>
                <w:sz w:val="16"/>
                <w:szCs w:val="16"/>
              </w:rPr>
              <w:t>15</w:t>
            </w:r>
          </w:p>
        </w:tc>
      </w:tr>
    </w:tbl>
    <w:p w14:paraId="775D4C6C" w14:textId="046B4798" w:rsidR="00D85658" w:rsidRDefault="004C046E" w:rsidP="00E86F03">
      <w:pPr>
        <w:pStyle w:val="Smalltext"/>
      </w:pPr>
      <w:r w:rsidRPr="004C046E">
        <w:rPr>
          <w:b/>
          <w:bCs/>
        </w:rPr>
        <w:t xml:space="preserve">Please note, the current reporting period (30 December 2024 to 26 January 2025) will contain more case notifications than the </w:t>
      </w:r>
      <w:proofErr w:type="gramStart"/>
      <w:r w:rsidRPr="004C046E">
        <w:rPr>
          <w:b/>
          <w:bCs/>
        </w:rPr>
        <w:t>year to date</w:t>
      </w:r>
      <w:proofErr w:type="gramEnd"/>
      <w:r w:rsidRPr="004C046E">
        <w:rPr>
          <w:b/>
          <w:bCs/>
        </w:rPr>
        <w:t xml:space="preserve"> period (1 January to 1 January 2025).</w:t>
      </w:r>
      <w:r>
        <w:br/>
      </w:r>
      <w:r w:rsidR="00167569">
        <w:t xml:space="preserve">Source: </w:t>
      </w:r>
      <w:r w:rsidR="00167569" w:rsidRPr="00167569">
        <w:t>National Notifiable Diseases Surveillance System (NNDSS). Notification data are unavailable for the Northern Territory from 25 January 20</w:t>
      </w:r>
      <w:r w:rsidR="00F90D76">
        <w:t>2</w:t>
      </w:r>
      <w:r w:rsidR="00167569" w:rsidRPr="00167569">
        <w:t>5 and for Tasmania from 24 January 2025.</w:t>
      </w:r>
      <w:r w:rsidR="00D34FF3">
        <w:t xml:space="preserve"> </w:t>
      </w:r>
      <w:r w:rsidR="00167569">
        <w:br/>
        <w:t xml:space="preserve">* Rate per 100,000 population for the given </w:t>
      </w:r>
      <w:proofErr w:type="gramStart"/>
      <w:r w:rsidR="00167569">
        <w:t>time period</w:t>
      </w:r>
      <w:proofErr w:type="gramEnd"/>
      <w:r w:rsidR="00167569">
        <w:t xml:space="preserve">. Population data are based on the Australian Bureau of Statistics (ABS) </w:t>
      </w:r>
      <w:hyperlink r:id="rId19">
        <w:r w:rsidR="00167569">
          <w:rPr>
            <w:rStyle w:val="Hyperlink"/>
          </w:rPr>
          <w:t>Estimated Resident Population (ERP) for the reference period June 2024, released 12 December 2024</w:t>
        </w:r>
      </w:hyperlink>
      <w:r w:rsidR="00167569">
        <w:t>.</w:t>
      </w:r>
      <w:r w:rsidR="00167569">
        <w:br/>
        <w:t>† Total includes cases with missing age.</w:t>
      </w:r>
    </w:p>
    <w:p w14:paraId="3705F851" w14:textId="41F34AB7" w:rsidR="004C47BA" w:rsidRPr="00E86F03" w:rsidRDefault="004C47BA" w:rsidP="004B4E67">
      <w:pPr>
        <w:pStyle w:val="ListBullet"/>
      </w:pPr>
      <w:r w:rsidRPr="003B66EA">
        <w:t>This month the number of COVID-19 cases remain</w:t>
      </w:r>
      <w:r w:rsidR="00955594">
        <w:t>s</w:t>
      </w:r>
      <w:r w:rsidRPr="003B66EA">
        <w:t xml:space="preserve"> low. The number of </w:t>
      </w:r>
      <w:r w:rsidR="00174095">
        <w:t xml:space="preserve">COVID-19 </w:t>
      </w:r>
      <w:r w:rsidRPr="003B66EA">
        <w:t xml:space="preserve">cases this month </w:t>
      </w:r>
      <w:r w:rsidR="00955594">
        <w:t>is</w:t>
      </w:r>
      <w:r w:rsidR="00955594" w:rsidRPr="003B66EA">
        <w:t xml:space="preserve"> </w:t>
      </w:r>
      <w:r w:rsidRPr="003B66EA">
        <w:t>lower than the number of cases at the same time last year and</w:t>
      </w:r>
      <w:r>
        <w:t xml:space="preserve"> less than half the number of cases reported in the June 2024 peak</w:t>
      </w:r>
      <w:r w:rsidRPr="00E86F03">
        <w:t xml:space="preserve"> (Figure 2).</w:t>
      </w:r>
    </w:p>
    <w:p w14:paraId="44CFB79A" w14:textId="32D7196C" w:rsidR="004C47BA" w:rsidRDefault="00634C70" w:rsidP="004B4E67">
      <w:pPr>
        <w:pStyle w:val="ListBullet"/>
      </w:pPr>
      <w:r>
        <w:lastRenderedPageBreak/>
        <w:t xml:space="preserve">In the year to date, </w:t>
      </w:r>
      <w:r w:rsidR="004C47BA">
        <w:t xml:space="preserve">COVID-19 notification rates </w:t>
      </w:r>
      <w:r w:rsidR="00905A55">
        <w:t>remain</w:t>
      </w:r>
      <w:r w:rsidR="004C47BA">
        <w:t xml:space="preserve"> highest in people aged 70 years or over, likely </w:t>
      </w:r>
      <w:r w:rsidR="00905A55">
        <w:t xml:space="preserve">due to </w:t>
      </w:r>
      <w:r w:rsidR="004C47BA">
        <w:t xml:space="preserve">higher case ascertainment </w:t>
      </w:r>
      <w:r w:rsidR="00905A55">
        <w:t>from</w:t>
      </w:r>
      <w:r w:rsidR="004C47BA">
        <w:t xml:space="preserve"> targeted testing strategies for populations at-risk of severe disease </w:t>
      </w:r>
      <w:r w:rsidR="00905A55">
        <w:t xml:space="preserve">or </w:t>
      </w:r>
      <w:r w:rsidR="004C47BA">
        <w:t xml:space="preserve">who live in a high-risk setting such as a residential aged care </w:t>
      </w:r>
      <w:r w:rsidR="00905A55">
        <w:t>home (Table 1)</w:t>
      </w:r>
      <w:r w:rsidR="004C47BA">
        <w:t>.</w:t>
      </w:r>
    </w:p>
    <w:p w14:paraId="587D4FEB" w14:textId="5EF3736C" w:rsidR="00710345" w:rsidRDefault="00634C70" w:rsidP="004B4E67">
      <w:pPr>
        <w:pStyle w:val="ListBullet"/>
      </w:pPr>
      <w:r>
        <w:t xml:space="preserve">In the year to date, </w:t>
      </w:r>
      <w:r w:rsidR="00710345" w:rsidRPr="00C71850">
        <w:t>COVID-19</w:t>
      </w:r>
      <w:r w:rsidR="00710345">
        <w:t xml:space="preserve"> notification rates are highest in Queensland, th</w:t>
      </w:r>
      <w:r w:rsidR="00710345" w:rsidRPr="00C71850">
        <w:t xml:space="preserve">e Northern Territory and </w:t>
      </w:r>
      <w:r w:rsidR="00710345">
        <w:t xml:space="preserve">New South Wales and lowest in Western Australia </w:t>
      </w:r>
      <w:r w:rsidR="00710345" w:rsidRPr="00C71850">
        <w:t>(</w:t>
      </w:r>
      <w:r w:rsidR="00710345">
        <w:t xml:space="preserve">Table 1; </w:t>
      </w:r>
      <w:r w:rsidR="00710345" w:rsidRPr="00C71850">
        <w:t>Figure 3).</w:t>
      </w:r>
    </w:p>
    <w:p w14:paraId="38D5AC84" w14:textId="78DDA180" w:rsidR="00D85658" w:rsidRDefault="00167569">
      <w:pPr>
        <w:pStyle w:val="BodyText"/>
      </w:pPr>
      <w:r>
        <w:rPr>
          <w:b/>
          <w:bCs/>
        </w:rPr>
        <w:t xml:space="preserve">Figure 2: </w:t>
      </w:r>
      <w:r w:rsidR="00587C94">
        <w:rPr>
          <w:b/>
          <w:bCs/>
        </w:rPr>
        <w:t xml:space="preserve">Notified </w:t>
      </w:r>
      <w:r>
        <w:rPr>
          <w:b/>
          <w:bCs/>
        </w:rPr>
        <w:t xml:space="preserve">COVID-19 cases </w:t>
      </w:r>
      <w:r w:rsidR="00E27273">
        <w:rPr>
          <w:b/>
          <w:bCs/>
        </w:rPr>
        <w:t xml:space="preserve">(laboratory-confirmed only) </w:t>
      </w:r>
      <w:r>
        <w:rPr>
          <w:b/>
          <w:bCs/>
        </w:rPr>
        <w:t>by year and week of diagnosis, Australia, 2022 to 26 January 2025</w:t>
      </w:r>
    </w:p>
    <w:p w14:paraId="78481F70" w14:textId="1143ECAF" w:rsidR="00D85658" w:rsidRDefault="00DE7D2D">
      <w:pPr>
        <w:pStyle w:val="BodyText"/>
      </w:pPr>
      <w:r w:rsidRPr="00DE7D2D">
        <w:rPr>
          <w:noProof/>
        </w:rPr>
        <w:drawing>
          <wp:inline distT="0" distB="0" distL="0" distR="0" wp14:anchorId="75DBA85F" wp14:editId="57BC3B11">
            <wp:extent cx="6192520" cy="4470400"/>
            <wp:effectExtent l="0" t="0" r="0" b="6350"/>
            <wp:docPr id="1748432660" name="Picture 1" descr="Figure 2: Notified COVID-19 cases (laboratory-confirmed only) by year and week of diagnosis, Australia, 2022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32660" name="Picture 1" descr="Figure 2: Notified COVID-19 cases (laboratory-confirmed only) by year and week of diagnosis, Australia, 2022 to 26 January 2025"/>
                    <pic:cNvPicPr/>
                  </pic:nvPicPr>
                  <pic:blipFill>
                    <a:blip r:embed="rId20"/>
                    <a:stretch>
                      <a:fillRect/>
                    </a:stretch>
                  </pic:blipFill>
                  <pic:spPr>
                    <a:xfrm>
                      <a:off x="0" y="0"/>
                      <a:ext cx="6192520" cy="4470400"/>
                    </a:xfrm>
                    <a:prstGeom prst="rect">
                      <a:avLst/>
                    </a:prstGeom>
                  </pic:spPr>
                </pic:pic>
              </a:graphicData>
            </a:graphic>
          </wp:inline>
        </w:drawing>
      </w:r>
    </w:p>
    <w:p w14:paraId="01EB0394" w14:textId="0DE44B5F"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p>
    <w:p w14:paraId="2FF4E9DB" w14:textId="77777777" w:rsidR="00D85658" w:rsidRDefault="00167569">
      <w:r>
        <w:br w:type="page"/>
      </w:r>
    </w:p>
    <w:p w14:paraId="61BC4D07" w14:textId="5337CFA4" w:rsidR="00D85658" w:rsidRDefault="00167569">
      <w:pPr>
        <w:pStyle w:val="BodyText"/>
      </w:pPr>
      <w:r>
        <w:rPr>
          <w:b/>
          <w:bCs/>
        </w:rPr>
        <w:lastRenderedPageBreak/>
        <w:t>Figure 3: Notification rates</w:t>
      </w:r>
      <w:r w:rsidR="009B0810">
        <w:rPr>
          <w:b/>
          <w:bCs/>
        </w:rPr>
        <w:t>*</w:t>
      </w:r>
      <w:r>
        <w:rPr>
          <w:b/>
          <w:bCs/>
        </w:rPr>
        <w:t xml:space="preserve"> per 100,000 population for COVID-19 </w:t>
      </w:r>
      <w:r w:rsidR="00912354">
        <w:rPr>
          <w:b/>
          <w:bCs/>
        </w:rPr>
        <w:t>cases</w:t>
      </w:r>
      <w:r>
        <w:rPr>
          <w:b/>
          <w:bCs/>
        </w:rPr>
        <w:t xml:space="preserve"> by state or territory and week of diagnosis, Australia, 1 January to 26 January 2025</w:t>
      </w:r>
    </w:p>
    <w:p w14:paraId="0FE3E78D" w14:textId="166F92CC" w:rsidR="00D85658" w:rsidRDefault="00BE4C66">
      <w:pPr>
        <w:pStyle w:val="BodyText"/>
      </w:pPr>
      <w:r>
        <w:rPr>
          <w:noProof/>
        </w:rPr>
        <w:drawing>
          <wp:inline distT="0" distB="0" distL="0" distR="0" wp14:anchorId="515F489E" wp14:editId="4EFD358A">
            <wp:extent cx="6184900" cy="2650671"/>
            <wp:effectExtent l="0" t="0" r="0" b="0"/>
            <wp:docPr id="34" name="Picture" descr="Figure 3: Notification rates* per 100,000 population for COVID-19 cases by state or territory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34" name="Picture" descr="Figure 3: Notification rates* per 100,000 population for COVID-19 cases by state or territory and week of diagnosis, Australia, 1 January to 26 January 2025"/>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3536D62E" w14:textId="3F0A6C2A"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Rate per 100,000 population for the given </w:t>
      </w:r>
      <w:proofErr w:type="gramStart"/>
      <w:r>
        <w:t>time period</w:t>
      </w:r>
      <w:proofErr w:type="gramEnd"/>
      <w:r>
        <w:t xml:space="preserve">. Population data are based on the Australian Bureau of Statistics (ABS) </w:t>
      </w:r>
      <w:hyperlink r:id="rId23">
        <w:r>
          <w:rPr>
            <w:rStyle w:val="Hyperlink"/>
          </w:rPr>
          <w:t>Estimated Resident Population (ERP) for the reference period June 2024, released 12 December 2024</w:t>
        </w:r>
      </w:hyperlink>
    </w:p>
    <w:p w14:paraId="49694E9E" w14:textId="346D0208" w:rsidR="00D85658" w:rsidRDefault="00174095" w:rsidP="004B4E67">
      <w:pPr>
        <w:pStyle w:val="ListBullet"/>
      </w:pPr>
      <w:r>
        <w:t>This month</w:t>
      </w:r>
      <w:r w:rsidR="00167569">
        <w:t xml:space="preserve">, the number of influenza </w:t>
      </w:r>
      <w:r>
        <w:t>cases remain</w:t>
      </w:r>
      <w:r w:rsidR="00055249">
        <w:t>s</w:t>
      </w:r>
      <w:r>
        <w:t xml:space="preserve"> low. The number of influenza cases this month </w:t>
      </w:r>
      <w:r w:rsidR="00A665FF">
        <w:t xml:space="preserve">is </w:t>
      </w:r>
      <w:r>
        <w:t xml:space="preserve">slightly higher </w:t>
      </w:r>
      <w:r w:rsidR="00167569">
        <w:t>than the</w:t>
      </w:r>
      <w:r w:rsidR="000458FB">
        <w:t xml:space="preserve"> five-year average and the</w:t>
      </w:r>
      <w:r w:rsidR="00167569">
        <w:t xml:space="preserve"> number of </w:t>
      </w:r>
      <w:r w:rsidR="00E0369A">
        <w:t xml:space="preserve">cases seen </w:t>
      </w:r>
      <w:r w:rsidR="00167569">
        <w:t xml:space="preserve">in the same period in </w:t>
      </w:r>
      <w:r w:rsidR="00E86F03">
        <w:t>previous years</w:t>
      </w:r>
      <w:r w:rsidR="00E0369A">
        <w:t>;</w:t>
      </w:r>
      <w:r w:rsidR="00E86F03">
        <w:t xml:space="preserve"> however</w:t>
      </w:r>
      <w:r w:rsidR="00E0369A">
        <w:t>,</w:t>
      </w:r>
      <w:r w:rsidR="00E86F03">
        <w:t xml:space="preserve"> </w:t>
      </w:r>
      <w:r w:rsidR="00E0369A">
        <w:t>case numbers</w:t>
      </w:r>
      <w:r w:rsidR="00E86F03">
        <w:t xml:space="preserve"> remain at </w:t>
      </w:r>
      <w:r w:rsidR="00687D4D">
        <w:t xml:space="preserve">low </w:t>
      </w:r>
      <w:r w:rsidR="00E86F03">
        <w:t>interseasonal levels</w:t>
      </w:r>
      <w:r w:rsidR="00167569">
        <w:t xml:space="preserve"> (Figure 4</w:t>
      </w:r>
      <w:r w:rsidR="0008575F">
        <w:t>a; Figure 4b</w:t>
      </w:r>
      <w:r w:rsidR="00167569">
        <w:t>).</w:t>
      </w:r>
    </w:p>
    <w:p w14:paraId="39E9F708" w14:textId="72DCEAE8" w:rsidR="00B37DB5" w:rsidRDefault="00B37DB5" w:rsidP="004B4E67">
      <w:pPr>
        <w:pStyle w:val="ListBullet2"/>
      </w:pPr>
      <w:r>
        <w:t>The increase in the number of influenza cases this month is consistent with increases observed in previous summer periods (Figure 4a; Figure 4b</w:t>
      </w:r>
      <w:proofErr w:type="gramStart"/>
      <w:r>
        <w:t>).</w:t>
      </w:r>
      <w:r w:rsidR="00C00B63">
        <w:t>This</w:t>
      </w:r>
      <w:proofErr w:type="gramEnd"/>
      <w:r w:rsidR="00C00B63">
        <w:t xml:space="preserve"> increase could be due to </w:t>
      </w:r>
      <w:r w:rsidR="00930CF4">
        <w:t>increased influenza</w:t>
      </w:r>
      <w:r w:rsidR="006D6E13">
        <w:t xml:space="preserve"> circulating</w:t>
      </w:r>
      <w:r w:rsidR="00930CF4">
        <w:t xml:space="preserve"> in the community; however, could also be influenced</w:t>
      </w:r>
      <w:r w:rsidR="006D6E13">
        <w:t xml:space="preserve"> by</w:t>
      </w:r>
      <w:r w:rsidR="00930CF4">
        <w:t xml:space="preserve"> </w:t>
      </w:r>
      <w:r w:rsidR="00C00B63">
        <w:t xml:space="preserve">a number of factors: </w:t>
      </w:r>
    </w:p>
    <w:p w14:paraId="29F1D2C1" w14:textId="1A8BC2C5" w:rsidR="00C00B63" w:rsidRPr="004B4E67" w:rsidRDefault="00930CF4" w:rsidP="004B4E67">
      <w:pPr>
        <w:pStyle w:val="ListBullet3"/>
      </w:pPr>
      <w:r>
        <w:t xml:space="preserve">changes in health-seeking </w:t>
      </w:r>
      <w:r w:rsidRPr="004B4E67">
        <w:t xml:space="preserve">behaviour (increased testing) associated with increases in COVID-19 circulation </w:t>
      </w:r>
      <w:r w:rsidR="009B196E" w:rsidRPr="004B4E67">
        <w:t xml:space="preserve">in </w:t>
      </w:r>
      <w:r w:rsidRPr="004B4E67">
        <w:t>the summer</w:t>
      </w:r>
      <w:r w:rsidR="00BA7412" w:rsidRPr="004B4E67">
        <w:t xml:space="preserve"> period</w:t>
      </w:r>
      <w:r w:rsidR="00761D96" w:rsidRPr="004B4E67">
        <w:t>.</w:t>
      </w:r>
    </w:p>
    <w:p w14:paraId="0FBA693F" w14:textId="2F4FD335" w:rsidR="00930CF4" w:rsidRDefault="00930CF4" w:rsidP="004B4E67">
      <w:pPr>
        <w:pStyle w:val="ListBullet3"/>
      </w:pPr>
      <w:r w:rsidRPr="004B4E67">
        <w:t>changes in health-seeking behaviour</w:t>
      </w:r>
      <w:r>
        <w:t xml:space="preserve"> (increased testing) </w:t>
      </w:r>
      <w:r w:rsidR="00343B3A">
        <w:t xml:space="preserve">as a result of </w:t>
      </w:r>
      <w:r w:rsidR="00835FDE">
        <w:t xml:space="preserve">public </w:t>
      </w:r>
      <w:r w:rsidR="00343B3A">
        <w:t>concern</w:t>
      </w:r>
      <w:r w:rsidR="00835FDE">
        <w:t xml:space="preserve"> over </w:t>
      </w:r>
      <w:r>
        <w:t xml:space="preserve">media reports from early January about </w:t>
      </w:r>
      <w:hyperlink r:id="rId24" w:anchor=":~:text=Incidence%20of%20hMPV%20in%20Australia,a%20respiratory%20pathogen%2C%20had%20hMPV." w:history="1">
        <w:r w:rsidR="00835FDE">
          <w:rPr>
            <w:rStyle w:val="Hyperlink"/>
          </w:rPr>
          <w:t>human metapneumovirus (hMPV) cases</w:t>
        </w:r>
      </w:hyperlink>
      <w:r w:rsidR="00835FDE">
        <w:t xml:space="preserve"> in China</w:t>
      </w:r>
      <w:r>
        <w:t>.</w:t>
      </w:r>
    </w:p>
    <w:p w14:paraId="67F9CEED" w14:textId="42894964" w:rsidR="00D85658" w:rsidRDefault="001C47E6" w:rsidP="004B4E67">
      <w:pPr>
        <w:pStyle w:val="ListBullet"/>
      </w:pPr>
      <w:r>
        <w:t>In the year to date, i</w:t>
      </w:r>
      <w:r w:rsidR="00167569">
        <w:t xml:space="preserve">nfluenza notification rates </w:t>
      </w:r>
      <w:r w:rsidR="009E150D">
        <w:t>are</w:t>
      </w:r>
      <w:r w:rsidR="00167569">
        <w:t xml:space="preserve"> highest in children aged 0–4 years</w:t>
      </w:r>
      <w:r w:rsidR="00A60ABB">
        <w:t xml:space="preserve"> and</w:t>
      </w:r>
      <w:r w:rsidR="00167569">
        <w:t xml:space="preserve"> 5–9 years (Table 1).</w:t>
      </w:r>
    </w:p>
    <w:p w14:paraId="4494BAEF" w14:textId="0ED81FEB" w:rsidR="009E150D" w:rsidRDefault="001C47E6" w:rsidP="004B4E67">
      <w:pPr>
        <w:pStyle w:val="ListBullet"/>
      </w:pPr>
      <w:r>
        <w:t>In the year to date,</w:t>
      </w:r>
      <w:r w:rsidR="009E150D">
        <w:t xml:space="preserve"> i</w:t>
      </w:r>
      <w:r w:rsidR="009E150D" w:rsidRPr="00E86F03">
        <w:t>nfluenza notification</w:t>
      </w:r>
      <w:r w:rsidR="009E150D">
        <w:t xml:space="preserve"> rate</w:t>
      </w:r>
      <w:r w:rsidR="009E150D" w:rsidRPr="00E86F03">
        <w:t>s</w:t>
      </w:r>
      <w:r w:rsidR="009E150D">
        <w:t xml:space="preserve"> are highest</w:t>
      </w:r>
      <w:r w:rsidR="009E150D" w:rsidRPr="00E86F03">
        <w:t xml:space="preserve"> in New South Wales and the Northern Territory</w:t>
      </w:r>
      <w:r w:rsidR="009E150D">
        <w:t xml:space="preserve"> and lowest in the Australian Capital Territory and Western Australia</w:t>
      </w:r>
      <w:r w:rsidR="009E150D" w:rsidRPr="00E86F03">
        <w:t xml:space="preserve"> (</w:t>
      </w:r>
      <w:r w:rsidR="009E150D">
        <w:t xml:space="preserve">Table 1; </w:t>
      </w:r>
      <w:r w:rsidR="009E150D" w:rsidRPr="00E86F03">
        <w:t>Figure 5).</w:t>
      </w:r>
    </w:p>
    <w:p w14:paraId="2289A9B0" w14:textId="386E9162" w:rsidR="00024758" w:rsidRDefault="00024758">
      <w:pPr>
        <w:spacing w:before="0" w:after="0" w:line="240" w:lineRule="auto"/>
      </w:pPr>
      <w:r>
        <w:br w:type="page"/>
      </w:r>
    </w:p>
    <w:p w14:paraId="21F75951" w14:textId="42C41F54" w:rsidR="00BE4C66" w:rsidRDefault="00167569" w:rsidP="0035733B">
      <w:pPr>
        <w:pStyle w:val="Smalltext"/>
      </w:pPr>
      <w:r w:rsidRPr="00CE44FA">
        <w:rPr>
          <w:b/>
          <w:bCs/>
          <w:sz w:val="20"/>
        </w:rPr>
        <w:lastRenderedPageBreak/>
        <w:t xml:space="preserve">Figure 4a: </w:t>
      </w:r>
      <w:r w:rsidR="00FF13BB" w:rsidRPr="00CE44FA">
        <w:rPr>
          <w:b/>
          <w:bCs/>
          <w:sz w:val="20"/>
        </w:rPr>
        <w:t>Notified i</w:t>
      </w:r>
      <w:r w:rsidRPr="00CE44FA">
        <w:rPr>
          <w:b/>
          <w:bCs/>
          <w:sz w:val="20"/>
        </w:rPr>
        <w:t xml:space="preserve">nfluenza cases and five-year average* by </w:t>
      </w:r>
      <w:r w:rsidR="00FF13BB" w:rsidRPr="00CE44FA">
        <w:rPr>
          <w:b/>
          <w:bCs/>
          <w:sz w:val="20"/>
        </w:rPr>
        <w:t xml:space="preserve">influenza subtype, </w:t>
      </w:r>
      <w:r w:rsidRPr="00CE44FA">
        <w:rPr>
          <w:b/>
          <w:bCs/>
          <w:sz w:val="20"/>
        </w:rPr>
        <w:t>year</w:t>
      </w:r>
      <w:r w:rsidR="00FF13BB" w:rsidRPr="00CE44FA">
        <w:rPr>
          <w:b/>
          <w:bCs/>
          <w:sz w:val="20"/>
        </w:rPr>
        <w:t>,</w:t>
      </w:r>
      <w:r w:rsidRPr="00CE44FA">
        <w:rPr>
          <w:b/>
          <w:bCs/>
          <w:sz w:val="20"/>
        </w:rPr>
        <w:t xml:space="preserve"> week of diagnosis, Australia, 2022 to 26 January 2025</w:t>
      </w:r>
      <w:r>
        <w:t xml:space="preserve"> </w:t>
      </w:r>
    </w:p>
    <w:p w14:paraId="0D1C0970" w14:textId="406A082E" w:rsidR="00D304B8" w:rsidRDefault="00BE4C66" w:rsidP="0035733B">
      <w:pPr>
        <w:pStyle w:val="Smalltext"/>
      </w:pPr>
      <w:r w:rsidRPr="00BE4C66">
        <w:rPr>
          <w:noProof/>
        </w:rPr>
        <w:drawing>
          <wp:inline distT="0" distB="0" distL="0" distR="0" wp14:anchorId="43922466" wp14:editId="5B6BDEA8">
            <wp:extent cx="6192520" cy="4403725"/>
            <wp:effectExtent l="0" t="0" r="0" b="0"/>
            <wp:docPr id="935501248" name="Picture 1" descr="Figure 4a: Notified influenza cases and five-year average* by influenza subtype, year, week of diagnosis, Australia, 2022 to 26 January 20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501248" name="Picture 1" descr="Figure 4a: Notified influenza cases and five-year average* by influenza subtype, year, week of diagnosis, Australia, 2022 to 26 January 2025 "/>
                    <pic:cNvPicPr/>
                  </pic:nvPicPr>
                  <pic:blipFill>
                    <a:blip r:embed="rId25"/>
                    <a:stretch>
                      <a:fillRect/>
                    </a:stretch>
                  </pic:blipFill>
                  <pic:spPr>
                    <a:xfrm>
                      <a:off x="0" y="0"/>
                      <a:ext cx="6192520" cy="4403725"/>
                    </a:xfrm>
                    <a:prstGeom prst="rect">
                      <a:avLst/>
                    </a:prstGeom>
                  </pic:spPr>
                </pic:pic>
              </a:graphicData>
            </a:graphic>
          </wp:inline>
        </w:drawing>
      </w:r>
      <w:r w:rsidR="00D304B8">
        <w:br/>
      </w:r>
      <w:r w:rsidR="00D304B8" w:rsidRPr="00CE44FA">
        <w:rPr>
          <w:rStyle w:val="SmalltextChar"/>
        </w:rPr>
        <w:t>Source: National Notifiable Diseases Surveillance System (NNDSS). Notification data are unavailable for the Northern Territory from 25 January 20</w:t>
      </w:r>
      <w:r w:rsidR="00F90D76">
        <w:rPr>
          <w:rStyle w:val="SmalltextChar"/>
        </w:rPr>
        <w:t>2</w:t>
      </w:r>
      <w:r w:rsidR="00D304B8" w:rsidRPr="00CE44FA">
        <w:rPr>
          <w:rStyle w:val="SmalltextChar"/>
        </w:rPr>
        <w:t>5 and for Tasmania from 24 January 2025.</w:t>
      </w:r>
      <w:r w:rsidR="00D304B8" w:rsidRPr="00CE44FA">
        <w:rPr>
          <w:rStyle w:val="SmalltextChar"/>
        </w:rP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6">
        <w:r w:rsidR="00F87BEB" w:rsidRPr="00F87BEB">
          <w:rPr>
            <w:rStyle w:val="Hyperlink"/>
          </w:rPr>
          <w:t>Technical Supplement</w:t>
        </w:r>
      </w:hyperlink>
      <w:r w:rsidR="00D304B8" w:rsidRPr="00CE44FA">
        <w:rPr>
          <w:rStyle w:val="SmalltextChar"/>
        </w:rPr>
        <w:t xml:space="preserve"> for interpretation of the five-year average.</w:t>
      </w:r>
    </w:p>
    <w:p w14:paraId="523D5F36" w14:textId="79642F10" w:rsidR="00D85658" w:rsidRDefault="00167569" w:rsidP="00E86F03">
      <w:pPr>
        <w:pStyle w:val="BodyText"/>
        <w:spacing w:after="0"/>
      </w:pPr>
      <w:r>
        <w:rPr>
          <w:b/>
          <w:bCs/>
        </w:rPr>
        <w:t xml:space="preserve">Figure 4b: </w:t>
      </w:r>
      <w:r w:rsidR="003065F3">
        <w:rPr>
          <w:b/>
          <w:bCs/>
        </w:rPr>
        <w:t>Notified influenza cases</w:t>
      </w:r>
      <w:r>
        <w:rPr>
          <w:b/>
          <w:bCs/>
        </w:rPr>
        <w:t xml:space="preserve"> by </w:t>
      </w:r>
      <w:r w:rsidR="003065F3">
        <w:rPr>
          <w:b/>
          <w:bCs/>
        </w:rPr>
        <w:t xml:space="preserve">year and </w:t>
      </w:r>
      <w:r>
        <w:rPr>
          <w:b/>
          <w:bCs/>
        </w:rPr>
        <w:t>week of diagnosis, Australia, 2022 to 26 January 2025</w:t>
      </w:r>
    </w:p>
    <w:p w14:paraId="177A88D7" w14:textId="0C6510B6" w:rsidR="00D85658" w:rsidRDefault="00C173C5" w:rsidP="00E86F03">
      <w:pPr>
        <w:pStyle w:val="BodyText"/>
        <w:spacing w:before="0" w:after="0"/>
      </w:pPr>
      <w:r>
        <w:rPr>
          <w:noProof/>
        </w:rPr>
        <w:drawing>
          <wp:inline distT="0" distB="0" distL="0" distR="0" wp14:anchorId="1C3ED1C3" wp14:editId="00A85E2C">
            <wp:extent cx="6184900" cy="2650671"/>
            <wp:effectExtent l="0" t="0" r="0" b="0"/>
            <wp:docPr id="40" name="Picture" descr="Figure 4b: Notified influenza cases by year and week of diagnosis, Australia, 2022 to 26 January 2025"/>
            <wp:cNvGraphicFramePr/>
            <a:graphic xmlns:a="http://schemas.openxmlformats.org/drawingml/2006/main">
              <a:graphicData uri="http://schemas.openxmlformats.org/drawingml/2006/picture">
                <pic:pic xmlns:pic="http://schemas.openxmlformats.org/drawingml/2006/picture">
                  <pic:nvPicPr>
                    <pic:cNvPr id="40" name="Picture" descr="Figure 4b: Notified influenza cases by year and week of diagnosis, Australia, 2022 to 26 January 2025"/>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2E05B00" w14:textId="12EA451C"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9">
        <w:r>
          <w:rPr>
            <w:rStyle w:val="Hyperlink"/>
          </w:rPr>
          <w:t>Technical Supplement</w:t>
        </w:r>
      </w:hyperlink>
      <w:r>
        <w:t xml:space="preserve"> for interpretation of the five-year average.</w:t>
      </w:r>
    </w:p>
    <w:p w14:paraId="2A27C18A" w14:textId="7CB0BD8F" w:rsidR="00DB7193" w:rsidRDefault="00167569" w:rsidP="004B4E67">
      <w:pPr>
        <w:pStyle w:val="ListBullet"/>
      </w:pPr>
      <w:r>
        <w:lastRenderedPageBreak/>
        <w:t xml:space="preserve">This </w:t>
      </w:r>
      <w:r w:rsidR="003F704A">
        <w:t>month</w:t>
      </w:r>
      <w:r>
        <w:t>, most influenza notifications were influenza A(Unsubtyped) (81.1%; 9,692/11,958), followed by influenza B (15.6%; 1,867/11,958)</w:t>
      </w:r>
      <w:r w:rsidR="00DB7193">
        <w:t xml:space="preserve"> and there were seven influenza A&amp;B co-detections (Figure 5).</w:t>
      </w:r>
      <w:r>
        <w:t xml:space="preserve"> </w:t>
      </w:r>
    </w:p>
    <w:p w14:paraId="70112109" w14:textId="4F2DE188" w:rsidR="00D85658" w:rsidRDefault="00DB7193" w:rsidP="004B4E67">
      <w:pPr>
        <w:pStyle w:val="ListBullet2"/>
      </w:pPr>
      <w:r>
        <w:t xml:space="preserve">Of the influenza A notifications that have been further subtyped, 86.4% (285/330) were </w:t>
      </w:r>
      <w:r w:rsidR="00167569">
        <w:t xml:space="preserve">influenza A(H1N1) and </w:t>
      </w:r>
      <w:r>
        <w:t xml:space="preserve">21.8% (72/330) were </w:t>
      </w:r>
      <w:r w:rsidR="00167569">
        <w:t>influenza A(H3N2).</w:t>
      </w:r>
    </w:p>
    <w:p w14:paraId="32CB7DD7" w14:textId="7A4DDCC0" w:rsidR="003F704A" w:rsidRDefault="00167569" w:rsidP="004B4E67">
      <w:pPr>
        <w:pStyle w:val="ListBullet"/>
      </w:pPr>
      <w:r>
        <w:t xml:space="preserve">In the year to date, influenza A has accounted for </w:t>
      </w:r>
      <w:proofErr w:type="gramStart"/>
      <w:r>
        <w:t>the majority of</w:t>
      </w:r>
      <w:proofErr w:type="gramEnd"/>
      <w:r>
        <w:t xml:space="preserve"> influenza notifications across all jurisdictions</w:t>
      </w:r>
      <w:r w:rsidR="00D75CBA">
        <w:t xml:space="preserve"> (Figure 5)</w:t>
      </w:r>
      <w:r>
        <w:t>.</w:t>
      </w:r>
    </w:p>
    <w:p w14:paraId="506CC7F2" w14:textId="4C94CB80" w:rsidR="00D85658" w:rsidRDefault="00167569">
      <w:r>
        <w:rPr>
          <w:b/>
          <w:bCs/>
        </w:rPr>
        <w:t xml:space="preserve">Figure 5: </w:t>
      </w:r>
      <w:r w:rsidR="00FF2871">
        <w:rPr>
          <w:b/>
          <w:bCs/>
        </w:rPr>
        <w:t>Notified influenza cases</w:t>
      </w:r>
      <w:r>
        <w:rPr>
          <w:b/>
          <w:bCs/>
        </w:rPr>
        <w:t xml:space="preserve"> by </w:t>
      </w:r>
      <w:r w:rsidR="00FF2871">
        <w:rPr>
          <w:b/>
          <w:bCs/>
        </w:rPr>
        <w:t xml:space="preserve">influenza </w:t>
      </w:r>
      <w:r>
        <w:rPr>
          <w:b/>
          <w:bCs/>
        </w:rPr>
        <w:t>subtype</w:t>
      </w:r>
      <w:r w:rsidR="00FF2871">
        <w:rPr>
          <w:b/>
          <w:bCs/>
        </w:rPr>
        <w:t xml:space="preserve">, </w:t>
      </w:r>
      <w:r>
        <w:rPr>
          <w:b/>
          <w:bCs/>
        </w:rPr>
        <w:t>jurisdiction</w:t>
      </w:r>
      <w:r w:rsidR="00FF2871" w:rsidRPr="00FF2871">
        <w:rPr>
          <w:b/>
          <w:bCs/>
        </w:rPr>
        <w:t xml:space="preserve"> </w:t>
      </w:r>
      <w:r w:rsidR="00FF2871">
        <w:rPr>
          <w:b/>
          <w:bCs/>
        </w:rPr>
        <w:t>and week of diagnosis</w:t>
      </w:r>
      <w:r>
        <w:rPr>
          <w:b/>
          <w:bCs/>
        </w:rPr>
        <w:t>, Australia, 1 January to 26 January 2025</w:t>
      </w:r>
    </w:p>
    <w:p w14:paraId="783F818D" w14:textId="77777777" w:rsidR="00D85658" w:rsidRDefault="00167569">
      <w:pPr>
        <w:pStyle w:val="BodyText"/>
      </w:pPr>
      <w:r>
        <w:rPr>
          <w:noProof/>
        </w:rPr>
        <w:drawing>
          <wp:inline distT="0" distB="0" distL="0" distR="0" wp14:anchorId="46B77797" wp14:editId="02B1EEF3">
            <wp:extent cx="6184900" cy="5463960"/>
            <wp:effectExtent l="0" t="0" r="0" b="0"/>
            <wp:docPr id="43" name="Picture" descr="Figure 5: Notified influenza cases by influenza subtype, jurisdiction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43" name="Picture" descr="Figure 5: Notified influenza cases by influenza subtype, jurisdiction and week of diagnosis, Australia, 1 January to 26 January 2025"/>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3759FAFB" w14:textId="4A384AF0"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p>
    <w:p w14:paraId="11FE334C" w14:textId="034FC9AA" w:rsidR="00D85658" w:rsidRDefault="00167569" w:rsidP="00E86F03">
      <w:pPr>
        <w:pStyle w:val="BodyText"/>
        <w:keepNext/>
      </w:pPr>
      <w:r>
        <w:rPr>
          <w:b/>
          <w:bCs/>
        </w:rPr>
        <w:lastRenderedPageBreak/>
        <w:t>Figure 6: Notification rates</w:t>
      </w:r>
      <w:r w:rsidR="00834A64">
        <w:rPr>
          <w:b/>
          <w:bCs/>
        </w:rPr>
        <w:t>*</w:t>
      </w:r>
      <w:r>
        <w:rPr>
          <w:b/>
          <w:bCs/>
        </w:rPr>
        <w:t xml:space="preserve"> per 100,000 population for influenza cases by state or territory and week of diagnosis, Australia, 1 January to 26 January 2025</w:t>
      </w:r>
    </w:p>
    <w:p w14:paraId="6002A25B" w14:textId="7E497023" w:rsidR="00D85658" w:rsidRDefault="007040B0">
      <w:pPr>
        <w:pStyle w:val="BodyText"/>
      </w:pPr>
      <w:r>
        <w:rPr>
          <w:noProof/>
        </w:rPr>
        <w:drawing>
          <wp:inline distT="0" distB="0" distL="0" distR="0" wp14:anchorId="625FF210" wp14:editId="2161CAFF">
            <wp:extent cx="6184900" cy="2650671"/>
            <wp:effectExtent l="0" t="0" r="0" b="0"/>
            <wp:docPr id="46" name="Picture" descr="Figure 6: Notification rates* per 100,000 population for influenza cases by state or territory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46" name="Picture" descr="Figure 6: Notification rates* per 100,000 population for influenza cases by state or territory and week of diagnosis, Australia, 1 January to 26 January 2025"/>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601B5C4A" w14:textId="258DC12B"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Rate per 100,000 population for the given </w:t>
      </w:r>
      <w:proofErr w:type="gramStart"/>
      <w:r>
        <w:t>time period</w:t>
      </w:r>
      <w:proofErr w:type="gramEnd"/>
      <w:r>
        <w:t xml:space="preserve">. Population data are based on the Australian Bureau of Statistics (ABS) </w:t>
      </w:r>
      <w:hyperlink r:id="rId34">
        <w:r>
          <w:rPr>
            <w:rStyle w:val="Hyperlink"/>
          </w:rPr>
          <w:t>Estimated Resident Population (ERP) for the reference period June 2024, released 12 December 2024</w:t>
        </w:r>
      </w:hyperlink>
      <w:r>
        <w:t>.</w:t>
      </w:r>
    </w:p>
    <w:p w14:paraId="14B07DEB" w14:textId="56BF3042" w:rsidR="00D85658" w:rsidRDefault="00683701" w:rsidP="004B4E67">
      <w:pPr>
        <w:pStyle w:val="ListBullet"/>
      </w:pPr>
      <w:r w:rsidRPr="00683701">
        <w:t xml:space="preserve">This month, the number of </w:t>
      </w:r>
      <w:r>
        <w:t>RSV</w:t>
      </w:r>
      <w:r w:rsidRPr="00683701">
        <w:t xml:space="preserve"> cases remain</w:t>
      </w:r>
      <w:r w:rsidR="00587782">
        <w:t>s</w:t>
      </w:r>
      <w:r w:rsidRPr="00683701">
        <w:t xml:space="preserve"> low</w:t>
      </w:r>
      <w:r w:rsidR="00A05298">
        <w:t xml:space="preserve"> and</w:t>
      </w:r>
      <w:r w:rsidR="0028307A">
        <w:t xml:space="preserve"> consistent with </w:t>
      </w:r>
      <w:r w:rsidR="0028307A" w:rsidRPr="00683701">
        <w:t xml:space="preserve">the number of cases seen in the same </w:t>
      </w:r>
      <w:r w:rsidR="0028307A">
        <w:t xml:space="preserve">interseasonal </w:t>
      </w:r>
      <w:r w:rsidR="0028307A" w:rsidRPr="00683701">
        <w:t>period in previous years</w:t>
      </w:r>
      <w:r w:rsidRPr="00683701">
        <w:t xml:space="preserve">. </w:t>
      </w:r>
      <w:r w:rsidR="00F96124">
        <w:t>T</w:t>
      </w:r>
      <w:r w:rsidR="00A05298">
        <w:t>he number of RSV cases decreased</w:t>
      </w:r>
      <w:r w:rsidR="00F96124">
        <w:t xml:space="preserve"> this month,</w:t>
      </w:r>
      <w:r w:rsidR="00A05298">
        <w:t xml:space="preserve"> compared with the previous month</w:t>
      </w:r>
      <w:r w:rsidR="00F96124">
        <w:t xml:space="preserve"> where a</w:t>
      </w:r>
      <w:r w:rsidR="00A510C7">
        <w:t xml:space="preserve"> </w:t>
      </w:r>
      <w:r w:rsidR="00F96124">
        <w:t>small increase</w:t>
      </w:r>
      <w:r w:rsidR="00A510C7">
        <w:t xml:space="preserve"> in RSV case numbers</w:t>
      </w:r>
      <w:r w:rsidR="00F96124">
        <w:t xml:space="preserve"> occurred; however</w:t>
      </w:r>
      <w:r w:rsidR="00A05298">
        <w:t>, RSV cases numbers are beginning to</w:t>
      </w:r>
      <w:r w:rsidR="009503EE">
        <w:t xml:space="preserve"> trend upward overall</w:t>
      </w:r>
      <w:r w:rsidR="0028307A">
        <w:t xml:space="preserve"> </w:t>
      </w:r>
      <w:r w:rsidR="00167569" w:rsidRPr="00E86F03">
        <w:t>(Figure 7).</w:t>
      </w:r>
      <w:r w:rsidR="00F96124">
        <w:t xml:space="preserve"> </w:t>
      </w:r>
    </w:p>
    <w:p w14:paraId="0FE6DC09" w14:textId="4661E16E" w:rsidR="00B52A20" w:rsidRPr="00E86F03" w:rsidRDefault="00B52A20" w:rsidP="004B4E67">
      <w:pPr>
        <w:pStyle w:val="ListBullet2"/>
      </w:pPr>
      <w:proofErr w:type="gramStart"/>
      <w:r>
        <w:t>Similar to</w:t>
      </w:r>
      <w:proofErr w:type="gramEnd"/>
      <w:r>
        <w:t xml:space="preserve"> influenza notification trends, the recent increase in RSV cases could be due to increased RSV circulating in the community; however, could also be influenced by the changes in health-seeking behaviour (increased testing) described above.  </w:t>
      </w:r>
    </w:p>
    <w:p w14:paraId="67A22CB0" w14:textId="2EB8F9E1" w:rsidR="00D85658" w:rsidRDefault="00DE6B93" w:rsidP="004B4E67">
      <w:pPr>
        <w:pStyle w:val="ListBullet"/>
      </w:pPr>
      <w:r>
        <w:t xml:space="preserve">In the year to date, </w:t>
      </w:r>
      <w:r w:rsidR="00167569">
        <w:t xml:space="preserve">RSV notification rates </w:t>
      </w:r>
      <w:r w:rsidR="0052180A">
        <w:t xml:space="preserve">remain considerably higher </w:t>
      </w:r>
      <w:r w:rsidR="00167569">
        <w:t>in children aged 0–4 years</w:t>
      </w:r>
      <w:r w:rsidR="0052180A">
        <w:t xml:space="preserve"> than in other age groups </w:t>
      </w:r>
      <w:r w:rsidR="00167569">
        <w:t>(Table 1).</w:t>
      </w:r>
    </w:p>
    <w:p w14:paraId="3D932133" w14:textId="3C33AD57" w:rsidR="00D85658" w:rsidRDefault="00DE6B93" w:rsidP="004B4E67">
      <w:pPr>
        <w:pStyle w:val="ListBullet"/>
      </w:pPr>
      <w:r>
        <w:t>In the year to date,</w:t>
      </w:r>
      <w:r w:rsidR="002B7C7C">
        <w:t xml:space="preserve"> </w:t>
      </w:r>
      <w:r w:rsidR="00E86F03">
        <w:t>RSV</w:t>
      </w:r>
      <w:r w:rsidR="00E86F03" w:rsidRPr="00C71850">
        <w:t xml:space="preserve"> </w:t>
      </w:r>
      <w:r w:rsidR="002B7C7C">
        <w:t>notification rates are</w:t>
      </w:r>
      <w:r w:rsidR="00E86F03" w:rsidRPr="00C71850">
        <w:t xml:space="preserve"> highe</w:t>
      </w:r>
      <w:r w:rsidR="00C73DE4">
        <w:t xml:space="preserve">st </w:t>
      </w:r>
      <w:r w:rsidR="00E86F03" w:rsidRPr="00C71850">
        <w:t xml:space="preserve">in </w:t>
      </w:r>
      <w:r w:rsidR="00C73DE4">
        <w:t xml:space="preserve">Queensland and </w:t>
      </w:r>
      <w:r w:rsidR="00E86F03" w:rsidRPr="00C71850">
        <w:t xml:space="preserve">the Northern Territory and </w:t>
      </w:r>
      <w:r w:rsidR="00C73DE4">
        <w:t>lowest in Victoria</w:t>
      </w:r>
      <w:r w:rsidR="00C97867">
        <w:t xml:space="preserve"> and Western Australia</w:t>
      </w:r>
      <w:r w:rsidR="00E86F03" w:rsidRPr="00C71850">
        <w:t xml:space="preserve"> (</w:t>
      </w:r>
      <w:r w:rsidR="002B7C7C">
        <w:t xml:space="preserve">Table 1; </w:t>
      </w:r>
      <w:r w:rsidR="00E86F03" w:rsidRPr="00C71850">
        <w:t xml:space="preserve">Figure </w:t>
      </w:r>
      <w:r w:rsidR="00E86F03">
        <w:t>8</w:t>
      </w:r>
      <w:r w:rsidR="00E86F03" w:rsidRPr="00C71850">
        <w:t>).</w:t>
      </w:r>
    </w:p>
    <w:p w14:paraId="506D6FD4" w14:textId="6239F24C" w:rsidR="00D85658" w:rsidRDefault="00167569" w:rsidP="00E86F03">
      <w:pPr>
        <w:pStyle w:val="BodyText"/>
        <w:keepNext/>
      </w:pPr>
      <w:r>
        <w:rPr>
          <w:b/>
          <w:bCs/>
        </w:rPr>
        <w:lastRenderedPageBreak/>
        <w:t xml:space="preserve">Figure 7: </w:t>
      </w:r>
      <w:r w:rsidR="00E65F48">
        <w:rPr>
          <w:b/>
          <w:bCs/>
        </w:rPr>
        <w:t xml:space="preserve">Notified </w:t>
      </w:r>
      <w:r>
        <w:rPr>
          <w:b/>
          <w:bCs/>
        </w:rPr>
        <w:t>RSV cases by year and week of diagnosis*, Australia, 2023 to 26 January 2025</w:t>
      </w:r>
    </w:p>
    <w:p w14:paraId="1167EABD" w14:textId="05DAEB2B" w:rsidR="00D85658" w:rsidRDefault="007040B0">
      <w:pPr>
        <w:pStyle w:val="BodyText"/>
      </w:pPr>
      <w:r w:rsidRPr="007040B0">
        <w:rPr>
          <w:noProof/>
        </w:rPr>
        <w:drawing>
          <wp:inline distT="0" distB="0" distL="0" distR="0" wp14:anchorId="3A7C817A" wp14:editId="49C68658">
            <wp:extent cx="6192520" cy="4533265"/>
            <wp:effectExtent l="0" t="0" r="0" b="635"/>
            <wp:docPr id="711958486" name="Picture 1" descr="Figure 7: Notified RSV cases by year and week of diagnosis*, Australia, 2023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58486" name="Picture 1" descr="Figure 7: Notified RSV cases by year and week of diagnosis*, Australia, 2023 to 26 January 2025"/>
                    <pic:cNvPicPr/>
                  </pic:nvPicPr>
                  <pic:blipFill>
                    <a:blip r:embed="rId35"/>
                    <a:stretch>
                      <a:fillRect/>
                    </a:stretch>
                  </pic:blipFill>
                  <pic:spPr>
                    <a:xfrm>
                      <a:off x="0" y="0"/>
                      <a:ext cx="6192520" cy="4533265"/>
                    </a:xfrm>
                    <a:prstGeom prst="rect">
                      <a:avLst/>
                    </a:prstGeom>
                  </pic:spPr>
                </pic:pic>
              </a:graphicData>
            </a:graphic>
          </wp:inline>
        </w:drawing>
      </w:r>
    </w:p>
    <w:p w14:paraId="5AA51C84" w14:textId="5012FB1C"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rsidR="008C2F03">
        <w:t xml:space="preserve"> Please note, </w:t>
      </w:r>
      <w:r w:rsidR="00AD6929" w:rsidRPr="00AD6929">
        <w:t>RSV became notifiable in all states and territories on 1 September 2022 and comprehensive national notification data became available after this point. For this reason, RSV notification trends are only presented from 1 January 2023.</w:t>
      </w:r>
    </w:p>
    <w:p w14:paraId="4457499D" w14:textId="64112C51" w:rsidR="00D85658" w:rsidRDefault="00167569">
      <w:pPr>
        <w:pStyle w:val="BodyText"/>
      </w:pPr>
      <w:r>
        <w:rPr>
          <w:b/>
          <w:bCs/>
        </w:rPr>
        <w:t>Figure 8: Notification rates</w:t>
      </w:r>
      <w:r w:rsidR="009C3E6D">
        <w:rPr>
          <w:b/>
          <w:bCs/>
        </w:rPr>
        <w:t>*</w:t>
      </w:r>
      <w:r>
        <w:rPr>
          <w:b/>
          <w:bCs/>
        </w:rPr>
        <w:t xml:space="preserve"> per 100,000 population for RSV cases by state or territory and week of diagnosis, Australia, 1 January to 26 January 2025</w:t>
      </w:r>
    </w:p>
    <w:p w14:paraId="63AFF36F" w14:textId="1C7E99FA" w:rsidR="00D85658" w:rsidRDefault="00227294">
      <w:pPr>
        <w:pStyle w:val="BodyText"/>
      </w:pPr>
      <w:r>
        <w:rPr>
          <w:noProof/>
        </w:rPr>
        <w:drawing>
          <wp:inline distT="0" distB="0" distL="0" distR="0" wp14:anchorId="3FE5CC8F" wp14:editId="2EE308B9">
            <wp:extent cx="6184900" cy="2650671"/>
            <wp:effectExtent l="0" t="0" r="0" b="0"/>
            <wp:docPr id="52" name="Picture" descr="Figure 8: Notification rates* per 100,000 population for RSV cases by state or territory and week of diagnosis, Australia, 1 January to 26 January 2025"/>
            <wp:cNvGraphicFramePr/>
            <a:graphic xmlns:a="http://schemas.openxmlformats.org/drawingml/2006/main">
              <a:graphicData uri="http://schemas.openxmlformats.org/drawingml/2006/picture">
                <pic:pic xmlns:pic="http://schemas.openxmlformats.org/drawingml/2006/picture">
                  <pic:nvPicPr>
                    <pic:cNvPr id="52" name="Picture" descr="Figure 8: Notification rates* per 100,000 population for RSV cases by state or territory and week of diagnosis, Australia, 1 January to 26 January 2025"/>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01ADCA3" w14:textId="47DBA342" w:rsidR="00D85658" w:rsidRDefault="00167569" w:rsidP="00E86F03">
      <w:pPr>
        <w:pStyle w:val="Smalltext"/>
      </w:pPr>
      <w:r>
        <w:t xml:space="preserve">Source: </w:t>
      </w:r>
      <w:r w:rsidRPr="00167569">
        <w:t>National Notifiable Diseases Surveillance System (NNDSS). Notification data are unavailable for the Northern Territory from 25 January 20</w:t>
      </w:r>
      <w:r w:rsidR="00F90D76">
        <w:t>2</w:t>
      </w:r>
      <w:r w:rsidRPr="00167569">
        <w:t>5 and for Tasmania from 24 January 2025.</w:t>
      </w:r>
      <w:r>
        <w:br/>
        <w:t xml:space="preserve">* Rate per 100,000 population for the given </w:t>
      </w:r>
      <w:proofErr w:type="gramStart"/>
      <w:r>
        <w:t>time period</w:t>
      </w:r>
      <w:proofErr w:type="gramEnd"/>
      <w:r>
        <w:t xml:space="preserve">. Population data are based on the Australian Bureau of Statistics (ABS) </w:t>
      </w:r>
      <w:hyperlink r:id="rId38">
        <w:r>
          <w:rPr>
            <w:rStyle w:val="Hyperlink"/>
          </w:rPr>
          <w:t>Estimated Resident Population (ERP) for the reference period June 2024, released 12 December 2024</w:t>
        </w:r>
      </w:hyperlink>
      <w:r>
        <w:t>.</w:t>
      </w:r>
    </w:p>
    <w:p w14:paraId="00C86DD4" w14:textId="77777777" w:rsidR="00D85658" w:rsidRDefault="00167569">
      <w:pPr>
        <w:pStyle w:val="Heading1"/>
      </w:pPr>
      <w:bookmarkStart w:id="3" w:name="primary-care-surveillance"/>
      <w:bookmarkEnd w:id="2"/>
      <w:r>
        <w:lastRenderedPageBreak/>
        <w:t>Primary care surveillance</w:t>
      </w:r>
    </w:p>
    <w:p w14:paraId="242A201B" w14:textId="77777777" w:rsidR="00D85658" w:rsidRDefault="00167569">
      <w:r>
        <w:t>Primary care surveillance monitors the number and characteristics of people who have presented to their general practitioner with influenza-like-illness and provides insight on the different respiratory pathogens that are causing illness in the community.</w:t>
      </w:r>
    </w:p>
    <w:p w14:paraId="7F1E6739" w14:textId="3F1A500F" w:rsidR="00D85658" w:rsidRDefault="00167569" w:rsidP="004B4E67">
      <w:pPr>
        <w:pStyle w:val="ListBullet"/>
      </w:pPr>
      <w:r>
        <w:t xml:space="preserve">Sentinel general practice surveillance </w:t>
      </w:r>
      <w:r w:rsidR="00542F0A">
        <w:t xml:space="preserve">indicates </w:t>
      </w:r>
      <w:r>
        <w:t xml:space="preserve">medical attendance for respiratory illness </w:t>
      </w:r>
      <w:r w:rsidR="00542F0A">
        <w:t>has decreased this month</w:t>
      </w:r>
      <w:r>
        <w:t>, though a variety of respiratory pathogens continue to circulate in the community, with SARS-CoV-2 and rhinovirus being the most common.</w:t>
      </w:r>
    </w:p>
    <w:p w14:paraId="4C6B02FC" w14:textId="02C963C4" w:rsidR="00D85658" w:rsidRDefault="00167569" w:rsidP="004B4E67">
      <w:pPr>
        <w:pStyle w:val="ListBullet"/>
      </w:pPr>
      <w:r>
        <w:t xml:space="preserve">This </w:t>
      </w:r>
      <w:r w:rsidR="006A7C5A">
        <w:t>month</w:t>
      </w:r>
      <w:r>
        <w:t xml:space="preserve"> (30 December to 26 January 2025), there were </w:t>
      </w:r>
      <w:r w:rsidR="00F55A3C">
        <w:t xml:space="preserve">slightly </w:t>
      </w:r>
      <w:r>
        <w:t xml:space="preserve">fewer general practice consultations for </w:t>
      </w:r>
      <w:r w:rsidR="007A137D">
        <w:t>influenza-like-illness</w:t>
      </w:r>
      <w:r>
        <w:t xml:space="preserve"> (3.4 per 1,000 consultations per reporting period) than in the previous </w:t>
      </w:r>
      <w:r w:rsidR="00F20E14">
        <w:t>month</w:t>
      </w:r>
      <w:r>
        <w:t xml:space="preserve"> (3.8 per 1,000 consultations per reporting period) (Figure 9).</w:t>
      </w:r>
    </w:p>
    <w:p w14:paraId="17A2CD74" w14:textId="77777777" w:rsidR="005C19FF" w:rsidRDefault="007A137D" w:rsidP="004B4E67">
      <w:pPr>
        <w:pStyle w:val="ListBullet"/>
      </w:pPr>
      <w:r w:rsidRPr="00CE44FA">
        <w:t>Late in 2024 rates of influenza-like-illness</w:t>
      </w:r>
      <w:r w:rsidR="00167569" w:rsidRPr="007739CC">
        <w:t xml:space="preserve"> </w:t>
      </w:r>
      <w:r w:rsidRPr="00CE44FA">
        <w:t xml:space="preserve">began to increase above the levels observed in previous years and the five-year average. The rate of influenza-like-illness was above 4 per 1,000 consultations in the first weeks of 2025; however, has since decreased and is </w:t>
      </w:r>
      <w:r w:rsidR="008B3724">
        <w:t xml:space="preserve">now </w:t>
      </w:r>
      <w:r w:rsidRPr="00CE44FA">
        <w:t xml:space="preserve">consistent with the rate of influenza-like-illness observed at the same time last year </w:t>
      </w:r>
      <w:r w:rsidR="00167569" w:rsidRPr="007739CC">
        <w:t>(Figure 9).</w:t>
      </w:r>
      <w:r w:rsidR="00C12E21">
        <w:t xml:space="preserve"> </w:t>
      </w:r>
    </w:p>
    <w:p w14:paraId="5BCCB267" w14:textId="7D47D5A2" w:rsidR="004E09DD" w:rsidRDefault="00C12E21" w:rsidP="004B4E67">
      <w:pPr>
        <w:pStyle w:val="ListBullet"/>
      </w:pPr>
      <w:r>
        <w:t xml:space="preserve">Like </w:t>
      </w:r>
      <w:r w:rsidR="00CA3533">
        <w:t>the same period in</w:t>
      </w:r>
      <w:r>
        <w:t xml:space="preserve"> </w:t>
      </w:r>
      <w:r w:rsidRPr="00C12E21">
        <w:t>2024</w:t>
      </w:r>
      <w:r>
        <w:t>,</w:t>
      </w:r>
      <w:r w:rsidRPr="00C12E21">
        <w:t xml:space="preserve"> influenza-like-illness rates</w:t>
      </w:r>
      <w:r>
        <w:t xml:space="preserve"> this month</w:t>
      </w:r>
      <w:r w:rsidRPr="00C12E21">
        <w:t xml:space="preserve"> remain slightly higher than observed in at the same time in previous years and the five-year average</w:t>
      </w:r>
      <w:r>
        <w:t xml:space="preserve"> (Figure 9)</w:t>
      </w:r>
      <w:r w:rsidRPr="00C12E21">
        <w:t xml:space="preserve">.  </w:t>
      </w:r>
    </w:p>
    <w:p w14:paraId="5C80C6FC" w14:textId="272A307A" w:rsidR="00D85658" w:rsidRDefault="00167569">
      <w:r>
        <w:rPr>
          <w:b/>
          <w:bCs/>
        </w:rPr>
        <w:t xml:space="preserve">Figure 9: Rate of </w:t>
      </w:r>
      <w:r w:rsidR="007A137D" w:rsidRPr="007A137D">
        <w:rPr>
          <w:b/>
          <w:bCs/>
        </w:rPr>
        <w:t>influenza-like-illness</w:t>
      </w:r>
      <w:r>
        <w:rPr>
          <w:b/>
          <w:bCs/>
        </w:rPr>
        <w:t xml:space="preserve"> per 1,000 consultations per week with sentinel general practice sites compared with the five-year average by year and week of consultation*</w:t>
      </w:r>
      <w:r>
        <w:rPr>
          <w:b/>
          <w:bCs/>
          <w:vertAlign w:val="superscript"/>
        </w:rPr>
        <w:t>†</w:t>
      </w:r>
      <w:r>
        <w:rPr>
          <w:b/>
          <w:bCs/>
        </w:rPr>
        <w:t>, Australia, 2022 to 26 January 2025</w:t>
      </w:r>
    </w:p>
    <w:p w14:paraId="535EA071" w14:textId="5B656D9F" w:rsidR="00D85658" w:rsidRDefault="00207C5B">
      <w:pPr>
        <w:pStyle w:val="BodyText"/>
      </w:pPr>
      <w:r>
        <w:rPr>
          <w:noProof/>
        </w:rPr>
        <w:drawing>
          <wp:inline distT="0" distB="0" distL="0" distR="0" wp14:anchorId="5D2B5729" wp14:editId="46BB2CE3">
            <wp:extent cx="6184900" cy="2650671"/>
            <wp:effectExtent l="0" t="0" r="0" b="0"/>
            <wp:docPr id="56" name="Picture" descr="Figure 9: Rate of influenza-like-illness per 1,000 consultations per week with sentinel general practice sites compared with the five-year average by year and week of consultation*†, Australia, 2022 to 26 January 2025"/>
            <wp:cNvGraphicFramePr/>
            <a:graphic xmlns:a="http://schemas.openxmlformats.org/drawingml/2006/main">
              <a:graphicData uri="http://schemas.openxmlformats.org/drawingml/2006/picture">
                <pic:pic xmlns:pic="http://schemas.openxmlformats.org/drawingml/2006/picture">
                  <pic:nvPicPr>
                    <pic:cNvPr id="56" name="Picture" descr="Figure 9: Rate of influenza-like-illness per 1,000 consultations per week with sentinel general practice sites compared with the five-year average by year and week of consultation*†, Australia, 2022 to 26 January 2025"/>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03DE24B" w14:textId="4EA1C2AA" w:rsidR="00D85658" w:rsidRDefault="00167569" w:rsidP="00E86F03">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1">
        <w:r>
          <w:rPr>
            <w:rStyle w:val="Hyperlink"/>
          </w:rPr>
          <w:t>Technical Supplement</w:t>
        </w:r>
      </w:hyperlink>
      <w:r>
        <w:t xml:space="preserve"> for interpretation of the five-year average.</w:t>
      </w:r>
      <w:r>
        <w:br/>
        <w:t xml:space="preserve">† Please refer to the </w:t>
      </w:r>
      <w:hyperlink r:id="rId42">
        <w:r>
          <w:rPr>
            <w:rStyle w:val="Hyperlink"/>
          </w:rPr>
          <w:t>Technical Supplement</w:t>
        </w:r>
      </w:hyperlink>
      <w:r>
        <w:t xml:space="preserve"> for notes on impact of COVID-19 on ASPREN data.</w:t>
      </w:r>
    </w:p>
    <w:p w14:paraId="34E98982" w14:textId="5FE42664" w:rsidR="00175383" w:rsidRDefault="00175383" w:rsidP="004B4E67">
      <w:pPr>
        <w:pStyle w:val="ListBullet"/>
      </w:pPr>
      <w:r>
        <w:t xml:space="preserve">In the year to date, </w:t>
      </w:r>
      <w:r w:rsidR="00E7686D">
        <w:t>68.2% (45/66)</w:t>
      </w:r>
      <w:r>
        <w:t xml:space="preserve"> of people attending general practice </w:t>
      </w:r>
      <w:r w:rsidR="00F20E14">
        <w:t>with</w:t>
      </w:r>
      <w:r>
        <w:t xml:space="preserve"> </w:t>
      </w:r>
      <w:r w:rsidR="00CA40B1" w:rsidRPr="00CA40B1">
        <w:t>influenza-like-illness</w:t>
      </w:r>
      <w:r>
        <w:t xml:space="preserve"> have then tested positive for a respiratory pathogen. SARS-CoV-2 </w:t>
      </w:r>
      <w:r w:rsidR="00E7686D">
        <w:t>(26.7%; 12/45)</w:t>
      </w:r>
      <w:r>
        <w:t xml:space="preserve"> was the </w:t>
      </w:r>
      <w:proofErr w:type="gramStart"/>
      <w:r>
        <w:t>most commonly detected</w:t>
      </w:r>
      <w:proofErr w:type="gramEnd"/>
      <w:r>
        <w:t xml:space="preserve">, followed by rhinovirus </w:t>
      </w:r>
      <w:r w:rsidR="00E7686D">
        <w:t>(24.4%; 11/45)</w:t>
      </w:r>
      <w:r>
        <w:t xml:space="preserve">, influenza </w:t>
      </w:r>
      <w:r w:rsidR="00E7686D">
        <w:t>(22.2%; 10/45)</w:t>
      </w:r>
      <w:r>
        <w:t xml:space="preserve">, </w:t>
      </w:r>
      <w:r w:rsidR="00E7686D">
        <w:t>RSV (11.1%; 5/45), and human metapneumovirus (6.7%; 3/45)</w:t>
      </w:r>
      <w:r>
        <w:t xml:space="preserve"> (Figure 10).</w:t>
      </w:r>
    </w:p>
    <w:p w14:paraId="111F4FE2" w14:textId="77777777" w:rsidR="00D85658" w:rsidRDefault="00167569">
      <w:r>
        <w:br w:type="page"/>
      </w:r>
    </w:p>
    <w:p w14:paraId="794855A8" w14:textId="56540255" w:rsidR="00D85658" w:rsidRDefault="00167569">
      <w:pPr>
        <w:pStyle w:val="BodyText"/>
      </w:pPr>
      <w:r>
        <w:rPr>
          <w:b/>
          <w:bCs/>
        </w:rPr>
        <w:lastRenderedPageBreak/>
        <w:t xml:space="preserve">Figure 10: Number of samples tested for respiratory pathogens among people with </w:t>
      </w:r>
      <w:r w:rsidR="5AC478CD" w:rsidRPr="0BEEAC6F">
        <w:rPr>
          <w:b/>
          <w:bCs/>
        </w:rPr>
        <w:t>influenza-like-illness</w:t>
      </w:r>
      <w:r>
        <w:rPr>
          <w:b/>
          <w:bCs/>
        </w:rPr>
        <w:t xml:space="preserve"> attending sentinel general practice sites by respiratory pathogen and week of specimen collection, Australia, 1 January to </w:t>
      </w:r>
      <w:r w:rsidR="00FF1734">
        <w:rPr>
          <w:b/>
          <w:bCs/>
        </w:rPr>
        <w:t>26 January</w:t>
      </w:r>
      <w:r>
        <w:rPr>
          <w:b/>
          <w:bCs/>
        </w:rPr>
        <w:t xml:space="preserve"> 2025</w:t>
      </w:r>
    </w:p>
    <w:p w14:paraId="670B15F3" w14:textId="69DF92F2" w:rsidR="00D85658" w:rsidRDefault="00227294">
      <w:pPr>
        <w:pStyle w:val="BodyText"/>
      </w:pPr>
      <w:r>
        <w:rPr>
          <w:noProof/>
        </w:rPr>
        <w:drawing>
          <wp:inline distT="0" distB="0" distL="0" distR="0" wp14:anchorId="08488D37" wp14:editId="0464FB09">
            <wp:extent cx="6184900" cy="2650671"/>
            <wp:effectExtent l="0" t="0" r="0" b="0"/>
            <wp:docPr id="59941453" name="Picture" descr="Figure 10: Number of samples tested for respiratory pathogens among people with influenza-like-illness attending sentinel general practice sites by respiratory pathogen and week of specimen collection, Australia, 1 January to 26 January 2025"/>
            <wp:cNvGraphicFramePr/>
            <a:graphic xmlns:a="http://schemas.openxmlformats.org/drawingml/2006/main">
              <a:graphicData uri="http://schemas.openxmlformats.org/drawingml/2006/picture">
                <pic:pic xmlns:pic="http://schemas.openxmlformats.org/drawingml/2006/picture">
                  <pic:nvPicPr>
                    <pic:cNvPr id="59941453" name="Picture" descr="Figure 10: Number of samples tested for respiratory pathogens among people with influenza-like-illness attending sentinel general practice sites by respiratory pathogen and week of specimen collection, Australia, 1 January to 26 January 2025"/>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2F55F84D" w14:textId="3A83C353" w:rsidR="00D85658" w:rsidRDefault="00167569" w:rsidP="00E86F03">
      <w:pPr>
        <w:pStyle w:val="Smalltext"/>
      </w:pPr>
      <w:r>
        <w:t>Source: Australian Sentinel Practice Research Network (ASPREN)</w:t>
      </w:r>
    </w:p>
    <w:p w14:paraId="10236077" w14:textId="77777777" w:rsidR="00D85658" w:rsidRDefault="00167569">
      <w:r>
        <w:br w:type="page"/>
      </w:r>
    </w:p>
    <w:p w14:paraId="38387B70" w14:textId="6B330D5B" w:rsidR="00D85658" w:rsidRDefault="00167569">
      <w:pPr>
        <w:pStyle w:val="Heading1"/>
      </w:pPr>
      <w:bookmarkStart w:id="4" w:name="hospital-surveillance"/>
      <w:bookmarkEnd w:id="3"/>
      <w:r>
        <w:lastRenderedPageBreak/>
        <w:t>Hospital</w:t>
      </w:r>
      <w:r w:rsidR="000C7514">
        <w:t>-based</w:t>
      </w:r>
      <w:r>
        <w:t xml:space="preserve"> surveillance</w:t>
      </w:r>
    </w:p>
    <w:p w14:paraId="69E45918" w14:textId="608EB3E4" w:rsidR="00D85658" w:rsidRPr="007E3964" w:rsidRDefault="00167569">
      <w:r>
        <w:t>Hospital</w:t>
      </w:r>
      <w:r w:rsidR="000C7514">
        <w:t>-based</w:t>
      </w:r>
      <w:r>
        <w:t xml:space="preserve"> surveillance monitors persons with more severe illness who have been admitted to hospital for their respiratory illness (severe acute respiratory infections). Hospital</w:t>
      </w:r>
      <w:r w:rsidR="000C7514">
        <w:t>-based</w:t>
      </w:r>
      <w:r>
        <w:t xml:space="preserve"> surveillance also measures the ability of the health system to cope with the number of severe acute respiratory infection</w:t>
      </w:r>
      <w:r w:rsidR="00CD15BC">
        <w:t xml:space="preserve"> admissions</w:t>
      </w:r>
      <w:r>
        <w:t xml:space="preserve"> to ensure delivery of safe, </w:t>
      </w:r>
      <w:r w:rsidRPr="007E3964">
        <w:t>timely and quality health care.</w:t>
      </w:r>
    </w:p>
    <w:p w14:paraId="783ACCA6" w14:textId="15C372A1" w:rsidR="00D85658" w:rsidRPr="00CE44FA" w:rsidRDefault="00167569" w:rsidP="004B4E67">
      <w:pPr>
        <w:pStyle w:val="ListBullet"/>
      </w:pPr>
      <w:r w:rsidRPr="00CE44FA">
        <w:t>Sentinel hospital</w:t>
      </w:r>
      <w:r w:rsidR="000C7514" w:rsidRPr="00CE44FA">
        <w:t>-based</w:t>
      </w:r>
      <w:r w:rsidRPr="00CE44FA">
        <w:t xml:space="preserve"> surveillance shows the </w:t>
      </w:r>
      <w:r w:rsidR="00AD6929">
        <w:t xml:space="preserve">number </w:t>
      </w:r>
      <w:r w:rsidRPr="00CE44FA">
        <w:t xml:space="preserve">of patients </w:t>
      </w:r>
      <w:r w:rsidR="00712431">
        <w:t xml:space="preserve">admitted </w:t>
      </w:r>
      <w:r w:rsidRPr="00CE44FA">
        <w:t>with severe acute respiratory infections has remained low and stable</w:t>
      </w:r>
      <w:r w:rsidR="00E055FD">
        <w:t xml:space="preserve"> this severity reporting period</w:t>
      </w:r>
      <w:r w:rsidRPr="00CE44FA">
        <w:t xml:space="preserve">. The </w:t>
      </w:r>
      <w:r w:rsidR="008C7BBF" w:rsidRPr="00CE44FA">
        <w:t xml:space="preserve">length </w:t>
      </w:r>
      <w:r w:rsidRPr="00CE44FA">
        <w:t>of hospital stay varies only slightly between illnesses</w:t>
      </w:r>
      <w:r w:rsidR="007E3964" w:rsidRPr="00CE44FA">
        <w:t xml:space="preserve"> and </w:t>
      </w:r>
      <w:r w:rsidR="007E3964" w:rsidRPr="007E3964">
        <w:t>the proportion of patients with a severe acute respiratory infection who were admitted directly to an intensive care has remained low</w:t>
      </w:r>
      <w:r w:rsidRPr="00CE44FA">
        <w:t>.</w:t>
      </w:r>
    </w:p>
    <w:p w14:paraId="02CA01D5" w14:textId="3DDECD9B" w:rsidR="00D85658" w:rsidRPr="00CE44FA" w:rsidRDefault="00167569" w:rsidP="004B4E67">
      <w:pPr>
        <w:pStyle w:val="ListBullet"/>
      </w:pPr>
      <w:r w:rsidRPr="00CE44FA">
        <w:t xml:space="preserve">In this severity reporting period (16 December to 12 January 2025), fewer patients were admitted to a sentinel hospital with a severe acute respiratory infection (n = 500), than in the previous </w:t>
      </w:r>
      <w:r w:rsidR="00E96FF0" w:rsidRPr="00CE44FA">
        <w:t xml:space="preserve">severity </w:t>
      </w:r>
      <w:r w:rsidRPr="00CE44FA">
        <w:t xml:space="preserve">reporting period (n = 590). </w:t>
      </w:r>
    </w:p>
    <w:p w14:paraId="2A62E6ED" w14:textId="1A0799A1" w:rsidR="00D85658" w:rsidRDefault="00167569" w:rsidP="004B4E67">
      <w:pPr>
        <w:pStyle w:val="ListBullet"/>
      </w:pPr>
      <w:r>
        <w:t xml:space="preserve">In the year to date for severity reporting (1 January to 12 January 2025), </w:t>
      </w:r>
      <w:r w:rsidR="008A2EA1">
        <w:t>m</w:t>
      </w:r>
      <w:r w:rsidR="008A2EA1" w:rsidRPr="004E6A61">
        <w:t xml:space="preserve">ost patients </w:t>
      </w:r>
      <w:r w:rsidR="006006A1">
        <w:t xml:space="preserve">with a severe </w:t>
      </w:r>
      <w:r w:rsidR="00195B7B">
        <w:t>acute</w:t>
      </w:r>
      <w:r w:rsidR="006006A1">
        <w:t xml:space="preserve"> respiratory infection </w:t>
      </w:r>
      <w:r w:rsidR="00F05985">
        <w:t>were admitted with</w:t>
      </w:r>
      <w:r w:rsidR="008A2EA1" w:rsidRPr="004E6A61">
        <w:t xml:space="preserve"> COVID-19 (Figure 11).</w:t>
      </w:r>
      <w:r w:rsidR="008A2EA1">
        <w:t xml:space="preserve"> P</w:t>
      </w:r>
      <w:r>
        <w:t xml:space="preserve">atients admitted to sentinel hospitals with influenza have </w:t>
      </w:r>
      <w:r w:rsidR="008A2EA1">
        <w:t xml:space="preserve">mostly </w:t>
      </w:r>
      <w:r>
        <w:t xml:space="preserve">been admitted with influenza A </w:t>
      </w:r>
      <w:r w:rsidR="00D82C6C">
        <w:t>(89.4%; 42/4</w:t>
      </w:r>
      <w:r w:rsidR="00AD6929">
        <w:t>7</w:t>
      </w:r>
      <w:r w:rsidR="00D82C6C">
        <w:t xml:space="preserve">), while </w:t>
      </w:r>
      <w:r>
        <w:t>10.6% (5/4</w:t>
      </w:r>
      <w:r w:rsidR="00AD6929">
        <w:t>7</w:t>
      </w:r>
      <w:r>
        <w:t xml:space="preserve">) </w:t>
      </w:r>
      <w:r w:rsidR="00D82C6C">
        <w:t xml:space="preserve">were admitted </w:t>
      </w:r>
      <w:r>
        <w:t>with influenza B.</w:t>
      </w:r>
    </w:p>
    <w:p w14:paraId="79ECC101" w14:textId="574CDB3E" w:rsidR="00E96FF0" w:rsidRDefault="00167569" w:rsidP="004B4E67">
      <w:pPr>
        <w:pStyle w:val="ListBullet2"/>
      </w:pPr>
      <w:r>
        <w:t xml:space="preserve">Most hospital admissions </w:t>
      </w:r>
      <w:r w:rsidR="004B23A4">
        <w:t>with influenza A</w:t>
      </w:r>
      <w:r>
        <w:t xml:space="preserve"> have been with influenza A(Unsubtyped) (90.5%; 38/42), followed by influenza A(H1N1) (7.1%; 3/42)</w:t>
      </w:r>
      <w:r w:rsidR="00E96FF0">
        <w:t xml:space="preserve"> and influenza A(H3N2) (2.4%; 1/42)</w:t>
      </w:r>
      <w:r>
        <w:t>.</w:t>
      </w:r>
    </w:p>
    <w:p w14:paraId="0DBA96BC" w14:textId="562DDE05" w:rsidR="00D85658" w:rsidRDefault="00167569">
      <w:r>
        <w:rPr>
          <w:b/>
          <w:bCs/>
        </w:rPr>
        <w:t xml:space="preserve">Figure 11: </w:t>
      </w:r>
      <w:r w:rsidR="00FD5127">
        <w:rPr>
          <w:b/>
          <w:bCs/>
        </w:rPr>
        <w:t>Total n</w:t>
      </w:r>
      <w:r>
        <w:rPr>
          <w:b/>
          <w:bCs/>
        </w:rPr>
        <w:t>umber of patients</w:t>
      </w:r>
      <w:r w:rsidR="00FD5127">
        <w:rPr>
          <w:b/>
          <w:bCs/>
        </w:rPr>
        <w:t xml:space="preserve"> (children and adults) </w:t>
      </w:r>
      <w:r>
        <w:rPr>
          <w:b/>
          <w:bCs/>
        </w:rPr>
        <w:t>admitted with a severe acute respiratory infection to sentinel hospitals by disease and week of admission*</w:t>
      </w:r>
      <w:r>
        <w:rPr>
          <w:b/>
          <w:bCs/>
          <w:vertAlign w:val="superscript"/>
        </w:rPr>
        <w:t>†‡</w:t>
      </w:r>
      <w:r>
        <w:rPr>
          <w:b/>
          <w:bCs/>
        </w:rPr>
        <w:t>, Australia, 1 January to 12 January 2025</w:t>
      </w:r>
    </w:p>
    <w:p w14:paraId="4A356AE3" w14:textId="38AB4C52" w:rsidR="00D85658" w:rsidRDefault="00227294">
      <w:pPr>
        <w:pStyle w:val="BodyText"/>
      </w:pPr>
      <w:r>
        <w:rPr>
          <w:noProof/>
        </w:rPr>
        <w:drawing>
          <wp:inline distT="0" distB="0" distL="0" distR="0" wp14:anchorId="1A628FE8" wp14:editId="3F579E42">
            <wp:extent cx="6184900" cy="2650671"/>
            <wp:effectExtent l="0" t="0" r="0" b="0"/>
            <wp:docPr id="242855582" name="Picture" descr="Figure 11: Total number of patients (children and adults) admitted with a severe acute respiratory infection to sentinel hospitals by disease and week of admission*†‡, Australia, 1 January to 12 January 2025"/>
            <wp:cNvGraphicFramePr/>
            <a:graphic xmlns:a="http://schemas.openxmlformats.org/drawingml/2006/main">
              <a:graphicData uri="http://schemas.openxmlformats.org/drawingml/2006/picture">
                <pic:pic xmlns:pic="http://schemas.openxmlformats.org/drawingml/2006/picture">
                  <pic:nvPicPr>
                    <pic:cNvPr id="242855582" name="Picture" descr="Figure 11: Total number of patients (children and adults) admitted with a severe acute respiratory infection to sentinel hospitals by disease and week of admission*†‡, Australia, 1 January to 12 January 2025"/>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7E524FF7" w14:textId="31399092" w:rsidR="00D85658" w:rsidRDefault="00167569" w:rsidP="00E86F03">
      <w:pPr>
        <w:pStyle w:val="Smalltext"/>
      </w:pPr>
      <w:r>
        <w:t>Source: Influenza Complications Alert Network (FluCAN)</w:t>
      </w:r>
    </w:p>
    <w:p w14:paraId="18CB0F7D" w14:textId="2252303A" w:rsidR="0047396D" w:rsidRDefault="00E354E8" w:rsidP="004B4E67">
      <w:pPr>
        <w:pStyle w:val="ListBullet"/>
      </w:pPr>
      <w:r>
        <w:t xml:space="preserve">In the year to date for severity reporting, </w:t>
      </w:r>
      <w:r w:rsidR="006A3B06">
        <w:t xml:space="preserve">more children </w:t>
      </w:r>
      <w:r w:rsidR="0047396D">
        <w:t>(those aged 16 years and younger)</w:t>
      </w:r>
      <w:r w:rsidR="009221EE">
        <w:t xml:space="preserve"> </w:t>
      </w:r>
      <w:r w:rsidR="001442FE">
        <w:t xml:space="preserve">were </w:t>
      </w:r>
      <w:r w:rsidR="009221EE">
        <w:t xml:space="preserve">admitted with </w:t>
      </w:r>
      <w:r w:rsidR="006A3B06">
        <w:t xml:space="preserve">COVID-19 and influenza than with RSV </w:t>
      </w:r>
      <w:r w:rsidR="009221EE">
        <w:t>at sentinel hospital</w:t>
      </w:r>
      <w:r w:rsidR="001442FE">
        <w:t>s</w:t>
      </w:r>
      <w:r w:rsidR="009221EE">
        <w:t xml:space="preserve"> (Table 2a).</w:t>
      </w:r>
    </w:p>
    <w:p w14:paraId="1830DDC8" w14:textId="0DD67B27" w:rsidR="00E96FF0" w:rsidRDefault="0047396D" w:rsidP="004B4E67">
      <w:pPr>
        <w:pStyle w:val="ListBullet"/>
      </w:pPr>
      <w:r>
        <w:t>C</w:t>
      </w:r>
      <w:r w:rsidR="00E354E8">
        <w:t>hildren admitted to sentinel hospitals with influenza tended to be older than children admitted with COVID-19 or RSV who were predominately aged 4 years or younger</w:t>
      </w:r>
      <w:r w:rsidR="00E96FF0">
        <w:t xml:space="preserve"> (</w:t>
      </w:r>
      <w:r w:rsidR="00E354E8">
        <w:t>Table 2a</w:t>
      </w:r>
      <w:r w:rsidR="00E96FF0">
        <w:t>).</w:t>
      </w:r>
    </w:p>
    <w:p w14:paraId="5953DE93" w14:textId="74D9BBBD" w:rsidR="00A371E1" w:rsidRDefault="00A371E1" w:rsidP="004B4E67">
      <w:pPr>
        <w:pStyle w:val="ListBullet"/>
      </w:pPr>
      <w:r>
        <w:t xml:space="preserve">There was no notable difference in the length of stay or admission location </w:t>
      </w:r>
      <w:r w:rsidR="00B1546C">
        <w:t>(</w:t>
      </w:r>
      <w:r w:rsidR="009D13BE">
        <w:t>genera</w:t>
      </w:r>
      <w:r w:rsidR="00141742">
        <w:t xml:space="preserve">l </w:t>
      </w:r>
      <w:r w:rsidR="00B1546C">
        <w:t xml:space="preserve">ward or </w:t>
      </w:r>
      <w:r w:rsidR="00820221">
        <w:t>intensive care</w:t>
      </w:r>
      <w:r w:rsidR="00B1546C">
        <w:t>)</w:t>
      </w:r>
      <w:r>
        <w:t xml:space="preserve"> between children admitted with COVID-19, influenza and RSV (Table 2a). </w:t>
      </w:r>
    </w:p>
    <w:p w14:paraId="36D2BE34" w14:textId="77777777" w:rsidR="00D85658" w:rsidRDefault="00167569">
      <w:r>
        <w:br w:type="page"/>
      </w:r>
    </w:p>
    <w:p w14:paraId="4DD793F3" w14:textId="551C774D" w:rsidR="00D85658" w:rsidRDefault="00167569">
      <w:pPr>
        <w:pStyle w:val="BodyText"/>
      </w:pPr>
      <w:r>
        <w:rPr>
          <w:b/>
          <w:bCs/>
        </w:rPr>
        <w:lastRenderedPageBreak/>
        <w:t>Table 2</w:t>
      </w:r>
      <w:r w:rsidR="00975E8A">
        <w:rPr>
          <w:b/>
          <w:bCs/>
        </w:rPr>
        <w:t>a</w:t>
      </w:r>
      <w:r>
        <w:rPr>
          <w:b/>
          <w:bCs/>
        </w:rPr>
        <w:t>: Demographic characteristics and outcomes for children admitted with a severe acute respiratory infection to a sentinel hospital by disease, Australia, 1 January to 12 January 2025</w:t>
      </w:r>
    </w:p>
    <w:tbl>
      <w:tblPr>
        <w:tblW w:w="5000" w:type="pct"/>
        <w:jc w:val="center"/>
        <w:tblLook w:val="0420" w:firstRow="1" w:lastRow="0" w:firstColumn="0" w:lastColumn="0" w:noHBand="0" w:noVBand="1"/>
        <w:tblDescription w:val="Table 2a: Demographic characteristics and outcomes for children admitted with a severe acute respiratory infection to a sentinel hospital by disease, Australia, 1 January to 12 January 2025"/>
      </w:tblPr>
      <w:tblGrid>
        <w:gridCol w:w="2147"/>
        <w:gridCol w:w="2527"/>
        <w:gridCol w:w="2554"/>
        <w:gridCol w:w="2524"/>
      </w:tblGrid>
      <w:tr w:rsidR="00D85658" w14:paraId="5C10E49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53C0EB"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21CE9F0"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476B9C"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0F82E31"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D85658" w14:paraId="0039009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1D758E"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338B1F" w14:textId="4019AC26"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(n=35)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6D097D" w14:textId="33EE0C3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(n=30)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E11E989" w14:textId="4E576EB9"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(n=18)</w:t>
            </w:r>
          </w:p>
        </w:tc>
      </w:tr>
      <w:tr w:rsidR="00D85658" w14:paraId="20DED21C"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D96AB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D85658" w14:paraId="456918F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2F3AD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F011B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0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E425E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F883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0 [0–1]</w:t>
            </w:r>
          </w:p>
        </w:tc>
      </w:tr>
      <w:tr w:rsidR="00D85658" w14:paraId="411006E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BEEBE8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D85658" w14:paraId="11F7083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4A44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80118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2CABE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CA8FA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 (33.3%)</w:t>
            </w:r>
          </w:p>
        </w:tc>
      </w:tr>
      <w:tr w:rsidR="00D85658" w14:paraId="700689D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02ED7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5CACA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(51.4%)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581B8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5890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(66.7%)</w:t>
            </w:r>
          </w:p>
        </w:tc>
      </w:tr>
      <w:tr w:rsidR="00D85658" w14:paraId="2BA4210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1DA3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7D27F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2896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0E962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31BD62B5"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294CE5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D85658" w14:paraId="5D1FC13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097F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1B86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BA4E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91095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(16.7%)</w:t>
            </w:r>
          </w:p>
        </w:tc>
      </w:tr>
      <w:tr w:rsidR="00D85658" w14:paraId="01F87B0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43614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D85658" w14:paraId="191ED9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955E6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3E74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DD107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DBED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[1–7]</w:t>
            </w:r>
          </w:p>
        </w:tc>
      </w:tr>
      <w:tr w:rsidR="00D85658" w14:paraId="7D88374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835CB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D85658" w14:paraId="0BF6887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DD9D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9E8C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 (97.1%)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445A5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4A5DA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 (100.0%)</w:t>
            </w:r>
          </w:p>
        </w:tc>
      </w:tr>
      <w:tr w:rsidR="00D85658" w14:paraId="755F0D4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CE4D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43CFC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866CD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0B523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235431D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8E620B" w14:textId="6248D20F"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r w:rsidR="000C7D22">
              <w:rPr>
                <w:rFonts w:eastAsia="Arial" w:cs="Arial"/>
                <w:b/>
                <w:color w:val="033636"/>
                <w:sz w:val="14"/>
                <w:szCs w:val="14"/>
              </w:rPr>
              <w:t xml:space="preserve"> </w:t>
            </w:r>
          </w:p>
        </w:tc>
      </w:tr>
      <w:tr w:rsidR="00D85658" w14:paraId="28C1F3F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7CF0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E30E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 (68.6%)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C72DB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 (66.7%)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32966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 (55.6%)</w:t>
            </w:r>
          </w:p>
        </w:tc>
      </w:tr>
      <w:tr w:rsidR="000C7D22" w14:paraId="795852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C139CF" w14:textId="787F5EE3"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D39ADB" w14:textId="0FACF924"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8A98A" w14:textId="79DEA5AD"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CCEDA" w14:textId="6D86E89D" w:rsidR="000C7D22" w:rsidRDefault="000C7D22" w:rsidP="000C7D22">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bl>
    <w:p w14:paraId="33B859AA" w14:textId="7CFDD74D" w:rsidR="00D85658" w:rsidRDefault="00167569" w:rsidP="00E86F03">
      <w:pPr>
        <w:pStyle w:val="Smalltext"/>
      </w:pPr>
      <w:r>
        <w:t>Source: Influenza Complications Alert Network (FluCAN)</w:t>
      </w:r>
      <w:r>
        <w:br/>
        <w:t>Note: For patients who are still in hospital data may not be complete; therefore, these data are not included in the length of stay or discharge status. In addition, length of stay data excludes patients that acquired their infection in hospital.</w:t>
      </w:r>
      <w:r>
        <w:br/>
        <w:t>* Does not include patients with missing age; therefore, the sum of age-specific totals above may not equal the total number of patients.</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447ED97" w14:textId="28CFF029" w:rsidR="00D85658" w:rsidRDefault="00167569" w:rsidP="004B4E67">
      <w:pPr>
        <w:pStyle w:val="BodyText"/>
      </w:pPr>
      <w:r>
        <w:t xml:space="preserve">The Paediatric Active Enhanced Disease Surveillance (PAEDS) network carries out enhanced sentinel hospital surveillance for some acute respiratory </w:t>
      </w:r>
      <w:r w:rsidR="000C426A">
        <w:t xml:space="preserve">infections or </w:t>
      </w:r>
      <w:r>
        <w:t xml:space="preserve">conditions in children. For more information on </w:t>
      </w:r>
      <w:hyperlink r:id="rId47">
        <w:r>
          <w:rPr>
            <w:rStyle w:val="Hyperlink"/>
          </w:rPr>
          <w:t>COVID-19 in children</w:t>
        </w:r>
      </w:hyperlink>
      <w:r w:rsidR="00B52DC6" w:rsidRPr="00CE44FA">
        <w:rPr>
          <w:rStyle w:val="Hyperlink"/>
          <w:u w:val="none"/>
        </w:rPr>
        <w:t xml:space="preserve">, </w:t>
      </w:r>
      <w:hyperlink r:id="rId48">
        <w:r w:rsidR="00B52DC6">
          <w:rPr>
            <w:rStyle w:val="Hyperlink"/>
          </w:rPr>
          <w:t>Paediatric Inflammatory Multisystem Syndrome (PIMS-TS) following COVID-19</w:t>
        </w:r>
      </w:hyperlink>
      <w:r w:rsidR="00B52DC6">
        <w:t>,</w:t>
      </w:r>
      <w:r>
        <w:t xml:space="preserve"> or </w:t>
      </w:r>
      <w:hyperlink r:id="rId49">
        <w:r>
          <w:rPr>
            <w:rStyle w:val="Hyperlink"/>
          </w:rPr>
          <w:t>influenza in children</w:t>
        </w:r>
      </w:hyperlink>
      <w:r>
        <w:t xml:space="preserve"> please visit the </w:t>
      </w:r>
      <w:hyperlink r:id="rId50">
        <w:r>
          <w:rPr>
            <w:rStyle w:val="Hyperlink"/>
          </w:rPr>
          <w:t>PAEDS</w:t>
        </w:r>
      </w:hyperlink>
      <w:r>
        <w:t xml:space="preserve"> webpages.</w:t>
      </w:r>
    </w:p>
    <w:p w14:paraId="143C1E28" w14:textId="0D49F5FB" w:rsidR="009903D1" w:rsidRPr="00EC73E6" w:rsidRDefault="009903D1" w:rsidP="004B4E67">
      <w:pPr>
        <w:pStyle w:val="ListBullet"/>
      </w:pPr>
      <w:r w:rsidRPr="00EC73E6">
        <w:t xml:space="preserve">In the year to date for severity reporting, </w:t>
      </w:r>
      <w:r w:rsidR="001442FE" w:rsidRPr="00CE44FA">
        <w:t xml:space="preserve">the number of </w:t>
      </w:r>
      <w:r w:rsidR="003E4A03" w:rsidRPr="00CE44FA">
        <w:t>adult</w:t>
      </w:r>
      <w:r w:rsidR="006A3B06" w:rsidRPr="00CE44FA">
        <w:t>s</w:t>
      </w:r>
      <w:r w:rsidRPr="00EC73E6">
        <w:t xml:space="preserve"> (those aged 16 years and </w:t>
      </w:r>
      <w:r w:rsidR="003E4A03" w:rsidRPr="00CE44FA">
        <w:t>over</w:t>
      </w:r>
      <w:r w:rsidRPr="00EC73E6">
        <w:t>) admitted with COVID-19</w:t>
      </w:r>
      <w:r w:rsidR="001442FE" w:rsidRPr="00CE44FA">
        <w:t xml:space="preserve"> to sentinel hospitals was much higher</w:t>
      </w:r>
      <w:r w:rsidRPr="00EC73E6">
        <w:t xml:space="preserve"> </w:t>
      </w:r>
      <w:r w:rsidR="006A3B06" w:rsidRPr="00CE44FA">
        <w:t>than for</w:t>
      </w:r>
      <w:r w:rsidR="001442FE" w:rsidRPr="00CE44FA">
        <w:t xml:space="preserve"> either</w:t>
      </w:r>
      <w:r w:rsidR="006A3B06" w:rsidRPr="00CE44FA">
        <w:t xml:space="preserve"> influenza or </w:t>
      </w:r>
      <w:r w:rsidRPr="00EC73E6">
        <w:t>RSV (Table 2</w:t>
      </w:r>
      <w:r w:rsidR="003E4A03" w:rsidRPr="00CE44FA">
        <w:t>b</w:t>
      </w:r>
      <w:r w:rsidRPr="00EC73E6">
        <w:t>).</w:t>
      </w:r>
    </w:p>
    <w:p w14:paraId="615D92D6" w14:textId="11F9A6FB" w:rsidR="009903D1" w:rsidRPr="00B30A45" w:rsidRDefault="00EC73E6" w:rsidP="004B4E67">
      <w:pPr>
        <w:pStyle w:val="ListBullet"/>
      </w:pPr>
      <w:r w:rsidRPr="00CE44FA">
        <w:t>Adults</w:t>
      </w:r>
      <w:r w:rsidR="009903D1" w:rsidRPr="00EC73E6">
        <w:t xml:space="preserve"> admitted to sentinel hospitals with </w:t>
      </w:r>
      <w:r w:rsidRPr="00CE44FA">
        <w:t>COVID-19</w:t>
      </w:r>
      <w:r w:rsidR="009903D1" w:rsidRPr="00EC73E6">
        <w:t xml:space="preserve"> tended to be older than </w:t>
      </w:r>
      <w:r w:rsidRPr="00CE44FA">
        <w:t>adults</w:t>
      </w:r>
      <w:r w:rsidR="009903D1" w:rsidRPr="00EC73E6">
        <w:t xml:space="preserve"> admitted with </w:t>
      </w:r>
      <w:r w:rsidRPr="00CE44FA">
        <w:t>influenza</w:t>
      </w:r>
      <w:r w:rsidR="009903D1" w:rsidRPr="00B30A45">
        <w:t xml:space="preserve"> or RSV who were predominately aged </w:t>
      </w:r>
      <w:r w:rsidRPr="00CE44FA">
        <w:t xml:space="preserve">17–64 years </w:t>
      </w:r>
      <w:r w:rsidR="009903D1" w:rsidRPr="00B30A45">
        <w:t>(Table 2</w:t>
      </w:r>
      <w:r w:rsidR="003E4A03" w:rsidRPr="00CE44FA">
        <w:t>b</w:t>
      </w:r>
      <w:r w:rsidR="009903D1" w:rsidRPr="00B30A45">
        <w:t>).</w:t>
      </w:r>
    </w:p>
    <w:p w14:paraId="5DD6FF52" w14:textId="2DA587FB" w:rsidR="009903D1" w:rsidRDefault="00B30A45" w:rsidP="004B4E67">
      <w:pPr>
        <w:pStyle w:val="ListBullet"/>
      </w:pPr>
      <w:r w:rsidRPr="00CE44FA">
        <w:t>Adults with COV</w:t>
      </w:r>
      <w:r w:rsidR="00466149">
        <w:t>I</w:t>
      </w:r>
      <w:r w:rsidRPr="00CE44FA">
        <w:t xml:space="preserve">D-19 and influenza </w:t>
      </w:r>
      <w:r w:rsidR="008F0F4F">
        <w:t xml:space="preserve">admitted to sentinel hospitals </w:t>
      </w:r>
      <w:r w:rsidRPr="00CE44FA">
        <w:t xml:space="preserve">were more unwell than adults with RSV. </w:t>
      </w:r>
      <w:r w:rsidR="009903D1" w:rsidRPr="00B30A45">
        <w:t>The</w:t>
      </w:r>
      <w:r w:rsidRPr="00CE44FA">
        <w:t xml:space="preserve"> l</w:t>
      </w:r>
      <w:r w:rsidR="009903D1" w:rsidRPr="00B30A45">
        <w:t>ength of stay</w:t>
      </w:r>
      <w:r w:rsidRPr="00CE44FA">
        <w:t xml:space="preserve"> for adults admitted with COVID-19 and influenza was longer than for RSV, and the proportion of adults admitted directly to an intensive care was higher for COVID-19 and influenza </w:t>
      </w:r>
      <w:r w:rsidR="009903D1" w:rsidRPr="00B30A45">
        <w:t>(Table 2</w:t>
      </w:r>
      <w:r w:rsidR="003E4A03" w:rsidRPr="00CE44FA">
        <w:t>b</w:t>
      </w:r>
      <w:r w:rsidR="009903D1" w:rsidRPr="00B30A45">
        <w:t xml:space="preserve">). </w:t>
      </w:r>
    </w:p>
    <w:p w14:paraId="3E1A9DED" w14:textId="47640C41" w:rsidR="009903D1" w:rsidRDefault="00A501CC" w:rsidP="004B4E67">
      <w:pPr>
        <w:pStyle w:val="ListBullet2"/>
      </w:pPr>
      <w:r>
        <w:t xml:space="preserve">As the severity reporting </w:t>
      </w:r>
      <w:r w:rsidR="00AB25F8">
        <w:t xml:space="preserve">period for the year to date only includes </w:t>
      </w:r>
      <w:r w:rsidR="004F7BAF">
        <w:t xml:space="preserve">12 days, </w:t>
      </w:r>
      <w:r w:rsidR="00EB4F18">
        <w:t>i</w:t>
      </w:r>
      <w:r w:rsidR="00607D69">
        <w:t xml:space="preserve">t is too early in 2025 to make a definitive assessment of illness severity </w:t>
      </w:r>
      <w:r w:rsidR="00EB4F18">
        <w:t xml:space="preserve">trends, </w:t>
      </w:r>
      <w:r w:rsidR="00607D69">
        <w:t xml:space="preserve">so the trends presented here should be interpreted with caution. </w:t>
      </w:r>
      <w:r w:rsidR="009903D1">
        <w:br w:type="page"/>
      </w:r>
    </w:p>
    <w:p w14:paraId="55934436" w14:textId="77777777" w:rsidR="009903D1" w:rsidRDefault="009903D1"/>
    <w:p w14:paraId="16729D5D" w14:textId="330EED40" w:rsidR="00D85658" w:rsidRDefault="00167569">
      <w:pPr>
        <w:pStyle w:val="BodyText"/>
      </w:pPr>
      <w:r>
        <w:rPr>
          <w:b/>
          <w:bCs/>
        </w:rPr>
        <w:t xml:space="preserve">Table </w:t>
      </w:r>
      <w:r w:rsidR="00975E8A">
        <w:rPr>
          <w:b/>
          <w:bCs/>
        </w:rPr>
        <w:t>2b</w:t>
      </w:r>
      <w:r>
        <w:rPr>
          <w:b/>
          <w:bCs/>
        </w:rPr>
        <w:t>: Demographic characteristics and outcomes for adults admitted with a severe acute respiratory infection to a sentinel hospital by disease, Australia, 1 January to 12 January 2025</w:t>
      </w:r>
    </w:p>
    <w:tbl>
      <w:tblPr>
        <w:tblW w:w="5000" w:type="pct"/>
        <w:jc w:val="center"/>
        <w:tblLook w:val="0420" w:firstRow="1" w:lastRow="0" w:firstColumn="0" w:lastColumn="0" w:noHBand="0" w:noVBand="1"/>
        <w:tblDescription w:val="Table 2b: Demographic characteristics and outcomes for adults admitted with a severe acute respiratory infection to a sentinel hospital by disease, Australia, 1 January to 12 January 2025"/>
      </w:tblPr>
      <w:tblGrid>
        <w:gridCol w:w="2161"/>
        <w:gridCol w:w="2544"/>
        <w:gridCol w:w="2570"/>
        <w:gridCol w:w="2477"/>
      </w:tblGrid>
      <w:tr w:rsidR="00D85658" w14:paraId="5A691FB9"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60BB4A7"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1E4987"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6F7983D"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98079E" w14:textId="77777777" w:rsidR="00D85658" w:rsidRDefault="00167569" w:rsidP="00CE44FA">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RSV</w:t>
            </w:r>
          </w:p>
        </w:tc>
      </w:tr>
      <w:tr w:rsidR="00D85658" w14:paraId="0463AEA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DF2E88F" w14:textId="77777777" w:rsidR="00D85658" w:rsidRDefault="00D8565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AD05C17" w14:textId="5EB08CEF"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(n=62)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669A34A" w14:textId="361BA11D"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(n=17)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AA2BEA" w14:textId="5D00ABC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 date for severity reporting (n=5)</w:t>
            </w:r>
          </w:p>
        </w:tc>
      </w:tr>
      <w:tr w:rsidR="00D85658" w14:paraId="5BBAD54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2F7C2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(years)</w:t>
            </w:r>
          </w:p>
        </w:tc>
      </w:tr>
      <w:tr w:rsidR="00D85658" w14:paraId="15A32B5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961C5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C99A2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 [59–80]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2CC47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55 [51–64]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A809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 [51–66]</w:t>
            </w:r>
          </w:p>
        </w:tc>
      </w:tr>
      <w:tr w:rsidR="00D85658" w14:paraId="7D65452A"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FC3962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Age group (years)</w:t>
            </w:r>
          </w:p>
        </w:tc>
      </w:tr>
      <w:tr w:rsidR="00D85658" w14:paraId="4A9EED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1B500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9C21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 (33.9%)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7798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 (76.5%)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FEA22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(60.0%)</w:t>
            </w:r>
          </w:p>
        </w:tc>
      </w:tr>
      <w:tr w:rsidR="00D85658" w14:paraId="56C8D92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1CAB2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DE990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41 (66.1%)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A1CC0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(23.5%)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1C251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(40.0%)</w:t>
            </w:r>
          </w:p>
        </w:tc>
      </w:tr>
      <w:tr w:rsidR="00D85658" w14:paraId="2817B0BF"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2404EB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Indigenous status</w:t>
            </w:r>
          </w:p>
        </w:tc>
      </w:tr>
      <w:tr w:rsidR="00D85658" w14:paraId="7F680A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E45E2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FC3AE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6BC59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83BB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29C35834"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565498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D85658" w14:paraId="3FC239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1B7C4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BDB9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A4900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36BB7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 [1–2]</w:t>
            </w:r>
          </w:p>
        </w:tc>
      </w:tr>
      <w:tr w:rsidR="00D85658" w14:paraId="36EB43A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92837A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admission location</w:t>
            </w:r>
          </w:p>
        </w:tc>
      </w:tr>
      <w:tr w:rsidR="00D85658" w14:paraId="3A1EB4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8E420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86F9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 (93.5%)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2D0A4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15 (88.2%)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F0489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 (100.0%)</w:t>
            </w:r>
          </w:p>
        </w:tc>
      </w:tr>
      <w:tr w:rsidR="00D85658" w14:paraId="3A80134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0A3F4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9C8A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47EC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812BF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r w:rsidR="00D85658" w14:paraId="3328FD2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71146A" w14:textId="04C70385"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Discharge status</w:t>
            </w:r>
            <w:r w:rsidR="000C7D22">
              <w:rPr>
                <w:rFonts w:eastAsia="Arial" w:cs="Arial"/>
                <w:b/>
                <w:color w:val="033636"/>
                <w:sz w:val="14"/>
                <w:szCs w:val="14"/>
              </w:rPr>
              <w:t xml:space="preserve"> </w:t>
            </w:r>
          </w:p>
        </w:tc>
      </w:tr>
      <w:tr w:rsidR="00D85658" w14:paraId="02E3666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838D9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DABE74"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34 (54.8%)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94C9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12 (70.6%)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D397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 (60.0%)</w:t>
            </w:r>
          </w:p>
        </w:tc>
      </w:tr>
      <w:tr w:rsidR="00D85658" w14:paraId="4071F38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DD1A4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Dead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6A00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75921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7277F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r>
    </w:tbl>
    <w:p w14:paraId="6E97BC52" w14:textId="52733548" w:rsidR="00D85658" w:rsidRDefault="00167569" w:rsidP="00E86F03">
      <w:pPr>
        <w:pStyle w:val="Smalltext"/>
      </w:pPr>
      <w:r>
        <w:t>Source: Influenza Complications Alert Network (FluCAN)</w:t>
      </w:r>
      <w:r>
        <w:br/>
        <w:t>Note: For patients who are still in hospital data may not be complete; therefore, these data are not included in the length of stay or discharge status. In addition, length of stay data excludes patients that acquired their infection in hospital.</w:t>
      </w:r>
      <w:r>
        <w:br/>
        <w:t>* Does not include patients with missing age; therefore, the sum of age-specific totals above may not equal the total number of patients.</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46147A0C" w14:textId="77777777" w:rsidR="00420A4E" w:rsidRDefault="00420A4E">
      <w:pPr>
        <w:spacing w:before="0" w:after="0" w:line="240" w:lineRule="auto"/>
      </w:pPr>
      <w:r>
        <w:br w:type="page"/>
      </w:r>
    </w:p>
    <w:p w14:paraId="4E208223" w14:textId="754C9E05" w:rsidR="00D85658" w:rsidRPr="00194D86" w:rsidRDefault="00167569" w:rsidP="004B4E67">
      <w:pPr>
        <w:pStyle w:val="ListBullet"/>
      </w:pPr>
      <w:r w:rsidRPr="00194D86">
        <w:lastRenderedPageBreak/>
        <w:t xml:space="preserve">Sentinel intensive care surveillance shows the number of patients with severe acute respiratory infections has </w:t>
      </w:r>
      <w:r w:rsidR="000C7231" w:rsidRPr="00194D86">
        <w:t>decreased</w:t>
      </w:r>
      <w:r w:rsidRPr="00194D86">
        <w:t xml:space="preserve"> this reporting period. The duration of intensive care stay varies slightly between illnesses.</w:t>
      </w:r>
    </w:p>
    <w:p w14:paraId="1F1E470B" w14:textId="05BF34D1" w:rsidR="00EC1965" w:rsidRDefault="00EC1965" w:rsidP="004B4E67">
      <w:pPr>
        <w:pStyle w:val="ListBullet"/>
      </w:pPr>
      <w:r>
        <w:t xml:space="preserve">In this severity reporting period (16 December to 12 January 2025), fewer patients have been admitted to a sentinel intensive care with a severe acute respiratory infection (n=177), than in the previous </w:t>
      </w:r>
      <w:r w:rsidR="0050495B">
        <w:t xml:space="preserve">severity </w:t>
      </w:r>
      <w:r>
        <w:t>reporting period (n=209) (Figure 12).</w:t>
      </w:r>
    </w:p>
    <w:p w14:paraId="25D6207F" w14:textId="537BE0FD" w:rsidR="00D85658" w:rsidRDefault="00F05985" w:rsidP="004B4E67">
      <w:pPr>
        <w:pStyle w:val="ListBullet"/>
      </w:pPr>
      <w:r>
        <w:t>In the year to date for severity reporting (1 January to 12 January 2025), m</w:t>
      </w:r>
      <w:r w:rsidRPr="004E6A61">
        <w:t xml:space="preserve">ost patients </w:t>
      </w:r>
      <w:r>
        <w:t>were admitted</w:t>
      </w:r>
      <w:r w:rsidR="00A25D47">
        <w:t xml:space="preserve"> to a sentinel intensive care</w:t>
      </w:r>
      <w:r>
        <w:t xml:space="preserve"> with</w:t>
      </w:r>
      <w:r w:rsidRPr="004E6A61">
        <w:t xml:space="preserve"> COVID-19</w:t>
      </w:r>
      <w:r w:rsidR="00167569">
        <w:t xml:space="preserve"> (</w:t>
      </w:r>
      <w:r>
        <w:t>Figure 12; Table 3</w:t>
      </w:r>
      <w:r w:rsidR="00167569">
        <w:t>)</w:t>
      </w:r>
      <w:r>
        <w:t xml:space="preserve">. </w:t>
      </w:r>
      <w:r w:rsidR="00167569">
        <w:t>Some patients (3.2%; 2/62) had co-infections of multiple respiratory pathogens; therefore, the sum of pathogen-specific totals may not equal the total number of patients</w:t>
      </w:r>
      <w:r>
        <w:t xml:space="preserve"> (Figure 12; Table 3)</w:t>
      </w:r>
      <w:r w:rsidR="00167569">
        <w:t>.</w:t>
      </w:r>
    </w:p>
    <w:p w14:paraId="22A96CEC" w14:textId="091AF308" w:rsidR="00D85658" w:rsidRDefault="00167569">
      <w:pPr>
        <w:pStyle w:val="BodyText"/>
      </w:pPr>
      <w:r>
        <w:rPr>
          <w:b/>
          <w:bCs/>
        </w:rPr>
        <w:t xml:space="preserve">Figure 12: Number of patients admitted with severe acute respiratory infections to a sentinel intensive care by </w:t>
      </w:r>
      <w:r w:rsidR="00D72515">
        <w:rPr>
          <w:b/>
          <w:bCs/>
        </w:rPr>
        <w:t xml:space="preserve">pathogen </w:t>
      </w:r>
      <w:r>
        <w:rPr>
          <w:b/>
          <w:bCs/>
        </w:rPr>
        <w:t>and week of admission, Australia, 1 January to 12 January 2025</w:t>
      </w:r>
    </w:p>
    <w:p w14:paraId="58C469D5" w14:textId="7C59E2EA" w:rsidR="00D85658" w:rsidRDefault="00167569">
      <w:pPr>
        <w:pStyle w:val="BodyText"/>
      </w:pPr>
      <w:r>
        <w:rPr>
          <w:noProof/>
        </w:rPr>
        <w:drawing>
          <wp:inline distT="0" distB="0" distL="0" distR="0" wp14:anchorId="5044DDAA" wp14:editId="6BE4BF00">
            <wp:extent cx="6184900" cy="2769924"/>
            <wp:effectExtent l="0" t="0" r="0" b="0"/>
            <wp:docPr id="70" name="Picture" descr="Figure 12: Number of patients admitted with severe acute respiratory infections to a sentinel intensive care by pathogen and week of admission, Australia, 1 January to 12 January 2025"/>
            <wp:cNvGraphicFramePr/>
            <a:graphic xmlns:a="http://schemas.openxmlformats.org/drawingml/2006/main">
              <a:graphicData uri="http://schemas.openxmlformats.org/drawingml/2006/picture">
                <pic:pic xmlns:pic="http://schemas.openxmlformats.org/drawingml/2006/picture">
                  <pic:nvPicPr>
                    <pic:cNvPr id="70" name="Picture" descr="Figure 12: Number of patients admitted with severe acute respiratory infections to a sentinel intensive care by pathogen and week of admission, Australia, 1 January to 12 January 2025"/>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6184900" cy="2769924"/>
                    </a:xfrm>
                    <a:prstGeom prst="rect">
                      <a:avLst/>
                    </a:prstGeom>
                    <a:noFill/>
                    <a:ln w="9525">
                      <a:noFill/>
                      <a:headEnd/>
                      <a:tailEnd/>
                    </a:ln>
                  </pic:spPr>
                </pic:pic>
              </a:graphicData>
            </a:graphic>
          </wp:inline>
        </w:drawing>
      </w:r>
    </w:p>
    <w:p w14:paraId="021CF0E4" w14:textId="67EF4CAA" w:rsidR="00D85658" w:rsidRDefault="00167569" w:rsidP="00E86F03">
      <w:pPr>
        <w:pStyle w:val="Smalltext"/>
      </w:pPr>
      <w:r>
        <w:t>Source: Short Period Incidence Study of Severe Acute Respiratory Infection (SPRINT-SARI) Australia</w:t>
      </w:r>
    </w:p>
    <w:p w14:paraId="62D2CF05" w14:textId="1183F949" w:rsidR="00A25D47" w:rsidRDefault="00A25D47" w:rsidP="004B4E67">
      <w:pPr>
        <w:pStyle w:val="ListBullet"/>
      </w:pPr>
      <w:r>
        <w:t>In the year to date for severity reporting,</w:t>
      </w:r>
      <w:r w:rsidR="00015E7B">
        <w:t xml:space="preserve"> older adults were admitted to</w:t>
      </w:r>
      <w:r w:rsidR="00994000">
        <w:t xml:space="preserve"> a</w:t>
      </w:r>
      <w:r w:rsidR="00015E7B">
        <w:t xml:space="preserve"> sentinel intensive care with COVID-19 and influenza more often, while younger people, particularly children, were more often admitted with human metapneumovirus, rhinovirus or RSV (Table 3)</w:t>
      </w:r>
      <w:r>
        <w:t>.</w:t>
      </w:r>
    </w:p>
    <w:p w14:paraId="7A67AA5D" w14:textId="2A392FC3" w:rsidR="00AA0FA3" w:rsidRPr="00994000" w:rsidRDefault="00AA0FA3" w:rsidP="004B4E67">
      <w:pPr>
        <w:pStyle w:val="ListBullet"/>
      </w:pPr>
      <w:r w:rsidRPr="00994000">
        <w:t xml:space="preserve">The length of </w:t>
      </w:r>
      <w:r w:rsidR="00994000" w:rsidRPr="00CE44FA">
        <w:t xml:space="preserve">intensive care </w:t>
      </w:r>
      <w:proofErr w:type="gramStart"/>
      <w:r w:rsidRPr="00994000">
        <w:t>stay</w:t>
      </w:r>
      <w:proofErr w:type="gramEnd"/>
      <w:r w:rsidRPr="00994000">
        <w:t xml:space="preserve"> for </w:t>
      </w:r>
      <w:r w:rsidR="00994000" w:rsidRPr="00CE44FA">
        <w:t xml:space="preserve">people admitted to a sentinel intensive care was similar across pathogens, </w:t>
      </w:r>
      <w:r w:rsidR="000945A8">
        <w:t>though</w:t>
      </w:r>
      <w:r w:rsidR="00994000" w:rsidRPr="00CE44FA">
        <w:t xml:space="preserve"> was slightly higher for influenza and parainfluenza</w:t>
      </w:r>
      <w:r w:rsidRPr="00994000">
        <w:t xml:space="preserve"> (Table </w:t>
      </w:r>
      <w:r w:rsidRPr="00CE44FA">
        <w:t>3</w:t>
      </w:r>
      <w:r w:rsidRPr="00994000">
        <w:t xml:space="preserve">). </w:t>
      </w:r>
    </w:p>
    <w:p w14:paraId="75FF9E6E" w14:textId="14E0BF29" w:rsidR="00AA0FA3" w:rsidRPr="00B30A45" w:rsidRDefault="00E85CAD" w:rsidP="004B4E67">
      <w:pPr>
        <w:pStyle w:val="ListBullet2"/>
      </w:pPr>
      <w:r>
        <w:t>As the severity reporting period for the year to date only includes 12 days, it is too early in 2025 to make a definitive assessment of illness severity trends, so the trends presented here should be interpreted with caution</w:t>
      </w:r>
      <w:r w:rsidR="00AA0FA3">
        <w:t xml:space="preserve">. </w:t>
      </w:r>
    </w:p>
    <w:p w14:paraId="2B520C82" w14:textId="0D574499" w:rsidR="00D85658" w:rsidRDefault="00523887" w:rsidP="004B4E67">
      <w:pPr>
        <w:pStyle w:val="ListBullet"/>
      </w:pPr>
      <w:r>
        <w:t>M</w:t>
      </w:r>
      <w:r w:rsidR="00A25D47">
        <w:t xml:space="preserve">ost patients admitted to a sentinel intensive care with a severe acute respiratory infection have been discharged home. Unfortunately, </w:t>
      </w:r>
      <w:r w:rsidR="00804088">
        <w:t xml:space="preserve">a small number of </w:t>
      </w:r>
      <w:r w:rsidR="00A25D47">
        <w:t>patients admitted to a sentinel intensive care with a severe acute respiratory infection have died in hospital</w:t>
      </w:r>
      <w:r w:rsidR="007B0B2F">
        <w:t xml:space="preserve"> (Table 3)</w:t>
      </w:r>
      <w:r w:rsidR="00A25D47">
        <w:t xml:space="preserve">. </w:t>
      </w:r>
    </w:p>
    <w:p w14:paraId="0DE4A5DA" w14:textId="77777777" w:rsidR="004A7EB2" w:rsidRDefault="004A7EB2">
      <w:pPr>
        <w:spacing w:before="0" w:after="0" w:line="240" w:lineRule="auto"/>
        <w:rPr>
          <w:b/>
          <w:bCs/>
        </w:rPr>
      </w:pPr>
      <w:r>
        <w:rPr>
          <w:b/>
          <w:bCs/>
        </w:rPr>
        <w:br w:type="page"/>
      </w:r>
    </w:p>
    <w:p w14:paraId="05B69B1E" w14:textId="1A433250" w:rsidR="00D85658" w:rsidRDefault="00167569">
      <w:pPr>
        <w:pStyle w:val="BodyText"/>
      </w:pPr>
      <w:r>
        <w:rPr>
          <w:b/>
          <w:bCs/>
        </w:rPr>
        <w:lastRenderedPageBreak/>
        <w:t xml:space="preserve">Table </w:t>
      </w:r>
      <w:r w:rsidR="00975E8A">
        <w:rPr>
          <w:b/>
          <w:bCs/>
        </w:rPr>
        <w:t>3</w:t>
      </w:r>
      <w:r>
        <w:rPr>
          <w:b/>
          <w:bCs/>
        </w:rPr>
        <w:t>: Demographic characteristics and outcomes of patients admitted with a severe acute respiratory infection to a sentinel intensive care by disease, Australia, 1 January to 12 January 2025</w:t>
      </w:r>
    </w:p>
    <w:tbl>
      <w:tblPr>
        <w:tblW w:w="5000" w:type="pct"/>
        <w:jc w:val="center"/>
        <w:tblLook w:val="0420" w:firstRow="1" w:lastRow="0" w:firstColumn="0" w:lastColumn="0" w:noHBand="0" w:noVBand="1"/>
      </w:tblPr>
      <w:tblGrid>
        <w:gridCol w:w="1479"/>
        <w:gridCol w:w="1096"/>
        <w:gridCol w:w="1096"/>
        <w:gridCol w:w="1161"/>
        <w:gridCol w:w="1449"/>
        <w:gridCol w:w="1279"/>
        <w:gridCol w:w="1096"/>
        <w:gridCol w:w="1096"/>
      </w:tblGrid>
      <w:tr w:rsidR="00B63BD4" w14:paraId="063C272A" w14:textId="77777777" w:rsidTr="003848D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9C1898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0C4D29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9CF8B39"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1CF58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04247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F8D78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723DF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C1508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Other</w:t>
            </w:r>
          </w:p>
        </w:tc>
      </w:tr>
      <w:tr w:rsidR="00B63BD4" w14:paraId="3FF6120C" w14:textId="77777777" w:rsidTr="003848D6">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B725F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939297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(n=28)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F76EF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68422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DBDF4B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(n=7)</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B6296C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04033C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(n=6)</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A0E419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w:t>
            </w:r>
          </w:p>
        </w:tc>
      </w:tr>
      <w:tr w:rsidR="00B63BD4" w14:paraId="6AA6276F"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1F1CF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B63BD4" w14:paraId="20D8AAA9"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43BE0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DD807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w:t>
            </w:r>
            <w:r>
              <w:rPr>
                <w:rFonts w:eastAsia="Arial" w:cs="Arial"/>
                <w:color w:val="033636"/>
                <w:sz w:val="14"/>
                <w:szCs w:val="14"/>
              </w:rPr>
              <w:br/>
              <w:t xml:space="preserve"> [44–74]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6F78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A1F44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w:t>
            </w:r>
            <w:r>
              <w:rPr>
                <w:rFonts w:eastAsia="Arial" w:cs="Arial"/>
                <w:color w:val="033636"/>
                <w:sz w:val="14"/>
                <w:szCs w:val="14"/>
              </w:rPr>
              <w:br/>
              <w:t xml:space="preserve"> [41–65]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4BDD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[14–48]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9341D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52789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E88F9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[47–68]</w:t>
            </w:r>
          </w:p>
        </w:tc>
      </w:tr>
      <w:tr w:rsidR="00B63BD4" w14:paraId="325F663D"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317C7F9"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B63BD4" w14:paraId="3C102F3A"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E1F04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CB9D8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66ED5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AB8C9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3CD42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45DA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A87B1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73BD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63BD4" w14:paraId="03982DE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0A8C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79E0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(85.7%)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C6542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980FD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3E47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7FDE9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8B971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2FD2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(100.0%)</w:t>
            </w:r>
          </w:p>
        </w:tc>
      </w:tr>
      <w:tr w:rsidR="00B63BD4" w14:paraId="2402D909"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24EF7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B63BD4" w14:paraId="4A1D482D"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4CE1F9"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5DC0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(35.7%)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57F3A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2C37F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6B21A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(71.4%)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7866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EBB26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27C78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(20.0%)</w:t>
            </w:r>
          </w:p>
        </w:tc>
      </w:tr>
      <w:tr w:rsidR="00B63BD4" w14:paraId="5F4F9579"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066B58C" w14:textId="1EEDDE70"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Duration of invasive mechanical ventilation (days)*</w:t>
            </w:r>
          </w:p>
        </w:tc>
      </w:tr>
      <w:tr w:rsidR="00B63BD4" w14:paraId="1D3A4FA8"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26261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8FFFB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530F7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8604B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7037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FAD64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0</w:t>
            </w:r>
            <w:r>
              <w:rPr>
                <w:rFonts w:eastAsia="Arial" w:cs="Arial"/>
                <w:color w:val="033636"/>
                <w:sz w:val="14"/>
                <w:szCs w:val="14"/>
              </w:rPr>
              <w:br/>
              <w:t xml:space="preserve"> [0–1]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AAB5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B409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r>
      <w:tr w:rsidR="00B63BD4" w14:paraId="069CBB25"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10E8F4F" w14:textId="267B2B15"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B63BD4" w14:paraId="719998C1"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C42E1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2821C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4ED2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2B599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19074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39916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8AF48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D2D09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[3–8]</w:t>
            </w:r>
          </w:p>
        </w:tc>
      </w:tr>
      <w:tr w:rsidR="00B63BD4" w14:paraId="32319D7B"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C862B23" w14:textId="5E30878A"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B63BD4" w14:paraId="22314F9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73414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9B8F6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D9BAD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E0873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[5–12]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B0380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621F5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9FCD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[6–11]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44A31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[8–16]</w:t>
            </w:r>
          </w:p>
        </w:tc>
      </w:tr>
      <w:tr w:rsidR="00B63BD4" w14:paraId="4D5B7A77" w14:textId="77777777" w:rsidTr="003848D6">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8C65FF1" w14:textId="7CE793D9"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r w:rsidRPr="00B63BD4">
              <w:rPr>
                <w:b/>
                <w:bCs/>
                <w:vertAlign w:val="superscript"/>
              </w:rPr>
              <w:t>†</w:t>
            </w:r>
          </w:p>
        </w:tc>
      </w:tr>
      <w:tr w:rsidR="00B63BD4" w14:paraId="3CE8944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75FFDF"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5E348"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D0FC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24DB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BF67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3BFC3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8A06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3E6D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63BD4" w14:paraId="7096317C"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8C7A2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37CDC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E962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32180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CF91B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14F70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55F5E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C76C6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(40.0%)</w:t>
            </w:r>
          </w:p>
        </w:tc>
      </w:tr>
      <w:tr w:rsidR="00B63BD4" w14:paraId="5AF82048"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F5573C"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or facility, including rehabilitation</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2075E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59233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A8193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DB597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0352C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8BEA31"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A45FB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B63BD4" w14:paraId="79AE2410"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FB443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74FEEB"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6470D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499823"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(77.8%)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5E3AC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(42.9%)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00AEE4"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(75.0%)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2442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(100.0%)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3E9385"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(40.0%)</w:t>
            </w:r>
          </w:p>
        </w:tc>
      </w:tr>
      <w:tr w:rsidR="00B63BD4" w14:paraId="2BF03EB2" w14:textId="77777777" w:rsidTr="003848D6">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AA7658" w14:textId="48712FE8"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8AE39D"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w:t>
            </w:r>
            <w:r>
              <w:rPr>
                <w:rFonts w:eastAsia="Arial" w:cs="Arial"/>
                <w:color w:val="033636"/>
                <w:sz w:val="14"/>
                <w:szCs w:val="14"/>
              </w:rPr>
              <w:br/>
              <w:t xml:space="preserve"> (25.0%)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AC91E"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123786"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E8EF4A"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30BB07"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83F0E2"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BCD2D0" w14:textId="77777777" w:rsidR="00B63BD4" w:rsidRDefault="00B63BD4" w:rsidP="003848D6">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(20.0%)</w:t>
            </w:r>
          </w:p>
        </w:tc>
      </w:tr>
    </w:tbl>
    <w:p w14:paraId="43981373" w14:textId="75C7612B" w:rsidR="00D85658" w:rsidRDefault="00167569" w:rsidP="00E86F03">
      <w:pPr>
        <w:pStyle w:val="Smalltext"/>
      </w:pPr>
      <w:r>
        <w:t>Source: Short Period Incidence Study of Severe Acute Respiratory Infection (SPRINT-SARI) Australia</w:t>
      </w:r>
      <w:r>
        <w:br/>
        <w:t xml:space="preserve">Note: Multiple patients had co-infections of respiratory pathogens; therefore, the sum of pathogen-specific totals above may not equal the total number of severe </w:t>
      </w:r>
      <w:r w:rsidR="008E3463">
        <w:t>acute</w:t>
      </w:r>
      <w:r>
        <w:t xml:space="preserve"> respiratory infection patients.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r>
      <w:r w:rsidR="00B63BD4">
        <w:t>†</w:t>
      </w:r>
      <w:r>
        <w:t xml:space="preserve"> Patients who have no outcome entered or have been admitted for more than 90 days with no discharge information have been treated as missing.</w:t>
      </w:r>
    </w:p>
    <w:p w14:paraId="3C2EED42" w14:textId="77777777" w:rsidR="00D85658" w:rsidRDefault="00167569">
      <w:r>
        <w:br w:type="page"/>
      </w:r>
    </w:p>
    <w:p w14:paraId="3291611F" w14:textId="4D4236D9" w:rsidR="00D85658" w:rsidRPr="00CE44FA" w:rsidRDefault="00167569" w:rsidP="004B4E67">
      <w:pPr>
        <w:pStyle w:val="ListBullet"/>
      </w:pPr>
      <w:r w:rsidRPr="00B77D35">
        <w:lastRenderedPageBreak/>
        <w:t xml:space="preserve">This </w:t>
      </w:r>
      <w:r w:rsidR="00E236F0" w:rsidRPr="00B77D35">
        <w:t>month</w:t>
      </w:r>
      <w:r w:rsidRPr="00B77D35">
        <w:t xml:space="preserve">, there </w:t>
      </w:r>
      <w:r w:rsidR="003315C4" w:rsidRPr="00CE44FA">
        <w:t xml:space="preserve">has been more </w:t>
      </w:r>
      <w:r w:rsidRPr="00B77D35">
        <w:t xml:space="preserve">COVID-19 cases in intensive care across Australia than in the previous </w:t>
      </w:r>
      <w:r w:rsidR="003315C4" w:rsidRPr="00CE44FA">
        <w:t xml:space="preserve">month, largely driven by increases in New South Wales and Queensland </w:t>
      </w:r>
      <w:r w:rsidRPr="00B77D35">
        <w:t>(Figure 13).</w:t>
      </w:r>
    </w:p>
    <w:p w14:paraId="6A64427C" w14:textId="08D432B8" w:rsidR="00693EA9" w:rsidRDefault="00167569" w:rsidP="004B4E67">
      <w:pPr>
        <w:pStyle w:val="ListBullet"/>
      </w:pPr>
      <w:r w:rsidRPr="00B77D35">
        <w:t xml:space="preserve">This </w:t>
      </w:r>
      <w:r w:rsidR="003315C4" w:rsidRPr="00CE44FA">
        <w:t>month</w:t>
      </w:r>
      <w:r w:rsidRPr="00B77D35">
        <w:t xml:space="preserve">, </w:t>
      </w:r>
      <w:r w:rsidR="003315C4" w:rsidRPr="00CE44FA">
        <w:t>the number of</w:t>
      </w:r>
      <w:r w:rsidRPr="00B77D35">
        <w:t xml:space="preserve"> intensive care staff unavailable to work due to COVID-19 exposure or illness across Australia </w:t>
      </w:r>
      <w:r w:rsidR="003315C4" w:rsidRPr="00CE44FA">
        <w:t>has decreased compared wi</w:t>
      </w:r>
      <w:r w:rsidRPr="00B77D35">
        <w:t>th</w:t>
      </w:r>
      <w:r w:rsidR="003315C4" w:rsidRPr="00CE44FA">
        <w:t xml:space="preserve"> the</w:t>
      </w:r>
      <w:r w:rsidRPr="00B77D35">
        <w:t xml:space="preserve"> previous </w:t>
      </w:r>
      <w:r w:rsidR="003315C4" w:rsidRPr="00CE44FA">
        <w:t>month</w:t>
      </w:r>
      <w:r w:rsidRPr="00B77D35">
        <w:t xml:space="preserve"> (Figure 13).</w:t>
      </w:r>
    </w:p>
    <w:p w14:paraId="13466041" w14:textId="77777777" w:rsidR="00C44A21" w:rsidRDefault="00C44A21" w:rsidP="00C44A21">
      <w:r>
        <w:rPr>
          <w:b/>
          <w:bCs/>
        </w:rPr>
        <w:t>Figure 13: Mean number of COVID-19 cases in intensive care and the mean number of intensive care staff unavailable to work due to COVID-19 exposure or illness by week of report*</w:t>
      </w:r>
      <w:r>
        <w:rPr>
          <w:b/>
          <w:bCs/>
          <w:vertAlign w:val="superscript"/>
        </w:rPr>
        <w:t>†</w:t>
      </w:r>
      <w:r>
        <w:rPr>
          <w:b/>
          <w:bCs/>
        </w:rPr>
        <w:t>, Australia, 1 January to 26 January 2025</w:t>
      </w:r>
      <w:r>
        <w:t xml:space="preserve"> </w:t>
      </w:r>
    </w:p>
    <w:p w14:paraId="4B61A046" w14:textId="12BD070B" w:rsidR="00100B7C" w:rsidRDefault="00100B7C" w:rsidP="00E86F03">
      <w:pPr>
        <w:pStyle w:val="Smalltext"/>
      </w:pPr>
      <w:r>
        <w:rPr>
          <w:noProof/>
        </w:rPr>
        <w:drawing>
          <wp:inline distT="0" distB="0" distL="0" distR="0" wp14:anchorId="78C3F9F9" wp14:editId="4B9DB26A">
            <wp:extent cx="6184900" cy="2650671"/>
            <wp:effectExtent l="0" t="0" r="0" b="0"/>
            <wp:docPr id="73" name="Picture" descr="Figure 13: Mean number of COVID-19 cases in intensive care and the mean number of intensive care staff unavailable to work due to COVID-19 exposure or illness by week of report*†, Australia, 1 January to 26 January 2025 "/>
            <wp:cNvGraphicFramePr/>
            <a:graphic xmlns:a="http://schemas.openxmlformats.org/drawingml/2006/main">
              <a:graphicData uri="http://schemas.openxmlformats.org/drawingml/2006/picture">
                <pic:pic xmlns:pic="http://schemas.openxmlformats.org/drawingml/2006/picture">
                  <pic:nvPicPr>
                    <pic:cNvPr id="73" name="Picture" descr="Figure 13: Mean number of COVID-19 cases in intensive care and the mean number of intensive care staff unavailable to work due to COVID-19 exposure or illness by week of report*†, Australia, 1 January to 26 January 2025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50223403" w14:textId="6053E2D9" w:rsidR="00D85658" w:rsidRDefault="00167569" w:rsidP="00E86F03">
      <w:pPr>
        <w:pStyle w:val="Smalltext"/>
      </w:pPr>
      <w:r>
        <w:t>Source: Critical Health Resource Information System</w:t>
      </w:r>
      <w:r w:rsidR="00FA5313">
        <w:t xml:space="preserve"> (CHRIS)</w:t>
      </w:r>
      <w:r w:rsidR="00C106A9">
        <w:t xml:space="preserve">. </w:t>
      </w:r>
      <w:r w:rsidR="00C47FEC">
        <w:t>Data for COVID-19 case numbers from New South Wales was affected by transmission issues from 11 December 2024 to 8 January 2025 and is likely to be an underestimate during this time.</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4B322F21" w14:textId="2278C0EA" w:rsidR="00D85658" w:rsidRPr="00CE44FA" w:rsidRDefault="00167569" w:rsidP="004B4E67">
      <w:pPr>
        <w:pStyle w:val="ListBullet"/>
      </w:pPr>
      <w:r w:rsidRPr="00804D39">
        <w:t>This month, COVID-19 cases in intensive care have</w:t>
      </w:r>
      <w:r w:rsidR="00B91606" w:rsidRPr="00804D39">
        <w:t xml:space="preserve"> increased in New South Wales</w:t>
      </w:r>
      <w:r w:rsidR="00804D39" w:rsidRPr="00CE44FA">
        <w:t xml:space="preserve"> and Queensland</w:t>
      </w:r>
      <w:r w:rsidR="00B91606" w:rsidRPr="00804D39">
        <w:t>,</w:t>
      </w:r>
      <w:r w:rsidR="00804D39" w:rsidRPr="00CE44FA">
        <w:t xml:space="preserve"> decreased in Victoria</w:t>
      </w:r>
      <w:r w:rsidR="00B91606" w:rsidRPr="00804D39">
        <w:t xml:space="preserve"> and</w:t>
      </w:r>
      <w:r w:rsidRPr="00804D39">
        <w:t xml:space="preserve"> remained stable in </w:t>
      </w:r>
      <w:r w:rsidR="00B91606" w:rsidRPr="00804D39">
        <w:t>all other jurisdictions</w:t>
      </w:r>
      <w:r w:rsidRPr="00804D39">
        <w:t xml:space="preserve"> (Figure 14).</w:t>
      </w:r>
    </w:p>
    <w:p w14:paraId="070ACDB8" w14:textId="1CD3FA4D" w:rsidR="003315C4" w:rsidRPr="00CE44FA" w:rsidRDefault="003315C4" w:rsidP="004B4E67">
      <w:pPr>
        <w:pStyle w:val="ListBullet2"/>
      </w:pPr>
      <w:r w:rsidRPr="00CE44FA">
        <w:t>New South Wales experienced technical issues reporting their</w:t>
      </w:r>
      <w:r w:rsidR="00030F1D" w:rsidRPr="00CE44FA">
        <w:t xml:space="preserve"> COVID-19 case</w:t>
      </w:r>
      <w:r w:rsidRPr="00CE44FA">
        <w:t xml:space="preserve"> data </w:t>
      </w:r>
      <w:r w:rsidR="00030F1D" w:rsidRPr="00030F1D">
        <w:t xml:space="preserve">from 11 December 2024 to 8 January 2025. COVID-19 cases in intensive care during this time are likely to be underestimated from New South Wales and therefore the increasing trend may </w:t>
      </w:r>
      <w:proofErr w:type="gramStart"/>
      <w:r w:rsidR="00030F1D" w:rsidRPr="00030F1D">
        <w:t xml:space="preserve">be </w:t>
      </w:r>
      <w:r w:rsidR="00030F1D" w:rsidRPr="00AE050B">
        <w:t xml:space="preserve"> due</w:t>
      </w:r>
      <w:proofErr w:type="gramEnd"/>
      <w:r w:rsidR="00030F1D" w:rsidRPr="00AE050B">
        <w:t xml:space="preserve"> to either a true increase or as a result of artefact</w:t>
      </w:r>
      <w:r w:rsidR="00141680">
        <w:t xml:space="preserve"> </w:t>
      </w:r>
      <w:r w:rsidR="00141680">
        <w:rPr>
          <w:lang w:val="en-US"/>
        </w:rPr>
        <w:t>such as technical issues leading to the underreporting of case numbers in earlier periods</w:t>
      </w:r>
      <w:r w:rsidR="00030F1D" w:rsidRPr="00AE050B">
        <w:t xml:space="preserve">. </w:t>
      </w:r>
      <w:r w:rsidRPr="00CE44FA">
        <w:t xml:space="preserve"> </w:t>
      </w:r>
    </w:p>
    <w:p w14:paraId="5F46EF3C" w14:textId="3ACEA6FB" w:rsidR="00D85658" w:rsidRPr="00AE050B" w:rsidRDefault="00AE050B" w:rsidP="004B4E67">
      <w:pPr>
        <w:pStyle w:val="ListBullet"/>
      </w:pPr>
      <w:r w:rsidRPr="00AE050B">
        <w:t>This month, the number of intensive care staff unavailable to work due to COVID-19 exposure or illness decreased across all jurisdictions except Tasmania and Western Australia where minor increases compared with the previous month were observed</w:t>
      </w:r>
      <w:r w:rsidR="00167569" w:rsidRPr="00AE050B">
        <w:t xml:space="preserve"> (Figure 14).</w:t>
      </w:r>
    </w:p>
    <w:p w14:paraId="3F54C05E" w14:textId="77777777" w:rsidR="00D85658" w:rsidRDefault="00167569">
      <w:r>
        <w:br w:type="page"/>
      </w:r>
    </w:p>
    <w:p w14:paraId="31649B62" w14:textId="01127CBF" w:rsidR="00D85658" w:rsidRDefault="00167569">
      <w:r>
        <w:rPr>
          <w:b/>
          <w:bCs/>
        </w:rPr>
        <w:lastRenderedPageBreak/>
        <w:t>Figure 14: Mean number of COVID-19 cases in intensive care and the mean number of intensive care staff unavailable to work due to COVID-19 exposure or illness by jurisdiction and week of report*</w:t>
      </w:r>
      <w:r>
        <w:rPr>
          <w:b/>
          <w:bCs/>
          <w:vertAlign w:val="superscript"/>
        </w:rPr>
        <w:t>†‡</w:t>
      </w:r>
      <w:r>
        <w:rPr>
          <w:b/>
          <w:bCs/>
        </w:rPr>
        <w:t>, Australia, 1 January to 26 January 2025</w:t>
      </w:r>
    </w:p>
    <w:p w14:paraId="7BA9D225" w14:textId="6BE60B95" w:rsidR="00D85658" w:rsidRDefault="00C90A1B">
      <w:pPr>
        <w:pStyle w:val="BodyText"/>
      </w:pPr>
      <w:r>
        <w:rPr>
          <w:noProof/>
        </w:rPr>
        <w:drawing>
          <wp:inline distT="0" distB="0" distL="0" distR="0" wp14:anchorId="73574ED5" wp14:editId="1877E279">
            <wp:extent cx="6184900" cy="7068457"/>
            <wp:effectExtent l="0" t="0" r="0" b="0"/>
            <wp:docPr id="76" name="Picture" descr="Figure 14: Mean number of COVID-19 cases in intensive care and the mean number of intensive care staff unavailable to work due to COVID-19 exposure or illness by jurisdiction and week of report*†‡, Australia, 1 January to 26 January 2025"/>
            <wp:cNvGraphicFramePr/>
            <a:graphic xmlns:a="http://schemas.openxmlformats.org/drawingml/2006/main">
              <a:graphicData uri="http://schemas.openxmlformats.org/drawingml/2006/picture">
                <pic:pic xmlns:pic="http://schemas.openxmlformats.org/drawingml/2006/picture">
                  <pic:nvPicPr>
                    <pic:cNvPr id="76" name="Picture" descr="Figure 14: Mean number of COVID-19 cases in intensive care and the mean number of intensive care staff unavailable to work due to COVID-19 exposure or illness by jurisdiction and week of report*†‡, Australia, 1 January to 26 January 2025"/>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3CEFC396" w14:textId="1B171A2D" w:rsidR="00D85658" w:rsidRDefault="00167569" w:rsidP="00E86F03">
      <w:pPr>
        <w:pStyle w:val="Smalltext"/>
      </w:pPr>
      <w:r>
        <w:t>Source: Critical Health Resource Information System</w:t>
      </w:r>
      <w:r w:rsidR="00FA5313">
        <w:t xml:space="preserve"> (CHRIS)</w:t>
      </w:r>
      <w:r w:rsidR="00C106A9">
        <w:t>. Data</w:t>
      </w:r>
      <w:r w:rsidR="00D04079">
        <w:t xml:space="preserve"> for COVID-19 case numbers</w:t>
      </w:r>
      <w:r w:rsidR="00C106A9">
        <w:t xml:space="preserve"> from New South Wales was affected by transmission issues from 11 December 2024 to 8 January 2025</w:t>
      </w:r>
      <w:r w:rsidR="00C47FEC">
        <w:t xml:space="preserve"> and is likely to be an underestimate during this time</w:t>
      </w:r>
      <w:r w:rsidR="00C106A9">
        <w:t>.</w:t>
      </w:r>
      <w:r>
        <w:b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p>
    <w:p w14:paraId="552F2BEE" w14:textId="77777777" w:rsidR="00D85658" w:rsidRDefault="00167569">
      <w:r>
        <w:br w:type="page"/>
      </w:r>
    </w:p>
    <w:p w14:paraId="0DB52C85" w14:textId="77777777" w:rsidR="00D85658" w:rsidRDefault="00167569">
      <w:pPr>
        <w:pStyle w:val="Heading1"/>
      </w:pPr>
      <w:bookmarkStart w:id="5" w:name="mortality-surveillance"/>
      <w:bookmarkEnd w:id="4"/>
      <w:r>
        <w:lastRenderedPageBreak/>
        <w:t>Mortality surveillance</w:t>
      </w:r>
    </w:p>
    <w:p w14:paraId="7A79A2BC" w14:textId="2D890199" w:rsidR="00D85658" w:rsidRDefault="00167569">
      <w:r>
        <w:t xml:space="preserve">Death registrations </w:t>
      </w:r>
      <w:r w:rsidR="004875E4">
        <w:t xml:space="preserve">reported to the </w:t>
      </w:r>
      <w:r w:rsidR="000C110C">
        <w:t xml:space="preserve">Australian Bureau of Statistics </w:t>
      </w:r>
      <w:r w:rsidR="004717C3">
        <w:t xml:space="preserve">can </w:t>
      </w:r>
      <w:r w:rsidR="00AB3597">
        <w:t xml:space="preserve">provide information on </w:t>
      </w:r>
      <w:r>
        <w:t xml:space="preserve">the scale and severity of disease associated with acute respiratory infections. </w:t>
      </w:r>
      <w:r w:rsidR="00FA5330">
        <w:t>For more information on death registrations, including completeness and timeliness, r</w:t>
      </w:r>
      <w:r>
        <w:t xml:space="preserve">efer to the </w:t>
      </w:r>
      <w:hyperlink r:id="rId57">
        <w:r>
          <w:rPr>
            <w:rStyle w:val="Hyperlink"/>
          </w:rPr>
          <w:t>Technical Supplement</w:t>
        </w:r>
      </w:hyperlink>
      <w:r>
        <w:t>.</w:t>
      </w:r>
    </w:p>
    <w:p w14:paraId="686C9D0B" w14:textId="77777777" w:rsidR="00D85658" w:rsidRDefault="00167569" w:rsidP="004B4E67">
      <w:pPr>
        <w:pStyle w:val="ListBullet"/>
      </w:pPr>
      <w:r>
        <w:t>COVID-19 has been the leading cause of acute respiratory infection mortality across 2022-2024.</w:t>
      </w:r>
    </w:p>
    <w:p w14:paraId="29D195F3" w14:textId="7D278E26" w:rsidR="00D85658" w:rsidRDefault="00167569" w:rsidP="004B4E67">
      <w:pPr>
        <w:pStyle w:val="ListBullet"/>
      </w:pPr>
      <w:r>
        <w:t>Deaths involving COVID-19 have fallen from the June peak of 857 deaths to 195 deaths in September 2024</w:t>
      </w:r>
      <w:r w:rsidR="00155C77">
        <w:t xml:space="preserve"> (Figure 15)</w:t>
      </w:r>
      <w:r>
        <w:t xml:space="preserve">. </w:t>
      </w:r>
    </w:p>
    <w:p w14:paraId="687254C8" w14:textId="385E82E9" w:rsidR="00D85658" w:rsidRDefault="00167569" w:rsidP="004B4E67">
      <w:pPr>
        <w:pStyle w:val="ListBullet"/>
      </w:pPr>
      <w:r>
        <w:t>Deaths involving influenza dropped from their peak in July and August (258 and 259 deaths respectively) to 72 deaths in September 2024</w:t>
      </w:r>
      <w:r w:rsidR="00155C77">
        <w:t xml:space="preserve"> (Figure 15).</w:t>
      </w:r>
    </w:p>
    <w:p w14:paraId="052B5DC4" w14:textId="609BC57C" w:rsidR="00D85658" w:rsidRDefault="00167569" w:rsidP="004B4E67">
      <w:pPr>
        <w:pStyle w:val="ListBullet"/>
      </w:pPr>
      <w:r>
        <w:t>Deaths involving RSV have been at comparable levels to those recorded in 2022 and 2023 since July</w:t>
      </w:r>
      <w:r w:rsidR="00155C77">
        <w:t xml:space="preserve"> </w:t>
      </w:r>
      <w:r w:rsidR="00E057BE">
        <w:t>2024</w:t>
      </w:r>
      <w:r w:rsidR="00155C77">
        <w:t xml:space="preserve"> (Figure 15).</w:t>
      </w:r>
    </w:p>
    <w:p w14:paraId="6BB8EB43" w14:textId="77777777" w:rsidR="00D85658" w:rsidRDefault="00167569" w:rsidP="004B4E67">
      <w:pPr>
        <w:pStyle w:val="ListBullet"/>
      </w:pPr>
      <w:r>
        <w:t>All three of these acute respiratory infections are more likely to cause death in older age groups than younger age groups.</w:t>
      </w:r>
    </w:p>
    <w:p w14:paraId="4A3087E6" w14:textId="1F7BF9D2" w:rsidR="00D85658" w:rsidRDefault="00167569">
      <w:r>
        <w:rPr>
          <w:b/>
          <w:bCs/>
        </w:rPr>
        <w:t>Figure 15: Provisional number</w:t>
      </w:r>
      <w:r w:rsidR="002143B9">
        <w:rPr>
          <w:b/>
          <w:bCs/>
        </w:rPr>
        <w:t>s</w:t>
      </w:r>
      <w:r>
        <w:rPr>
          <w:b/>
          <w:bCs/>
        </w:rPr>
        <w:t xml:space="preserve"> of acute respiratory infection associated deaths</w:t>
      </w:r>
      <w:r w:rsidRPr="00B91606">
        <w:rPr>
          <w:b/>
          <w:bCs/>
          <w:vertAlign w:val="superscript"/>
        </w:rPr>
        <w:t>*†‡</w:t>
      </w:r>
      <w:r>
        <w:rPr>
          <w:b/>
          <w:bCs/>
        </w:rPr>
        <w:t xml:space="preserve"> by month, year and respiratory infection, Australia, 2022 – November 2024</w:t>
      </w:r>
    </w:p>
    <w:p w14:paraId="0A4298DA" w14:textId="77777777" w:rsidR="00DD45CA" w:rsidRDefault="00DD45CA" w:rsidP="00DD45CA">
      <w:pPr>
        <w:pStyle w:val="BodyText"/>
      </w:pPr>
      <w:r>
        <w:rPr>
          <w:noProof/>
        </w:rPr>
        <w:drawing>
          <wp:inline distT="0" distB="0" distL="0" distR="0" wp14:anchorId="37EE9493" wp14:editId="0AAB3005">
            <wp:extent cx="6184900" cy="1583039"/>
            <wp:effectExtent l="0" t="0" r="0" b="0"/>
            <wp:docPr id="81" name="Picture" descr="Figure 15: Provisional numbers of acute respiratory infection associated deaths*†‡ by month, year and respiratory infection, Australia, 2022 – November 2024"/>
            <wp:cNvGraphicFramePr/>
            <a:graphic xmlns:a="http://schemas.openxmlformats.org/drawingml/2006/main">
              <a:graphicData uri="http://schemas.openxmlformats.org/drawingml/2006/picture">
                <pic:pic xmlns:pic="http://schemas.openxmlformats.org/drawingml/2006/picture">
                  <pic:nvPicPr>
                    <pic:cNvPr id="81" name="Picture" descr="Figure 15: Provisional numbers of acute respiratory infection associated deaths*†‡ by month, year and respiratory infection, Australia, 2022 – November 2024"/>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1583039"/>
                    </a:xfrm>
                    <a:prstGeom prst="rect">
                      <a:avLst/>
                    </a:prstGeom>
                    <a:noFill/>
                    <a:ln w="9525">
                      <a:noFill/>
                      <a:headEnd/>
                      <a:tailEnd/>
                    </a:ln>
                  </pic:spPr>
                </pic:pic>
              </a:graphicData>
            </a:graphic>
          </wp:inline>
        </w:drawing>
      </w:r>
      <w:r>
        <w:rPr>
          <w:noProof/>
        </w:rPr>
        <w:drawing>
          <wp:inline distT="0" distB="0" distL="0" distR="0" wp14:anchorId="1C0640FC" wp14:editId="2B736F2C">
            <wp:extent cx="6184900" cy="1583039"/>
            <wp:effectExtent l="0" t="0" r="0" b="0"/>
            <wp:docPr id="8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4" name="Picture">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1583039"/>
                    </a:xfrm>
                    <a:prstGeom prst="rect">
                      <a:avLst/>
                    </a:prstGeom>
                    <a:noFill/>
                    <a:ln w="9525">
                      <a:noFill/>
                      <a:headEnd/>
                      <a:tailEnd/>
                    </a:ln>
                  </pic:spPr>
                </pic:pic>
              </a:graphicData>
            </a:graphic>
          </wp:inline>
        </w:drawing>
      </w:r>
      <w:r>
        <w:rPr>
          <w:noProof/>
        </w:rPr>
        <w:drawing>
          <wp:inline distT="0" distB="0" distL="0" distR="0" wp14:anchorId="5AA4F6C9" wp14:editId="067CC653">
            <wp:extent cx="6184900" cy="1583039"/>
            <wp:effectExtent l="0" t="0" r="0" b="0"/>
            <wp:docPr id="8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7" name="Picture">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bwMode="auto">
                    <a:xfrm>
                      <a:off x="0" y="0"/>
                      <a:ext cx="6184900" cy="1583039"/>
                    </a:xfrm>
                    <a:prstGeom prst="rect">
                      <a:avLst/>
                    </a:prstGeom>
                    <a:noFill/>
                    <a:ln w="9525">
                      <a:noFill/>
                      <a:headEnd/>
                      <a:tailEnd/>
                    </a:ln>
                  </pic:spPr>
                </pic:pic>
              </a:graphicData>
            </a:graphic>
          </wp:inline>
        </w:drawing>
      </w:r>
    </w:p>
    <w:p w14:paraId="30C61A09" w14:textId="5E490A63" w:rsidR="00D85658" w:rsidRDefault="00167569" w:rsidP="00CE44FA">
      <w:pPr>
        <w:pStyle w:val="Smalltext"/>
      </w:pPr>
      <w:r>
        <w:t xml:space="preserve">Source: Australian Bureau of Statistics, </w:t>
      </w:r>
      <w:hyperlink r:id="rId64">
        <w:r>
          <w:rPr>
            <w:rStyle w:val="Hyperlink"/>
          </w:rPr>
          <w:t>Provisional Mortality Statistics, Jan - Sep 2024</w:t>
        </w:r>
      </w:hyperlink>
      <w:r>
        <w:t>, released 18 Dec 2024.</w:t>
      </w:r>
      <w:r>
        <w:br/>
        <w:t>* An acute respiratory associated death is one where the viral disease has either directly caused the death or the person has died with the virus (a person has died from another cause but the viral illness still contributed significantly to death).</w:t>
      </w:r>
      <w:r w:rsidR="00693EA9">
        <w:t xml:space="preserve"> </w:t>
      </w:r>
      <w:r>
        <w:t>Includes acute respiratory disease death registrations only.</w:t>
      </w:r>
      <w:r>
        <w:br/>
        <w:t xml:space="preserve">† Data is provisional and subject to change. It can take several weeks for death registrations to be reported, processed, coded, validated, and tabulated. Therefore, the data shown here may be incomplete, and will likely not include all deaths that occurred during a given time. Data includes all deaths (both doctor and coroner certified) that occurred and were registered by 30 November 2024. Please refer to the </w:t>
      </w:r>
      <w:hyperlink r:id="rId65">
        <w:r>
          <w:rPr>
            <w:rStyle w:val="Hyperlink"/>
          </w:rPr>
          <w:t>Technical Supplement</w:t>
        </w:r>
      </w:hyperlink>
      <w:r>
        <w:t xml:space="preserve"> for more information.</w:t>
      </w:r>
      <w:r>
        <w:br/>
        <w:t xml:space="preserve">‡ </w:t>
      </w:r>
      <w:r w:rsidR="00B91606">
        <w:t>A</w:t>
      </w:r>
      <w:r>
        <w:t>ll deaths involving COVID-19 in this report have been coded to ICD-10 codes U07.1-U07.2, U10.9 or U09.9. All deaths involving influenza have been coded to J09-J11. All deaths involving RSV have been coded to J12.1, J20.5, J21.0, B97.4.</w:t>
      </w:r>
    </w:p>
    <w:p w14:paraId="3AE1AB1A" w14:textId="77777777" w:rsidR="00D85658" w:rsidRDefault="00167569">
      <w:pPr>
        <w:pStyle w:val="Heading1"/>
      </w:pPr>
      <w:bookmarkStart w:id="6" w:name="laboratory-surveillance"/>
      <w:bookmarkEnd w:id="5"/>
      <w:r>
        <w:lastRenderedPageBreak/>
        <w:t>Laboratory surveillance</w:t>
      </w:r>
    </w:p>
    <w:p w14:paraId="7E6DEA7F" w14:textId="70DA3ABE" w:rsidR="00D85658" w:rsidRDefault="00167569">
      <w:r>
        <w:t xml:space="preserve">Sentinel laboratory surveillance monitors and characterises respiratory pathogens to provide information on </w:t>
      </w:r>
      <w:r w:rsidR="00E00DAA">
        <w:t xml:space="preserve">what </w:t>
      </w:r>
      <w:r w:rsidR="00086B9A">
        <w:t>pathogens are circulating,</w:t>
      </w:r>
      <w:r>
        <w:t xml:space="preserve"> potential changes in the </w:t>
      </w:r>
      <w:r w:rsidR="00064C2E">
        <w:t xml:space="preserve">pathogens </w:t>
      </w:r>
      <w:r>
        <w:t>that might affect their infectiousness, severity, ability to evade vaccine and/or infection</w:t>
      </w:r>
      <w:r w:rsidR="00CF0835">
        <w:t>-</w:t>
      </w:r>
      <w:r>
        <w:t>acquired immunity, or resistance to antivirals.</w:t>
      </w:r>
    </w:p>
    <w:p w14:paraId="5FC08BF2" w14:textId="2CC84BF7" w:rsidR="00D85658" w:rsidRDefault="00167569" w:rsidP="004B4E67">
      <w:pPr>
        <w:pStyle w:val="ListBullet"/>
      </w:pPr>
      <w:r w:rsidRPr="00456FAC">
        <w:t>This</w:t>
      </w:r>
      <w:r w:rsidR="005D676B" w:rsidRPr="00CE44FA">
        <w:t xml:space="preserve"> month</w:t>
      </w:r>
      <w:r w:rsidRPr="00456FAC">
        <w:t xml:space="preserve"> (30 December to 26 January 2025), SARS-CoV-2 </w:t>
      </w:r>
      <w:r w:rsidR="00F53E61" w:rsidRPr="00CE44FA">
        <w:t xml:space="preserve">test positivity </w:t>
      </w:r>
      <w:r w:rsidRPr="00456FAC">
        <w:t>has decreased to 5.3% (1,217/23,042), influenza</w:t>
      </w:r>
      <w:r w:rsidR="00F53E61" w:rsidRPr="00CE44FA">
        <w:t xml:space="preserve"> positivity</w:t>
      </w:r>
      <w:r w:rsidRPr="00456FAC">
        <w:t xml:space="preserve"> has increased </w:t>
      </w:r>
      <w:r w:rsidR="00303693" w:rsidRPr="00CE44FA">
        <w:t xml:space="preserve">slightly </w:t>
      </w:r>
      <w:r w:rsidRPr="00456FAC">
        <w:t xml:space="preserve">to 3.2% (873/27,656), and RSV positivity has </w:t>
      </w:r>
      <w:r w:rsidR="002273D6" w:rsidRPr="00CE44FA">
        <w:t>remained stable at</w:t>
      </w:r>
      <w:r w:rsidRPr="00456FAC">
        <w:t xml:space="preserve"> 0.8% (187/23,042) (Figure 16).</w:t>
      </w:r>
    </w:p>
    <w:p w14:paraId="78C5B254" w14:textId="7EDCD3CD" w:rsidR="00D85658" w:rsidRDefault="00167569">
      <w:pPr>
        <w:pStyle w:val="BodyText"/>
      </w:pPr>
      <w:r>
        <w:rPr>
          <w:b/>
          <w:bCs/>
        </w:rPr>
        <w:t xml:space="preserve">Figure 16: </w:t>
      </w:r>
      <w:r w:rsidR="773C4CF6" w:rsidRPr="77E573C6">
        <w:rPr>
          <w:b/>
          <w:bCs/>
        </w:rPr>
        <w:t>Number</w:t>
      </w:r>
      <w:r>
        <w:rPr>
          <w:b/>
          <w:bCs/>
        </w:rPr>
        <w:t xml:space="preserve"> of tests positive </w:t>
      </w:r>
      <w:r w:rsidR="0B097AC2" w:rsidRPr="77E573C6">
        <w:rPr>
          <w:b/>
          <w:bCs/>
        </w:rPr>
        <w:t>(bars) and test positivity (line)</w:t>
      </w:r>
      <w:r w:rsidRPr="77E573C6">
        <w:rPr>
          <w:b/>
          <w:bCs/>
        </w:rPr>
        <w:t xml:space="preserve"> </w:t>
      </w:r>
      <w:r>
        <w:rPr>
          <w:b/>
          <w:bCs/>
        </w:rPr>
        <w:t>for SARS-CoV-2, influenza or RSV of those specimens tested by sentinel laboratories by week of report*</w:t>
      </w:r>
      <w:r>
        <w:rPr>
          <w:b/>
          <w:bCs/>
          <w:vertAlign w:val="superscript"/>
        </w:rPr>
        <w:t>†</w:t>
      </w:r>
      <w:r>
        <w:rPr>
          <w:b/>
          <w:bCs/>
        </w:rPr>
        <w:t>, Australia, 1 January to 26 January 2025</w:t>
      </w:r>
    </w:p>
    <w:p w14:paraId="5357448A" w14:textId="5ECA714D" w:rsidR="00D85658" w:rsidRDefault="002E6B4C">
      <w:pPr>
        <w:pStyle w:val="BodyText"/>
      </w:pPr>
      <w:r>
        <w:rPr>
          <w:noProof/>
        </w:rPr>
        <w:drawing>
          <wp:inline distT="0" distB="0" distL="0" distR="0" wp14:anchorId="6327FB83" wp14:editId="5485F6A5">
            <wp:extent cx="6184900" cy="5463960"/>
            <wp:effectExtent l="0" t="0" r="0" b="0"/>
            <wp:docPr id="863882334" name="Picture" descr="Figure 16: Number of tests positive (bars) and test positivity (line) for SARS-CoV-2, influenza or RSV of those specimens tested by sentinel laboratories by week of report*†, Australia, 1 January to 26 January 2025"/>
            <wp:cNvGraphicFramePr/>
            <a:graphic xmlns:a="http://schemas.openxmlformats.org/drawingml/2006/main">
              <a:graphicData uri="http://schemas.openxmlformats.org/drawingml/2006/picture">
                <pic:pic xmlns:pic="http://schemas.openxmlformats.org/drawingml/2006/picture">
                  <pic:nvPicPr>
                    <pic:cNvPr id="863882334" name="Picture" descr="Figure 16: Number of tests positive (bars) and test positivity (line) for SARS-CoV-2, influenza or RSV of those specimens tested by sentinel laboratories by week of report*†, Australia, 1 January to 26 January 2025"/>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5463960"/>
                    </a:xfrm>
                    <a:prstGeom prst="rect">
                      <a:avLst/>
                    </a:prstGeom>
                    <a:noFill/>
                    <a:ln w="9525">
                      <a:noFill/>
                      <a:headEnd/>
                      <a:tailEnd/>
                    </a:ln>
                  </pic:spPr>
                </pic:pic>
              </a:graphicData>
            </a:graphic>
          </wp:inline>
        </w:drawing>
      </w:r>
    </w:p>
    <w:p w14:paraId="09730D83" w14:textId="0A923D94" w:rsidR="00D85658" w:rsidRDefault="00167569" w:rsidP="004B4E67">
      <w:pPr>
        <w:pStyle w:val="Smalltext"/>
      </w:pPr>
      <w:r>
        <w:t>Source: Sentinel laboratories, including National Influenza Centres</w:t>
      </w:r>
      <w:r>
        <w:b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p>
    <w:p w14:paraId="513DB524" w14:textId="77777777" w:rsidR="00D85658" w:rsidRDefault="00167569" w:rsidP="004B4E67">
      <w:pPr>
        <w:pStyle w:val="ListBullet"/>
      </w:pPr>
      <w:r>
        <w:t>There were 281 sequences uploaded to AusTrakka with dates of collection in the past 28 days (30 December to 26 January 2025). These sequences were from New South Wales, Queensland, South Australia, Tasmania, and Western Australia, with the most recent collection date 13 January 2025.</w:t>
      </w:r>
    </w:p>
    <w:p w14:paraId="475B0251" w14:textId="77777777" w:rsidR="00D85658" w:rsidRDefault="00167569" w:rsidP="004B4E67">
      <w:pPr>
        <w:pStyle w:val="ListBullet"/>
      </w:pPr>
      <w:r>
        <w:lastRenderedPageBreak/>
        <w:t>All sequences were assigned to the BA.2.86 sub-lineage within B.1.1.529 (Omicron) or recombinants consisting of one or more Omicron sub-lineages (Figure 17). There were no BA.1, BA.3, BA.4, BA.5 or other BA.2 sub-sub-lineage sequences. In the past 28 days:</w:t>
      </w:r>
    </w:p>
    <w:p w14:paraId="0974A7E8" w14:textId="77777777" w:rsidR="00D85658" w:rsidRDefault="00167569" w:rsidP="004B4E67">
      <w:pPr>
        <w:pStyle w:val="ListBullet2"/>
      </w:pPr>
      <w:r>
        <w:t>40.9% (115/281) of sequences were from the sub-sub-lineages JN.1 (BA.2.86.1.1), including from KP.3 (78/115)</w:t>
      </w:r>
    </w:p>
    <w:p w14:paraId="5B5A37E3" w14:textId="185888DE" w:rsidR="00D85658" w:rsidRDefault="00167569" w:rsidP="004B4E67">
      <w:pPr>
        <w:pStyle w:val="ListBullet2"/>
      </w:pPr>
      <w:r>
        <w:t>5</w:t>
      </w:r>
      <w:r w:rsidR="005C0760">
        <w:t>9</w:t>
      </w:r>
      <w:r>
        <w:t>.</w:t>
      </w:r>
      <w:r w:rsidR="005C0760">
        <w:t>3</w:t>
      </w:r>
      <w:r>
        <w:t>% (166/281) of sequences were recombinant or recombinant sub-lineages, including XEC, a recombinant between KS.1.1 (JN.1.13.1.1.1) and KP.3.3</w:t>
      </w:r>
    </w:p>
    <w:p w14:paraId="2F1ED9AE" w14:textId="7625A5D5" w:rsidR="00D85658" w:rsidRDefault="00167569" w:rsidP="004B4E67">
      <w:pPr>
        <w:pStyle w:val="ListBullet"/>
      </w:pPr>
      <w:r>
        <w:t>XEC is now the dominant variant, followed by JN.1 and associated sub</w:t>
      </w:r>
      <w:r w:rsidR="00287136">
        <w:t>-</w:t>
      </w:r>
      <w:r>
        <w:t>lineages (Figure 17).</w:t>
      </w:r>
    </w:p>
    <w:p w14:paraId="4D91B65C" w14:textId="77777777" w:rsidR="00D85658" w:rsidRDefault="00167569" w:rsidP="004B4E67">
      <w:pPr>
        <w:pStyle w:val="ListBullet"/>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6A0DD291" w14:textId="7C4E3FF0" w:rsidR="00D85658" w:rsidRDefault="00167569" w:rsidP="004B4E67">
      <w:pPr>
        <w:pStyle w:val="ListBullet2"/>
      </w:pPr>
      <w:r>
        <w:t>LP.8.1 has been designated as a VUM as of 24 January 2025. There is currently limited information available about the risk posed by LP.8.1 as this variant is still being characterised. The WHO ha</w:t>
      </w:r>
      <w:r w:rsidR="00577D44">
        <w:t>ve</w:t>
      </w:r>
      <w:r>
        <w:t xml:space="preserve"> not yet released a risk evaluation for LP.8.1. There are 104 LP.8.1 sequences in AusTrakka, with 19 collected in the past 28 days.</w:t>
      </w:r>
    </w:p>
    <w:p w14:paraId="2F53FB24" w14:textId="60F7C87B" w:rsidR="00D85658" w:rsidRDefault="00167569" w:rsidP="004B4E67">
      <w:pPr>
        <w:pStyle w:val="ListBullet2"/>
      </w:pPr>
      <w:r>
        <w:t>1,383 XEC lineages have been identified in AusTrakka, including 157 collected in past 28 days.</w:t>
      </w:r>
    </w:p>
    <w:p w14:paraId="43D64E39" w14:textId="79CFBF17" w:rsidR="00D85658" w:rsidRDefault="00167569" w:rsidP="004B4E67">
      <w:pPr>
        <w:pStyle w:val="ListBullet2"/>
      </w:pPr>
      <w:r>
        <w:t xml:space="preserve">305 sequences of LB.1 </w:t>
      </w:r>
      <w:r w:rsidR="007D0C40">
        <w:t xml:space="preserve">have been </w:t>
      </w:r>
      <w:r>
        <w:t xml:space="preserve">identified in AusTrakka, with </w:t>
      </w:r>
      <w:r w:rsidR="007D0C40">
        <w:t xml:space="preserve">eight </w:t>
      </w:r>
      <w:r>
        <w:t>sequences identified in the past 28 days.</w:t>
      </w:r>
    </w:p>
    <w:p w14:paraId="0F83B8C0" w14:textId="31E2C526" w:rsidR="00D85658" w:rsidRDefault="00167569" w:rsidP="004B4E67">
      <w:pPr>
        <w:pStyle w:val="ListBullet2"/>
      </w:pPr>
      <w:r>
        <w:t>2,304 sequences of KP.3.1.1 have been identified in AusTrakka, with 70 sequences identified in the past 28 days.</w:t>
      </w:r>
    </w:p>
    <w:p w14:paraId="4B5361A2" w14:textId="27E771E2" w:rsidR="00D85658" w:rsidRDefault="00167569">
      <w:r>
        <w:rPr>
          <w:b/>
          <w:bCs/>
        </w:rPr>
        <w:t>Figure 17</w:t>
      </w:r>
      <w:r w:rsidR="00E91FEA">
        <w:rPr>
          <w:b/>
          <w:bCs/>
        </w:rPr>
        <w:t>a</w:t>
      </w:r>
      <w:r>
        <w:rPr>
          <w:b/>
          <w:bCs/>
        </w:rPr>
        <w:t xml:space="preserve">: Omicron sub-lineage* sequences by sample collection date, showing </w:t>
      </w:r>
      <w:r w:rsidR="00904A57">
        <w:rPr>
          <w:b/>
          <w:bCs/>
        </w:rPr>
        <w:t xml:space="preserve">the </w:t>
      </w:r>
      <w:r>
        <w:rPr>
          <w:b/>
          <w:bCs/>
        </w:rPr>
        <w:t>proportions</w:t>
      </w:r>
      <w:r w:rsidR="00904A57">
        <w:rPr>
          <w:b/>
          <w:bCs/>
        </w:rPr>
        <w:t xml:space="preserve"> of sequences</w:t>
      </w:r>
      <w:r w:rsidR="00662691">
        <w:rPr>
          <w:b/>
          <w:bCs/>
        </w:rPr>
        <w:t xml:space="preserve"> </w:t>
      </w:r>
      <w:r>
        <w:rPr>
          <w:b/>
          <w:bCs/>
        </w:rPr>
        <w:t>per week^</w:t>
      </w:r>
      <w:r>
        <w:rPr>
          <w:b/>
          <w:bCs/>
          <w:vertAlign w:val="superscript"/>
        </w:rPr>
        <w:t>†</w:t>
      </w:r>
      <w:r>
        <w:rPr>
          <w:b/>
          <w:bCs/>
        </w:rPr>
        <w:t>, Australia, 1 January to 26 January 2025</w:t>
      </w:r>
    </w:p>
    <w:p w14:paraId="08202870" w14:textId="77777777" w:rsidR="00E91FEA" w:rsidRDefault="00CA3EEF" w:rsidP="00E86F03">
      <w:pPr>
        <w:pStyle w:val="Smalltext"/>
      </w:pPr>
      <w:r>
        <w:rPr>
          <w:noProof/>
        </w:rPr>
        <w:drawing>
          <wp:inline distT="0" distB="0" distL="0" distR="0" wp14:anchorId="0ACC9CCA" wp14:editId="663D463C">
            <wp:extent cx="6192520" cy="2477135"/>
            <wp:effectExtent l="0" t="0" r="0" b="0"/>
            <wp:docPr id="1668000575" name="Graphic 1" descr="Figure 17a: Omicron sub-lineage* sequences by sample collection date, showing the proportions of sequences per week^†, Australia, 1 January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0575" name="Graphic 1" descr="Figure 17a: Omicron sub-lineage* sequences by sample collection date, showing the proportions of sequences per week^†, Australia, 1 January to 26 January 2025"/>
                    <pic:cNvPicPr/>
                  </pic:nvPicPr>
                  <pic:blipFill>
                    <a:blip r:embed="rId68">
                      <a:extLst>
                        <a:ext uri="{96DAC541-7B7A-43D3-8B79-37D633B846F1}">
                          <asvg:svgBlip xmlns:asvg="http://schemas.microsoft.com/office/drawing/2016/SVG/main" r:embed="rId69"/>
                        </a:ext>
                      </a:extLst>
                    </a:blip>
                    <a:stretch>
                      <a:fillRect/>
                    </a:stretch>
                  </pic:blipFill>
                  <pic:spPr>
                    <a:xfrm>
                      <a:off x="0" y="0"/>
                      <a:ext cx="6192520" cy="2477135"/>
                    </a:xfrm>
                    <a:prstGeom prst="rect">
                      <a:avLst/>
                    </a:prstGeom>
                  </pic:spPr>
                </pic:pic>
              </a:graphicData>
            </a:graphic>
          </wp:inline>
        </w:drawing>
      </w:r>
    </w:p>
    <w:p w14:paraId="379527C4" w14:textId="1165C4B9" w:rsidR="00E91FEA" w:rsidRDefault="00E91FEA" w:rsidP="00E86F03">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17</w:t>
      </w:r>
      <w:r w:rsidR="00662691">
        <w:t>a</w:t>
      </w:r>
      <w:r>
        <w:t xml:space="preserve"> may not be representative when sequence numbers are small; refer to Figure 17</w:t>
      </w:r>
      <w:r w:rsidR="00662691">
        <w:t>b</w:t>
      </w:r>
      <w: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5635A1F4" w14:textId="77777777" w:rsidR="00E91FEA" w:rsidRDefault="00E91FEA">
      <w:pPr>
        <w:spacing w:before="0" w:after="0" w:line="240" w:lineRule="auto"/>
        <w:rPr>
          <w:b/>
          <w:bCs/>
        </w:rPr>
      </w:pPr>
      <w:r>
        <w:rPr>
          <w:b/>
          <w:bCs/>
        </w:rPr>
        <w:br w:type="page"/>
      </w:r>
    </w:p>
    <w:p w14:paraId="26F4FECB" w14:textId="235464F8" w:rsidR="00E91FEA" w:rsidRDefault="00E91FEA" w:rsidP="00E91FEA">
      <w:r>
        <w:rPr>
          <w:b/>
          <w:bCs/>
        </w:rPr>
        <w:lastRenderedPageBreak/>
        <w:t>Figure 17</w:t>
      </w:r>
      <w:r w:rsidR="000204BD">
        <w:rPr>
          <w:b/>
          <w:bCs/>
        </w:rPr>
        <w:t>b</w:t>
      </w:r>
      <w:r>
        <w:rPr>
          <w:b/>
          <w:bCs/>
        </w:rPr>
        <w:t xml:space="preserve">: Omicron sub-lineage* sequences by sample collection date, showing </w:t>
      </w:r>
      <w:r w:rsidR="00904A57">
        <w:rPr>
          <w:b/>
          <w:bCs/>
        </w:rPr>
        <w:t xml:space="preserve">the </w:t>
      </w:r>
      <w:r>
        <w:rPr>
          <w:b/>
          <w:bCs/>
        </w:rPr>
        <w:t>count</w:t>
      </w:r>
      <w:r w:rsidR="00904A57">
        <w:rPr>
          <w:b/>
          <w:bCs/>
        </w:rPr>
        <w:t xml:space="preserve"> of sequences</w:t>
      </w:r>
      <w:r>
        <w:rPr>
          <w:b/>
          <w:bCs/>
        </w:rPr>
        <w:t xml:space="preserve"> per week^</w:t>
      </w:r>
      <w:r>
        <w:rPr>
          <w:b/>
          <w:bCs/>
          <w:vertAlign w:val="superscript"/>
        </w:rPr>
        <w:t>†</w:t>
      </w:r>
      <w:r>
        <w:rPr>
          <w:b/>
          <w:bCs/>
        </w:rPr>
        <w:t>, Australia, 1 January to 26 January 2025</w:t>
      </w:r>
    </w:p>
    <w:p w14:paraId="73CFCAA6" w14:textId="640AA9C7" w:rsidR="00CA3EEF" w:rsidRDefault="00CA3EEF" w:rsidP="00E86F03">
      <w:pPr>
        <w:pStyle w:val="Smalltext"/>
      </w:pPr>
      <w:r>
        <w:rPr>
          <w:noProof/>
        </w:rPr>
        <w:drawing>
          <wp:inline distT="0" distB="0" distL="0" distR="0" wp14:anchorId="6059DF8F" wp14:editId="6556A529">
            <wp:extent cx="6192520" cy="2477135"/>
            <wp:effectExtent l="0" t="0" r="0" b="0"/>
            <wp:docPr id="1589794014" name="Graphic 1" descr="Figure 17b: Omicron sub-lineage* sequences by sample collection date, showing the count of sequences per week^†, Australia, 1 January to 26 January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794014" name="Graphic 1" descr="Figure 17b: Omicron sub-lineage* sequences by sample collection date, showing the count of sequences per week^†, Australia, 1 January to 26 January 2025"/>
                    <pic:cNvPicPr/>
                  </pic:nvPicPr>
                  <pic:blipFill>
                    <a:blip r:embed="rId70">
                      <a:extLst>
                        <a:ext uri="{96DAC541-7B7A-43D3-8B79-37D633B846F1}">
                          <asvg:svgBlip xmlns:asvg="http://schemas.microsoft.com/office/drawing/2016/SVG/main" r:embed="rId71"/>
                        </a:ext>
                      </a:extLst>
                    </a:blip>
                    <a:stretch>
                      <a:fillRect/>
                    </a:stretch>
                  </pic:blipFill>
                  <pic:spPr>
                    <a:xfrm>
                      <a:off x="0" y="0"/>
                      <a:ext cx="6192520" cy="2477135"/>
                    </a:xfrm>
                    <a:prstGeom prst="rect">
                      <a:avLst/>
                    </a:prstGeom>
                  </pic:spPr>
                </pic:pic>
              </a:graphicData>
            </a:graphic>
          </wp:inline>
        </w:drawing>
      </w:r>
    </w:p>
    <w:p w14:paraId="58D5736B" w14:textId="2901CF64" w:rsidR="00D85658" w:rsidRDefault="00167569" w:rsidP="00E86F03">
      <w:pPr>
        <w:pStyle w:val="Smalltext"/>
      </w:pPr>
      <w:r>
        <w:t>Source: AusTrakka</w:t>
      </w:r>
      <w:r>
        <w:br/>
        <w:t xml:space="preserve">* Some sub-sublineages are shown alongside their parent </w:t>
      </w:r>
      <w:proofErr w:type="gramStart"/>
      <w:r>
        <w:t>lineage, but</w:t>
      </w:r>
      <w:proofErr w:type="gramEnd"/>
      <w:r>
        <w:t xml:space="preserve">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17A may not be representative when sequence numbers are small; refer to Figure 17B.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6ED778BC" w14:textId="20B0CF65" w:rsidR="00D85658" w:rsidRDefault="00167569" w:rsidP="004B4E67">
      <w:pPr>
        <w:pStyle w:val="ListBullet"/>
      </w:pPr>
      <w:r>
        <w:t xml:space="preserve">In the year to date, </w:t>
      </w:r>
      <w:r w:rsidR="00AE609F">
        <w:t xml:space="preserve">86.2% (50/58) of influenza viruses characterised </w:t>
      </w:r>
      <w:r w:rsidR="00833187">
        <w:t xml:space="preserve">by the </w:t>
      </w:r>
      <w:r w:rsidR="00833187" w:rsidRPr="00833187">
        <w:t>World Health Organization (WHO) Collaborating Centre for Reference and Research on Influenza</w:t>
      </w:r>
      <w:r w:rsidR="00AE609F">
        <w:t xml:space="preserve"> have been influenza A(H1N1) and </w:t>
      </w:r>
      <w:r>
        <w:t>13.8% (8/58) have been influenza A(H3N2)</w:t>
      </w:r>
      <w:r w:rsidR="00CA3EEF">
        <w:t>.</w:t>
      </w:r>
      <w:r w:rsidR="00AE609F">
        <w:t xml:space="preserve"> T</w:t>
      </w:r>
      <w:r>
        <w:t>here have been no influenza B</w:t>
      </w:r>
      <w:r w:rsidR="00AE609F">
        <w:t xml:space="preserve"> </w:t>
      </w:r>
      <w:r>
        <w:t xml:space="preserve">viruses characterised (Table </w:t>
      </w:r>
      <w:r w:rsidR="00AE609F">
        <w:t>4</w:t>
      </w:r>
      <w:r>
        <w:t>).</w:t>
      </w:r>
    </w:p>
    <w:p w14:paraId="3080118D" w14:textId="765EAC38" w:rsidR="00CA3EEF" w:rsidRPr="004B4E67" w:rsidRDefault="007F7C53" w:rsidP="004B4E67">
      <w:pPr>
        <w:pStyle w:val="ListBullet"/>
      </w:pPr>
      <w:r>
        <w:t>Currently, n</w:t>
      </w:r>
      <w:r w:rsidR="00CA3EEF">
        <w:t xml:space="preserve">o samples have been tested </w:t>
      </w:r>
      <w:r w:rsidR="0034544D">
        <w:t>yet</w:t>
      </w:r>
      <w:r w:rsidR="00CA3EEF">
        <w:t xml:space="preserve"> </w:t>
      </w:r>
      <w:r w:rsidR="00167569">
        <w:t>for neuraminidase inhibitor resistance</w:t>
      </w:r>
      <w:r w:rsidR="00CA3EEF">
        <w:t xml:space="preserve"> </w:t>
      </w:r>
      <w:r w:rsidR="00167569">
        <w:t>to Oseltamivir</w:t>
      </w:r>
      <w:r w:rsidR="00CA3EEF">
        <w:t xml:space="preserve"> or</w:t>
      </w:r>
      <w:r w:rsidR="00167569">
        <w:t xml:space="preserve"> Zanamivir.</w:t>
      </w:r>
    </w:p>
    <w:p w14:paraId="6E1039FB" w14:textId="08E3ED72" w:rsidR="00D85658" w:rsidRDefault="00167569" w:rsidP="00CA3EEF">
      <w:pPr>
        <w:keepNext/>
      </w:pPr>
      <w:r>
        <w:rPr>
          <w:b/>
          <w:bCs/>
        </w:rPr>
        <w:t xml:space="preserve">Table </w:t>
      </w:r>
      <w:r w:rsidR="00975E8A">
        <w:rPr>
          <w:b/>
          <w:bCs/>
        </w:rPr>
        <w:t>4</w:t>
      </w:r>
      <w:r>
        <w:rPr>
          <w:b/>
          <w:bCs/>
        </w:rPr>
        <w:t>: Australian influenza viruses typed by haemagglutination inhibition assay and jurisdiction*</w:t>
      </w:r>
      <w:r>
        <w:rPr>
          <w:b/>
          <w:bCs/>
          <w:vertAlign w:val="superscript"/>
        </w:rPr>
        <w:t>†</w:t>
      </w:r>
      <w:r>
        <w:rPr>
          <w:b/>
          <w:bCs/>
        </w:rPr>
        <w:t>, 1 January to 26 January 2025</w:t>
      </w:r>
    </w:p>
    <w:tbl>
      <w:tblPr>
        <w:tblW w:w="5000" w:type="pct"/>
        <w:jc w:val="center"/>
        <w:tblLook w:val="0420" w:firstRow="1" w:lastRow="0" w:firstColumn="0" w:lastColumn="0" w:noHBand="0" w:noVBand="1"/>
        <w:tblDescription w:val="Table 4: Australian influenza viruses typed by haemagglutination inhibition assay and jurisdiction*†, 1 January to 26 January 2025"/>
      </w:tblPr>
      <w:tblGrid>
        <w:gridCol w:w="2686"/>
        <w:gridCol w:w="840"/>
        <w:gridCol w:w="914"/>
        <w:gridCol w:w="649"/>
        <w:gridCol w:w="737"/>
        <w:gridCol w:w="665"/>
        <w:gridCol w:w="827"/>
        <w:gridCol w:w="768"/>
        <w:gridCol w:w="737"/>
        <w:gridCol w:w="929"/>
      </w:tblGrid>
      <w:tr w:rsidR="00D85658" w14:paraId="09D08C6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F8D37D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A4DF7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1EC64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6A8918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E34FF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80915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54E783" w14:textId="41E536AC"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E01961">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14260CE" w14:textId="4162E08B"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E01961">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A88C55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07298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D85658" w14:paraId="2C42427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781B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28470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3AF4C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CD201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556CEB"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06DA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BB8A4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B524E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6957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B0588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50</w:t>
            </w:r>
          </w:p>
        </w:tc>
      </w:tr>
      <w:tr w:rsidR="00D85658" w14:paraId="389D31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FD757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90886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CDFBB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F421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D79B03"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62AB7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57D05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E1501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B113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60836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r>
      <w:tr w:rsidR="00D85658" w14:paraId="34E536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93027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D23D0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7B7542"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E29D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A7CDD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F5AB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98C4A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BCF2C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BB0B1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A57E2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85658" w14:paraId="4FC8B97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7C6C8"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11CD7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3E36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3902A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286950"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CD9F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22792C"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8F7FD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89321"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A1370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D85658" w14:paraId="1962B09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F235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C24D6"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9E0A3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AF66F"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CCF657"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131E4E"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E60BD"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521AA9"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5A3BA"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70AB5" w14:textId="77777777" w:rsidR="00D85658" w:rsidRDefault="00167569">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58</w:t>
            </w:r>
          </w:p>
        </w:tc>
      </w:tr>
    </w:tbl>
    <w:p w14:paraId="7A1CC3AD" w14:textId="750634D7" w:rsidR="00D85658" w:rsidRDefault="00167569" w:rsidP="00E86F03">
      <w:pPr>
        <w:pStyle w:val="Smalltext"/>
      </w:pPr>
      <w:r>
        <w:t>Source: World Health Organization</w:t>
      </w:r>
      <w:r w:rsidR="00577D44">
        <w:t xml:space="preserve"> (WHO)</w:t>
      </w:r>
      <w:r>
        <w:t xml:space="preserve"> Collaborating Centre for Reference and Research on Influenza</w:t>
      </w:r>
      <w:r>
        <w:br/>
        <w:t>*Viruses tested by the WHO</w:t>
      </w:r>
      <w:r w:rsidR="00577D44">
        <w:t xml:space="preserve"> Collaborating Centre</w:t>
      </w:r>
      <w:r>
        <w:t xml:space="preserv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5868BE6B" w14:textId="77777777" w:rsidR="00D85658" w:rsidRDefault="00167569">
      <w:r>
        <w:br w:type="page"/>
      </w:r>
    </w:p>
    <w:p w14:paraId="455DECFB" w14:textId="77777777" w:rsidR="00D85658" w:rsidRDefault="00167569">
      <w:pPr>
        <w:pStyle w:val="Heading1"/>
      </w:pPr>
      <w:bookmarkStart w:id="7" w:name="vaccine-coverage-effectiveness-and-match"/>
      <w:bookmarkEnd w:id="6"/>
      <w:r>
        <w:lastRenderedPageBreak/>
        <w:t>Vaccine coverage, effectiveness and match</w:t>
      </w:r>
    </w:p>
    <w:p w14:paraId="3F59386B" w14:textId="77777777" w:rsidR="00D85658" w:rsidRDefault="00167569">
      <w:r>
        <w:t xml:space="preserve">Vaccine coverage, effectiveness and match for acute respiratory infections are monitored from several data sources in Australia. Refer to the </w:t>
      </w:r>
      <w:hyperlink r:id="rId72">
        <w:r>
          <w:rPr>
            <w:rStyle w:val="Hyperlink"/>
          </w:rPr>
          <w:t>Technical Supplement</w:t>
        </w:r>
      </w:hyperlink>
      <w:r>
        <w:t xml:space="preserve"> for more information.</w:t>
      </w:r>
    </w:p>
    <w:p w14:paraId="5CD6358A" w14:textId="77777777" w:rsidR="00D85658" w:rsidRDefault="00167569" w:rsidP="00C1559B">
      <w:pPr>
        <w:pStyle w:val="Heading2"/>
      </w:pPr>
      <w:bookmarkStart w:id="8" w:name="vaccine-coverage"/>
      <w:r>
        <w:t>Vaccine coverage</w:t>
      </w:r>
    </w:p>
    <w:p w14:paraId="20D0D2B7" w14:textId="78F6ED75" w:rsidR="00D85658" w:rsidRDefault="00167569" w:rsidP="004B4E67">
      <w:pPr>
        <w:pStyle w:val="ListBullet"/>
      </w:pPr>
      <w:r>
        <w:t xml:space="preserve">Data on vaccine coverage is currently </w:t>
      </w:r>
      <w:proofErr w:type="gramStart"/>
      <w:r>
        <w:t>unavailable</w:t>
      </w:r>
      <w:r w:rsidR="00805EEC">
        <w:t>, but</w:t>
      </w:r>
      <w:proofErr w:type="gramEnd"/>
      <w:r w:rsidR="00805EEC">
        <w:t xml:space="preserve"> will be included in future reports</w:t>
      </w:r>
      <w:r>
        <w:t>.</w:t>
      </w:r>
    </w:p>
    <w:p w14:paraId="06307952" w14:textId="77777777" w:rsidR="00D85658" w:rsidRDefault="00167569" w:rsidP="00C1559B">
      <w:pPr>
        <w:pStyle w:val="Heading2"/>
      </w:pPr>
      <w:bookmarkStart w:id="9" w:name="vaccine-effectiveness"/>
      <w:bookmarkEnd w:id="8"/>
      <w:r>
        <w:t>Vaccine effectiveness</w:t>
      </w:r>
    </w:p>
    <w:p w14:paraId="0CAAF32B" w14:textId="77777777" w:rsidR="00D85658" w:rsidRDefault="00167569" w:rsidP="004B4E67">
      <w:pPr>
        <w:pStyle w:val="ListBullet"/>
      </w:pPr>
      <w:r>
        <w:t>It is too early to assess vaccine effectiveness for the 2025 influenza season.</w:t>
      </w:r>
    </w:p>
    <w:p w14:paraId="153F6AD3" w14:textId="77777777" w:rsidR="00D85658" w:rsidRDefault="00167569" w:rsidP="00C1559B">
      <w:pPr>
        <w:pStyle w:val="Heading2"/>
      </w:pPr>
      <w:bookmarkStart w:id="10" w:name="vaccine-match"/>
      <w:bookmarkEnd w:id="9"/>
      <w:r>
        <w:t>Vaccine match</w:t>
      </w:r>
    </w:p>
    <w:p w14:paraId="3CF1EEF4" w14:textId="0A2620F5" w:rsidR="00D85658" w:rsidRDefault="00167569" w:rsidP="004B4E67">
      <w:pPr>
        <w:pStyle w:val="ListBullet"/>
      </w:pPr>
      <w:r>
        <w:t xml:space="preserve">Refer to the </w:t>
      </w:r>
      <w:hyperlink r:id="rId73">
        <w:r w:rsidR="009C49FB">
          <w:rPr>
            <w:rStyle w:val="Hyperlink"/>
          </w:rPr>
          <w:t>Technical Supplement</w:t>
        </w:r>
      </w:hyperlink>
      <w:r>
        <w:t xml:space="preserve"> for </w:t>
      </w:r>
      <w:r w:rsidR="000D382A">
        <w:t xml:space="preserve">information on </w:t>
      </w:r>
      <w:r>
        <w:t>the 2025 southern hemisphere influenza vaccines composition.</w:t>
      </w:r>
    </w:p>
    <w:p w14:paraId="2868D95D" w14:textId="30CBF433" w:rsidR="00D85658" w:rsidRDefault="00167569" w:rsidP="004B4E67">
      <w:pPr>
        <w:pStyle w:val="ListBullet"/>
      </w:pPr>
      <w:r>
        <w:t>In the year to date, 98.0% (49/50) of influenza A(H1N1) isolates</w:t>
      </w:r>
      <w:r w:rsidR="00114D51">
        <w:t xml:space="preserve"> and</w:t>
      </w:r>
      <w:r>
        <w:t xml:space="preserve"> 100% (</w:t>
      </w:r>
      <w:r w:rsidR="005A4C0E">
        <w:t>8</w:t>
      </w:r>
      <w:r>
        <w:t>/</w:t>
      </w:r>
      <w:r w:rsidR="005A4C0E">
        <w:t>8</w:t>
      </w:r>
      <w:r>
        <w:t xml:space="preserve">) of influenza A(H3N2) isolates characterised have been antigenically </w:t>
      </w:r>
      <w:proofErr w:type="gramStart"/>
      <w:r>
        <w:t>similar to</w:t>
      </w:r>
      <w:proofErr w:type="gramEnd"/>
      <w:r>
        <w:t xml:space="preserve"> the corresponding</w:t>
      </w:r>
      <w:r w:rsidR="000C4361">
        <w:t xml:space="preserve"> 2025</w:t>
      </w:r>
      <w:r>
        <w:t xml:space="preserve"> vaccine components.</w:t>
      </w:r>
      <w:bookmarkEnd w:id="7"/>
      <w:bookmarkEnd w:id="10"/>
    </w:p>
    <w:sectPr w:rsidR="00D85658" w:rsidSect="00847FAC">
      <w:footerReference w:type="default" r:id="rId74"/>
      <w:headerReference w:type="first" r:id="rId75"/>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82676" w14:textId="77777777" w:rsidR="00E93F90" w:rsidRDefault="00E93F90">
      <w:pPr>
        <w:spacing w:before="0" w:after="0" w:line="240" w:lineRule="auto"/>
      </w:pPr>
      <w:r>
        <w:separator/>
      </w:r>
    </w:p>
  </w:endnote>
  <w:endnote w:type="continuationSeparator" w:id="0">
    <w:p w14:paraId="5655CEFB" w14:textId="77777777" w:rsidR="00E93F90" w:rsidRDefault="00E93F90">
      <w:pPr>
        <w:spacing w:before="0" w:after="0" w:line="240" w:lineRule="auto"/>
      </w:pPr>
      <w:r>
        <w:continuationSeparator/>
      </w:r>
    </w:p>
  </w:endnote>
  <w:endnote w:type="continuationNotice" w:id="1">
    <w:p w14:paraId="4FA6E3A9" w14:textId="77777777" w:rsidR="00E93F90" w:rsidRDefault="00E93F9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20"/>
      </w:rPr>
      <w:id w:val="-215809206"/>
      <w:docPartObj>
        <w:docPartGallery w:val="Page Numbers (Bottom of Page)"/>
        <w:docPartUnique/>
      </w:docPartObj>
    </w:sdtPr>
    <w:sdtEndPr>
      <w:rPr>
        <w:noProof/>
        <w:szCs w:val="16"/>
      </w:rPr>
    </w:sdtEndPr>
    <w:sdtContent>
      <w:p w14:paraId="4C5D0F7A" w14:textId="77777777" w:rsidR="00167569" w:rsidRPr="00847FAC" w:rsidRDefault="00167569" w:rsidP="00847FAC">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4E3FD" w14:textId="77777777" w:rsidR="00E93F90" w:rsidRDefault="00E93F90">
      <w:r>
        <w:separator/>
      </w:r>
    </w:p>
  </w:footnote>
  <w:footnote w:type="continuationSeparator" w:id="0">
    <w:p w14:paraId="580C1D77" w14:textId="77777777" w:rsidR="00E93F90" w:rsidRDefault="00E93F90">
      <w:r>
        <w:continuationSeparator/>
      </w:r>
    </w:p>
  </w:footnote>
  <w:footnote w:type="continuationNotice" w:id="1">
    <w:p w14:paraId="3CC9B1CB" w14:textId="77777777" w:rsidR="00E93F90" w:rsidRDefault="00E93F9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B18AA2" w14:textId="77777777" w:rsidR="00167569" w:rsidRDefault="00167569" w:rsidP="00934368">
    <w:pPr>
      <w:pStyle w:val="Header"/>
    </w:pPr>
    <w:r>
      <w:rPr>
        <w:noProof/>
        <w:lang w:eastAsia="en-AU"/>
      </w:rPr>
      <w:drawing>
        <wp:anchor distT="0" distB="0" distL="114300" distR="114300" simplePos="0" relativeHeight="251658240" behindDoc="1" locked="1" layoutInCell="1" allowOverlap="1" wp14:anchorId="4F1F94F1" wp14:editId="09A1B480">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9AA67AB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0000A991"/>
    <w:multiLevelType w:val="multilevel"/>
    <w:tmpl w:val="A9C8085E"/>
    <w:lvl w:ilvl="0">
      <w:numFmt w:val="bullet"/>
      <w:pStyle w:val="ListBullet"/>
      <w:lvlText w:val="•"/>
      <w:lvlJc w:val="left"/>
      <w:pPr>
        <w:ind w:left="720" w:hanging="480"/>
      </w:pPr>
    </w:lvl>
    <w:lvl w:ilvl="1">
      <w:numFmt w:val="bullet"/>
      <w:pStyle w:val="ListBullet2"/>
      <w:lvlText w:val="–"/>
      <w:lvlJc w:val="left"/>
      <w:pPr>
        <w:ind w:left="1440" w:hanging="480"/>
      </w:pPr>
    </w:lvl>
    <w:lvl w:ilvl="2">
      <w:numFmt w:val="bullet"/>
      <w:pStyle w:val="ListBullet3"/>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2953B4"/>
    <w:multiLevelType w:val="hybridMultilevel"/>
    <w:tmpl w:val="ADE23CE6"/>
    <w:lvl w:ilvl="0" w:tplc="FFFFFFFF">
      <w:start w:val="1"/>
      <w:numFmt w:val="bullet"/>
      <w:lvlText w:val=""/>
      <w:lvlJc w:val="left"/>
      <w:pPr>
        <w:ind w:left="720" w:hanging="360"/>
      </w:pPr>
      <w:rPr>
        <w:rFonts w:ascii="Symbol" w:hAnsi="Symbol" w:hint="default"/>
        <w:color w:val="03363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67F6119C"/>
    <w:multiLevelType w:val="hybridMultilevel"/>
    <w:tmpl w:val="6FFEDEE0"/>
    <w:lvl w:ilvl="0" w:tplc="FFFFFFFF">
      <w:start w:val="1"/>
      <w:numFmt w:val="bullet"/>
      <w:lvlText w:val=""/>
      <w:lvlJc w:val="left"/>
      <w:pPr>
        <w:ind w:left="720" w:hanging="360"/>
      </w:pPr>
      <w:rPr>
        <w:rFonts w:ascii="Symbol" w:hAnsi="Symbol" w:hint="default"/>
        <w:color w:val="033636"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391716"/>
    <w:multiLevelType w:val="hybridMultilevel"/>
    <w:tmpl w:val="DDBC3032"/>
    <w:lvl w:ilvl="0" w:tplc="F4C86310">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3"/>
  </w:num>
  <w:num w:numId="2" w16cid:durableId="28997209">
    <w:abstractNumId w:val="5"/>
  </w:num>
  <w:num w:numId="3" w16cid:durableId="1504319644">
    <w:abstractNumId w:val="9"/>
  </w:num>
  <w:num w:numId="4" w16cid:durableId="1823959635">
    <w:abstractNumId w:val="6"/>
  </w:num>
  <w:num w:numId="5" w16cid:durableId="1449813617">
    <w:abstractNumId w:val="8"/>
  </w:num>
  <w:num w:numId="6" w16cid:durableId="1444181194">
    <w:abstractNumId w:val="2"/>
  </w:num>
  <w:num w:numId="7" w16cid:durableId="2106536320">
    <w:abstractNumId w:val="1"/>
  </w:num>
  <w:num w:numId="8" w16cid:durableId="903293240">
    <w:abstractNumId w:val="1"/>
  </w:num>
  <w:num w:numId="9" w16cid:durableId="580019277">
    <w:abstractNumId w:val="1"/>
  </w:num>
  <w:num w:numId="10" w16cid:durableId="387917077">
    <w:abstractNumId w:val="1"/>
  </w:num>
  <w:num w:numId="11" w16cid:durableId="1750420453">
    <w:abstractNumId w:val="1"/>
  </w:num>
  <w:num w:numId="12" w16cid:durableId="1259019143">
    <w:abstractNumId w:val="1"/>
  </w:num>
  <w:num w:numId="13" w16cid:durableId="1414164006">
    <w:abstractNumId w:val="1"/>
  </w:num>
  <w:num w:numId="14" w16cid:durableId="1284384109">
    <w:abstractNumId w:val="1"/>
  </w:num>
  <w:num w:numId="15" w16cid:durableId="907153450">
    <w:abstractNumId w:val="1"/>
  </w:num>
  <w:num w:numId="16" w16cid:durableId="244414917">
    <w:abstractNumId w:val="1"/>
  </w:num>
  <w:num w:numId="17" w16cid:durableId="2001422459">
    <w:abstractNumId w:val="1"/>
  </w:num>
  <w:num w:numId="18" w16cid:durableId="549999023">
    <w:abstractNumId w:val="1"/>
  </w:num>
  <w:num w:numId="19" w16cid:durableId="552890774">
    <w:abstractNumId w:val="1"/>
  </w:num>
  <w:num w:numId="20" w16cid:durableId="1349529810">
    <w:abstractNumId w:val="1"/>
  </w:num>
  <w:num w:numId="21" w16cid:durableId="1733427246">
    <w:abstractNumId w:val="1"/>
  </w:num>
  <w:num w:numId="22" w16cid:durableId="1145200234">
    <w:abstractNumId w:val="1"/>
  </w:num>
  <w:num w:numId="23" w16cid:durableId="1692417149">
    <w:abstractNumId w:val="1"/>
  </w:num>
  <w:num w:numId="24" w16cid:durableId="1358585270">
    <w:abstractNumId w:val="1"/>
  </w:num>
  <w:num w:numId="25" w16cid:durableId="907955325">
    <w:abstractNumId w:val="1"/>
  </w:num>
  <w:num w:numId="26" w16cid:durableId="1382899841">
    <w:abstractNumId w:val="1"/>
  </w:num>
  <w:num w:numId="27" w16cid:durableId="1947224783">
    <w:abstractNumId w:val="1"/>
  </w:num>
  <w:num w:numId="28" w16cid:durableId="1468472838">
    <w:abstractNumId w:val="1"/>
  </w:num>
  <w:num w:numId="29" w16cid:durableId="1517575161">
    <w:abstractNumId w:val="1"/>
  </w:num>
  <w:num w:numId="30" w16cid:durableId="867986391">
    <w:abstractNumId w:val="1"/>
  </w:num>
  <w:num w:numId="31" w16cid:durableId="1429698951">
    <w:abstractNumId w:val="1"/>
  </w:num>
  <w:num w:numId="32" w16cid:durableId="645013926">
    <w:abstractNumId w:val="1"/>
  </w:num>
  <w:num w:numId="33" w16cid:durableId="491142807">
    <w:abstractNumId w:val="1"/>
  </w:num>
  <w:num w:numId="34" w16cid:durableId="1837916055">
    <w:abstractNumId w:val="1"/>
  </w:num>
  <w:num w:numId="35" w16cid:durableId="264919958">
    <w:abstractNumId w:val="1"/>
  </w:num>
  <w:num w:numId="36" w16cid:durableId="773980827">
    <w:abstractNumId w:val="4"/>
  </w:num>
  <w:num w:numId="37" w16cid:durableId="1479691861">
    <w:abstractNumId w:val="7"/>
  </w:num>
  <w:num w:numId="38" w16cid:durableId="1682656943">
    <w:abstractNumId w:val="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658"/>
    <w:rsid w:val="00012FF6"/>
    <w:rsid w:val="00015E7B"/>
    <w:rsid w:val="000204BD"/>
    <w:rsid w:val="00024758"/>
    <w:rsid w:val="00030F1D"/>
    <w:rsid w:val="00037161"/>
    <w:rsid w:val="00043A42"/>
    <w:rsid w:val="000458FB"/>
    <w:rsid w:val="00055249"/>
    <w:rsid w:val="000648AF"/>
    <w:rsid w:val="00064C2E"/>
    <w:rsid w:val="00068CFD"/>
    <w:rsid w:val="0008575F"/>
    <w:rsid w:val="00086B9A"/>
    <w:rsid w:val="000945A8"/>
    <w:rsid w:val="0009766D"/>
    <w:rsid w:val="000A29BA"/>
    <w:rsid w:val="000C110C"/>
    <w:rsid w:val="000C426A"/>
    <w:rsid w:val="000C4361"/>
    <w:rsid w:val="000C7231"/>
    <w:rsid w:val="000C73DA"/>
    <w:rsid w:val="000C7514"/>
    <w:rsid w:val="000C7D22"/>
    <w:rsid w:val="000D2DC0"/>
    <w:rsid w:val="000D382A"/>
    <w:rsid w:val="000D628E"/>
    <w:rsid w:val="000D7AFB"/>
    <w:rsid w:val="000E3803"/>
    <w:rsid w:val="000E3B26"/>
    <w:rsid w:val="00100B7C"/>
    <w:rsid w:val="00111306"/>
    <w:rsid w:val="00114D51"/>
    <w:rsid w:val="001178DE"/>
    <w:rsid w:val="00117FF5"/>
    <w:rsid w:val="00133773"/>
    <w:rsid w:val="00141680"/>
    <w:rsid w:val="00141742"/>
    <w:rsid w:val="001442FE"/>
    <w:rsid w:val="001478CB"/>
    <w:rsid w:val="00153FBC"/>
    <w:rsid w:val="0015403F"/>
    <w:rsid w:val="00155C77"/>
    <w:rsid w:val="001566A4"/>
    <w:rsid w:val="001610B2"/>
    <w:rsid w:val="00164843"/>
    <w:rsid w:val="00166304"/>
    <w:rsid w:val="001666E1"/>
    <w:rsid w:val="00167569"/>
    <w:rsid w:val="00174095"/>
    <w:rsid w:val="00175383"/>
    <w:rsid w:val="00175569"/>
    <w:rsid w:val="00190B93"/>
    <w:rsid w:val="0019347C"/>
    <w:rsid w:val="00194D86"/>
    <w:rsid w:val="00195B7B"/>
    <w:rsid w:val="001A556C"/>
    <w:rsid w:val="001C2350"/>
    <w:rsid w:val="001C2B79"/>
    <w:rsid w:val="001C47E6"/>
    <w:rsid w:val="001E2913"/>
    <w:rsid w:val="001E47DE"/>
    <w:rsid w:val="001E762C"/>
    <w:rsid w:val="001E7752"/>
    <w:rsid w:val="001F009E"/>
    <w:rsid w:val="001F3B1D"/>
    <w:rsid w:val="00207C5B"/>
    <w:rsid w:val="002143B9"/>
    <w:rsid w:val="00221F27"/>
    <w:rsid w:val="00227294"/>
    <w:rsid w:val="002273D6"/>
    <w:rsid w:val="00266B1D"/>
    <w:rsid w:val="00273DAB"/>
    <w:rsid w:val="002769A5"/>
    <w:rsid w:val="00276DBF"/>
    <w:rsid w:val="0027720D"/>
    <w:rsid w:val="00280DD2"/>
    <w:rsid w:val="0028307A"/>
    <w:rsid w:val="00287136"/>
    <w:rsid w:val="002920FA"/>
    <w:rsid w:val="002B7C7C"/>
    <w:rsid w:val="002C63C2"/>
    <w:rsid w:val="002D3648"/>
    <w:rsid w:val="002E5861"/>
    <w:rsid w:val="002E6B4C"/>
    <w:rsid w:val="002E7E08"/>
    <w:rsid w:val="00303693"/>
    <w:rsid w:val="00306035"/>
    <w:rsid w:val="003065F3"/>
    <w:rsid w:val="00306EC9"/>
    <w:rsid w:val="00307BD4"/>
    <w:rsid w:val="0031570C"/>
    <w:rsid w:val="00320C89"/>
    <w:rsid w:val="00322D35"/>
    <w:rsid w:val="003315C4"/>
    <w:rsid w:val="00341DF5"/>
    <w:rsid w:val="00342C82"/>
    <w:rsid w:val="0034353B"/>
    <w:rsid w:val="00343B3A"/>
    <w:rsid w:val="0034544D"/>
    <w:rsid w:val="0035733B"/>
    <w:rsid w:val="00360FFF"/>
    <w:rsid w:val="003A2240"/>
    <w:rsid w:val="003B66EA"/>
    <w:rsid w:val="003D1CBF"/>
    <w:rsid w:val="003D4239"/>
    <w:rsid w:val="003E4A03"/>
    <w:rsid w:val="003E691D"/>
    <w:rsid w:val="003F704A"/>
    <w:rsid w:val="004014FC"/>
    <w:rsid w:val="00404CA3"/>
    <w:rsid w:val="00411C23"/>
    <w:rsid w:val="00412F19"/>
    <w:rsid w:val="00417B5B"/>
    <w:rsid w:val="00420A4E"/>
    <w:rsid w:val="00420A7E"/>
    <w:rsid w:val="0043234C"/>
    <w:rsid w:val="0043336A"/>
    <w:rsid w:val="004568CE"/>
    <w:rsid w:val="00456FAC"/>
    <w:rsid w:val="00462B7B"/>
    <w:rsid w:val="00465036"/>
    <w:rsid w:val="00466149"/>
    <w:rsid w:val="004717C3"/>
    <w:rsid w:val="0047396D"/>
    <w:rsid w:val="00481717"/>
    <w:rsid w:val="004875E4"/>
    <w:rsid w:val="00487DAB"/>
    <w:rsid w:val="004A7EB2"/>
    <w:rsid w:val="004B23A4"/>
    <w:rsid w:val="004B4E67"/>
    <w:rsid w:val="004C046E"/>
    <w:rsid w:val="004C47BA"/>
    <w:rsid w:val="004C7AD8"/>
    <w:rsid w:val="004D1D5E"/>
    <w:rsid w:val="004D5FA5"/>
    <w:rsid w:val="004E09DD"/>
    <w:rsid w:val="004E14F7"/>
    <w:rsid w:val="004F6864"/>
    <w:rsid w:val="004F7BAF"/>
    <w:rsid w:val="0050495B"/>
    <w:rsid w:val="00511D51"/>
    <w:rsid w:val="0052180A"/>
    <w:rsid w:val="00523887"/>
    <w:rsid w:val="00525BC4"/>
    <w:rsid w:val="00533C62"/>
    <w:rsid w:val="00542CAE"/>
    <w:rsid w:val="00542F0A"/>
    <w:rsid w:val="00553FC4"/>
    <w:rsid w:val="005637A8"/>
    <w:rsid w:val="00577D44"/>
    <w:rsid w:val="00582470"/>
    <w:rsid w:val="00587782"/>
    <w:rsid w:val="00587C94"/>
    <w:rsid w:val="005A4C0E"/>
    <w:rsid w:val="005A6268"/>
    <w:rsid w:val="005B457C"/>
    <w:rsid w:val="005C0760"/>
    <w:rsid w:val="005C19FF"/>
    <w:rsid w:val="005C2451"/>
    <w:rsid w:val="005C6303"/>
    <w:rsid w:val="005D03A5"/>
    <w:rsid w:val="005D30B1"/>
    <w:rsid w:val="005D650D"/>
    <w:rsid w:val="005D676B"/>
    <w:rsid w:val="005F2C5E"/>
    <w:rsid w:val="005F710A"/>
    <w:rsid w:val="006006A1"/>
    <w:rsid w:val="00600D75"/>
    <w:rsid w:val="00607D69"/>
    <w:rsid w:val="00610788"/>
    <w:rsid w:val="0063188E"/>
    <w:rsid w:val="00634C70"/>
    <w:rsid w:val="0064016A"/>
    <w:rsid w:val="006423EF"/>
    <w:rsid w:val="00661B9D"/>
    <w:rsid w:val="00662691"/>
    <w:rsid w:val="00664F8E"/>
    <w:rsid w:val="006666E5"/>
    <w:rsid w:val="006723CE"/>
    <w:rsid w:val="00677D73"/>
    <w:rsid w:val="00683701"/>
    <w:rsid w:val="00685DFA"/>
    <w:rsid w:val="00687D4D"/>
    <w:rsid w:val="00690BE5"/>
    <w:rsid w:val="00693EA9"/>
    <w:rsid w:val="006A0680"/>
    <w:rsid w:val="006A3B06"/>
    <w:rsid w:val="006A43C0"/>
    <w:rsid w:val="006A7C5A"/>
    <w:rsid w:val="006C446E"/>
    <w:rsid w:val="006D4A3D"/>
    <w:rsid w:val="006D6E13"/>
    <w:rsid w:val="006E79C7"/>
    <w:rsid w:val="006F696D"/>
    <w:rsid w:val="007004C5"/>
    <w:rsid w:val="007018EF"/>
    <w:rsid w:val="007040B0"/>
    <w:rsid w:val="00707E2C"/>
    <w:rsid w:val="00710345"/>
    <w:rsid w:val="0071142B"/>
    <w:rsid w:val="00712431"/>
    <w:rsid w:val="007135B8"/>
    <w:rsid w:val="00720352"/>
    <w:rsid w:val="007214DE"/>
    <w:rsid w:val="0072677A"/>
    <w:rsid w:val="00742510"/>
    <w:rsid w:val="00761D96"/>
    <w:rsid w:val="00764162"/>
    <w:rsid w:val="007739CC"/>
    <w:rsid w:val="007779BE"/>
    <w:rsid w:val="00777AAB"/>
    <w:rsid w:val="00777ED8"/>
    <w:rsid w:val="00791F83"/>
    <w:rsid w:val="007A137D"/>
    <w:rsid w:val="007A4D45"/>
    <w:rsid w:val="007A510D"/>
    <w:rsid w:val="007B0B2F"/>
    <w:rsid w:val="007B5685"/>
    <w:rsid w:val="007D0C40"/>
    <w:rsid w:val="007E3964"/>
    <w:rsid w:val="007E7E58"/>
    <w:rsid w:val="007F7C53"/>
    <w:rsid w:val="00804088"/>
    <w:rsid w:val="00804D39"/>
    <w:rsid w:val="00805EEC"/>
    <w:rsid w:val="00820221"/>
    <w:rsid w:val="0082552A"/>
    <w:rsid w:val="00833187"/>
    <w:rsid w:val="00834A64"/>
    <w:rsid w:val="00835FDE"/>
    <w:rsid w:val="0084109B"/>
    <w:rsid w:val="00841C07"/>
    <w:rsid w:val="00845F7A"/>
    <w:rsid w:val="008677F2"/>
    <w:rsid w:val="008767B7"/>
    <w:rsid w:val="008A18E6"/>
    <w:rsid w:val="008A2EA1"/>
    <w:rsid w:val="008A523C"/>
    <w:rsid w:val="008B3724"/>
    <w:rsid w:val="008B41B4"/>
    <w:rsid w:val="008C2F03"/>
    <w:rsid w:val="008C5881"/>
    <w:rsid w:val="008C7BBF"/>
    <w:rsid w:val="008D1071"/>
    <w:rsid w:val="008D669A"/>
    <w:rsid w:val="008E3463"/>
    <w:rsid w:val="008F09EC"/>
    <w:rsid w:val="008F0F4F"/>
    <w:rsid w:val="008F1350"/>
    <w:rsid w:val="008F40AD"/>
    <w:rsid w:val="00904109"/>
    <w:rsid w:val="00904A57"/>
    <w:rsid w:val="00905A55"/>
    <w:rsid w:val="00905C7B"/>
    <w:rsid w:val="00911328"/>
    <w:rsid w:val="00912354"/>
    <w:rsid w:val="009221EE"/>
    <w:rsid w:val="009246E1"/>
    <w:rsid w:val="009250F9"/>
    <w:rsid w:val="00930CF4"/>
    <w:rsid w:val="00935267"/>
    <w:rsid w:val="009479A1"/>
    <w:rsid w:val="009503EE"/>
    <w:rsid w:val="00955594"/>
    <w:rsid w:val="009658B2"/>
    <w:rsid w:val="00975E8A"/>
    <w:rsid w:val="009765F0"/>
    <w:rsid w:val="00983A89"/>
    <w:rsid w:val="009903D1"/>
    <w:rsid w:val="00994000"/>
    <w:rsid w:val="009B0810"/>
    <w:rsid w:val="009B196E"/>
    <w:rsid w:val="009C3E6D"/>
    <w:rsid w:val="009C49FB"/>
    <w:rsid w:val="009D13BE"/>
    <w:rsid w:val="009E150D"/>
    <w:rsid w:val="009F3607"/>
    <w:rsid w:val="00A013BE"/>
    <w:rsid w:val="00A05298"/>
    <w:rsid w:val="00A120A9"/>
    <w:rsid w:val="00A1755F"/>
    <w:rsid w:val="00A20F9D"/>
    <w:rsid w:val="00A25D47"/>
    <w:rsid w:val="00A371E1"/>
    <w:rsid w:val="00A45B8B"/>
    <w:rsid w:val="00A501CC"/>
    <w:rsid w:val="00A510C7"/>
    <w:rsid w:val="00A52535"/>
    <w:rsid w:val="00A60ABB"/>
    <w:rsid w:val="00A665FF"/>
    <w:rsid w:val="00A6668F"/>
    <w:rsid w:val="00A670D9"/>
    <w:rsid w:val="00AA0FA3"/>
    <w:rsid w:val="00AB0669"/>
    <w:rsid w:val="00AB25F8"/>
    <w:rsid w:val="00AB3597"/>
    <w:rsid w:val="00AB36D1"/>
    <w:rsid w:val="00AD17FA"/>
    <w:rsid w:val="00AD6929"/>
    <w:rsid w:val="00AD77C9"/>
    <w:rsid w:val="00AE050B"/>
    <w:rsid w:val="00AE609F"/>
    <w:rsid w:val="00B079DF"/>
    <w:rsid w:val="00B1546C"/>
    <w:rsid w:val="00B22215"/>
    <w:rsid w:val="00B23E5F"/>
    <w:rsid w:val="00B26798"/>
    <w:rsid w:val="00B30A45"/>
    <w:rsid w:val="00B30BDD"/>
    <w:rsid w:val="00B34A7E"/>
    <w:rsid w:val="00B35CAB"/>
    <w:rsid w:val="00B37DB5"/>
    <w:rsid w:val="00B4432B"/>
    <w:rsid w:val="00B51D10"/>
    <w:rsid w:val="00B52A20"/>
    <w:rsid w:val="00B52DC6"/>
    <w:rsid w:val="00B63BD4"/>
    <w:rsid w:val="00B64D71"/>
    <w:rsid w:val="00B65344"/>
    <w:rsid w:val="00B679BF"/>
    <w:rsid w:val="00B70220"/>
    <w:rsid w:val="00B702BE"/>
    <w:rsid w:val="00B77D35"/>
    <w:rsid w:val="00B91606"/>
    <w:rsid w:val="00BA6DA0"/>
    <w:rsid w:val="00BA7412"/>
    <w:rsid w:val="00BB76F9"/>
    <w:rsid w:val="00BC16DB"/>
    <w:rsid w:val="00BE4C66"/>
    <w:rsid w:val="00BF0404"/>
    <w:rsid w:val="00BF2750"/>
    <w:rsid w:val="00C00B63"/>
    <w:rsid w:val="00C106A9"/>
    <w:rsid w:val="00C12E21"/>
    <w:rsid w:val="00C1559B"/>
    <w:rsid w:val="00C173C5"/>
    <w:rsid w:val="00C27E77"/>
    <w:rsid w:val="00C3213B"/>
    <w:rsid w:val="00C33B18"/>
    <w:rsid w:val="00C44A21"/>
    <w:rsid w:val="00C47FEC"/>
    <w:rsid w:val="00C51FDC"/>
    <w:rsid w:val="00C71850"/>
    <w:rsid w:val="00C73DE4"/>
    <w:rsid w:val="00C74D81"/>
    <w:rsid w:val="00C90A1B"/>
    <w:rsid w:val="00C97867"/>
    <w:rsid w:val="00CA13C0"/>
    <w:rsid w:val="00CA3533"/>
    <w:rsid w:val="00CA3EEF"/>
    <w:rsid w:val="00CA40B1"/>
    <w:rsid w:val="00CC1587"/>
    <w:rsid w:val="00CC2E2B"/>
    <w:rsid w:val="00CC3485"/>
    <w:rsid w:val="00CC5CC3"/>
    <w:rsid w:val="00CC6298"/>
    <w:rsid w:val="00CD15BC"/>
    <w:rsid w:val="00CD4CBA"/>
    <w:rsid w:val="00CE15B0"/>
    <w:rsid w:val="00CE44FA"/>
    <w:rsid w:val="00CF0835"/>
    <w:rsid w:val="00CF5BB1"/>
    <w:rsid w:val="00D0007A"/>
    <w:rsid w:val="00D04079"/>
    <w:rsid w:val="00D119A6"/>
    <w:rsid w:val="00D12B7F"/>
    <w:rsid w:val="00D304B8"/>
    <w:rsid w:val="00D34FF3"/>
    <w:rsid w:val="00D515B6"/>
    <w:rsid w:val="00D66CA0"/>
    <w:rsid w:val="00D72515"/>
    <w:rsid w:val="00D75CBA"/>
    <w:rsid w:val="00D80044"/>
    <w:rsid w:val="00D81AE5"/>
    <w:rsid w:val="00D8274F"/>
    <w:rsid w:val="00D82C6C"/>
    <w:rsid w:val="00D85658"/>
    <w:rsid w:val="00D91B66"/>
    <w:rsid w:val="00D92473"/>
    <w:rsid w:val="00D96DAB"/>
    <w:rsid w:val="00D96FBE"/>
    <w:rsid w:val="00DA6F24"/>
    <w:rsid w:val="00DB6317"/>
    <w:rsid w:val="00DB683B"/>
    <w:rsid w:val="00DB7193"/>
    <w:rsid w:val="00DC024D"/>
    <w:rsid w:val="00DD45CA"/>
    <w:rsid w:val="00DD6AE4"/>
    <w:rsid w:val="00DE115F"/>
    <w:rsid w:val="00DE6B93"/>
    <w:rsid w:val="00DE7D2D"/>
    <w:rsid w:val="00DF1A71"/>
    <w:rsid w:val="00E00DAA"/>
    <w:rsid w:val="00E01961"/>
    <w:rsid w:val="00E0369A"/>
    <w:rsid w:val="00E055FD"/>
    <w:rsid w:val="00E057BE"/>
    <w:rsid w:val="00E10649"/>
    <w:rsid w:val="00E20A95"/>
    <w:rsid w:val="00E211B2"/>
    <w:rsid w:val="00E236F0"/>
    <w:rsid w:val="00E27273"/>
    <w:rsid w:val="00E338FF"/>
    <w:rsid w:val="00E354E8"/>
    <w:rsid w:val="00E449A6"/>
    <w:rsid w:val="00E522B3"/>
    <w:rsid w:val="00E65F48"/>
    <w:rsid w:val="00E70147"/>
    <w:rsid w:val="00E7193F"/>
    <w:rsid w:val="00E71BE4"/>
    <w:rsid w:val="00E71EBA"/>
    <w:rsid w:val="00E7686D"/>
    <w:rsid w:val="00E85CAD"/>
    <w:rsid w:val="00E86F03"/>
    <w:rsid w:val="00E91FEA"/>
    <w:rsid w:val="00E93F90"/>
    <w:rsid w:val="00E96FF0"/>
    <w:rsid w:val="00EB4F18"/>
    <w:rsid w:val="00EC0073"/>
    <w:rsid w:val="00EC094C"/>
    <w:rsid w:val="00EC1965"/>
    <w:rsid w:val="00EC2327"/>
    <w:rsid w:val="00EC73E6"/>
    <w:rsid w:val="00EE1B5D"/>
    <w:rsid w:val="00EE24BE"/>
    <w:rsid w:val="00EE4936"/>
    <w:rsid w:val="00EE4E2C"/>
    <w:rsid w:val="00F05985"/>
    <w:rsid w:val="00F20E14"/>
    <w:rsid w:val="00F2561C"/>
    <w:rsid w:val="00F3221D"/>
    <w:rsid w:val="00F46506"/>
    <w:rsid w:val="00F476F7"/>
    <w:rsid w:val="00F52436"/>
    <w:rsid w:val="00F53E61"/>
    <w:rsid w:val="00F55A3C"/>
    <w:rsid w:val="00F644A1"/>
    <w:rsid w:val="00F77DAE"/>
    <w:rsid w:val="00F8384C"/>
    <w:rsid w:val="00F84CF9"/>
    <w:rsid w:val="00F87BEB"/>
    <w:rsid w:val="00F90D76"/>
    <w:rsid w:val="00F96124"/>
    <w:rsid w:val="00F96BD2"/>
    <w:rsid w:val="00FA5313"/>
    <w:rsid w:val="00FA5330"/>
    <w:rsid w:val="00FB7FD2"/>
    <w:rsid w:val="00FC262C"/>
    <w:rsid w:val="00FD5127"/>
    <w:rsid w:val="00FE16B6"/>
    <w:rsid w:val="00FE25BB"/>
    <w:rsid w:val="00FF0A00"/>
    <w:rsid w:val="00FF13BB"/>
    <w:rsid w:val="00FF1734"/>
    <w:rsid w:val="00FF2871"/>
    <w:rsid w:val="00FF4CD9"/>
    <w:rsid w:val="0501038F"/>
    <w:rsid w:val="0B097AC2"/>
    <w:rsid w:val="0BEEAC6F"/>
    <w:rsid w:val="0ED1C687"/>
    <w:rsid w:val="0EDF83CA"/>
    <w:rsid w:val="14B21061"/>
    <w:rsid w:val="17A2171D"/>
    <w:rsid w:val="1B54E7BD"/>
    <w:rsid w:val="1F34DB39"/>
    <w:rsid w:val="290941FA"/>
    <w:rsid w:val="291F4740"/>
    <w:rsid w:val="2A8C71C4"/>
    <w:rsid w:val="2EB2A486"/>
    <w:rsid w:val="361433ED"/>
    <w:rsid w:val="39A0ECC3"/>
    <w:rsid w:val="4CB8FE66"/>
    <w:rsid w:val="4D440DCE"/>
    <w:rsid w:val="4F59802C"/>
    <w:rsid w:val="540E84AC"/>
    <w:rsid w:val="58FB1292"/>
    <w:rsid w:val="59523D84"/>
    <w:rsid w:val="5971C996"/>
    <w:rsid w:val="5990998C"/>
    <w:rsid w:val="5AC478CD"/>
    <w:rsid w:val="603A5FB0"/>
    <w:rsid w:val="615A1D8B"/>
    <w:rsid w:val="68E99935"/>
    <w:rsid w:val="6C136A61"/>
    <w:rsid w:val="6C81B057"/>
    <w:rsid w:val="703EBBB8"/>
    <w:rsid w:val="7058B655"/>
    <w:rsid w:val="74AFE26E"/>
    <w:rsid w:val="74F66E24"/>
    <w:rsid w:val="75182BAB"/>
    <w:rsid w:val="75649D5B"/>
    <w:rsid w:val="773C4CF6"/>
    <w:rsid w:val="77E573C6"/>
    <w:rsid w:val="7DB0DA30"/>
    <w:rsid w:val="7DD0091F"/>
    <w:rsid w:val="7E1C4E8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77472"/>
  <w15:docId w15:val="{FFA7CB0B-C8E9-41DE-9556-E1042E71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4E67"/>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Normal"/>
    <w:rsid w:val="004B4E67"/>
    <w:pPr>
      <w:numPr>
        <w:ilvl w:val="1"/>
        <w:numId w:val="9"/>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4B4E67"/>
    <w:pPr>
      <w:numPr>
        <w:numId w:val="7"/>
      </w:numPr>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86F03"/>
    <w:pPr>
      <w:spacing w:before="0"/>
    </w:pPr>
    <w:rPr>
      <w:sz w:val="14"/>
    </w:rPr>
  </w:style>
  <w:style w:type="character" w:customStyle="1" w:styleId="SmalltextChar">
    <w:name w:val="Smalltext Char"/>
    <w:basedOn w:val="DefaultParagraphFont"/>
    <w:link w:val="Smalltext"/>
    <w:rsid w:val="00E86F03"/>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82552A"/>
    <w:rPr>
      <w:sz w:val="16"/>
      <w:szCs w:val="16"/>
    </w:rPr>
  </w:style>
  <w:style w:type="paragraph" w:styleId="CommentSubject">
    <w:name w:val="annotation subject"/>
    <w:basedOn w:val="CommentText"/>
    <w:next w:val="CommentText"/>
    <w:link w:val="CommentSubjectChar"/>
    <w:semiHidden/>
    <w:unhideWhenUsed/>
    <w:rsid w:val="0082552A"/>
    <w:rPr>
      <w:b/>
      <w:bCs/>
      <w:szCs w:val="20"/>
    </w:rPr>
  </w:style>
  <w:style w:type="character" w:customStyle="1" w:styleId="CommentSubjectChar">
    <w:name w:val="Comment Subject Char"/>
    <w:basedOn w:val="CommentTextChar"/>
    <w:link w:val="CommentSubject"/>
    <w:semiHidden/>
    <w:rsid w:val="0082552A"/>
    <w:rPr>
      <w:rFonts w:ascii="Arial" w:hAnsi="Arial"/>
      <w:b/>
      <w:bCs/>
      <w:color w:val="033636" w:themeColor="text1"/>
      <w:sz w:val="22"/>
      <w:szCs w:val="22"/>
      <w:lang w:eastAsia="en-US"/>
    </w:rPr>
  </w:style>
  <w:style w:type="paragraph" w:styleId="Revision">
    <w:name w:val="Revision"/>
    <w:hidden/>
    <w:uiPriority w:val="99"/>
    <w:semiHidden/>
    <w:rsid w:val="00D81AE5"/>
    <w:rPr>
      <w:rFonts w:ascii="Arial" w:hAnsi="Arial"/>
      <w:color w:val="033636" w:themeColor="text1"/>
      <w:szCs w:val="24"/>
      <w:lang w:eastAsia="en-US"/>
    </w:rPr>
  </w:style>
  <w:style w:type="character" w:styleId="UnresolvedMention">
    <w:name w:val="Unresolved Mention"/>
    <w:basedOn w:val="DefaultParagraphFont"/>
    <w:uiPriority w:val="99"/>
    <w:semiHidden/>
    <w:unhideWhenUsed/>
    <w:rsid w:val="00F87BEB"/>
    <w:rPr>
      <w:color w:val="605E5C"/>
      <w:shd w:val="clear" w:color="auto" w:fill="E1DFDD"/>
    </w:rPr>
  </w:style>
  <w:style w:type="paragraph" w:styleId="ListBullet3">
    <w:name w:val="List Bullet 3"/>
    <w:basedOn w:val="Normal"/>
    <w:unhideWhenUsed/>
    <w:rsid w:val="004B4E67"/>
    <w:pPr>
      <w:numPr>
        <w:ilvl w:val="2"/>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hyperlink" Target="https://www.health.gov.au/resources/publications/technical-supplement-australian-respiratory-surveillance-report" TargetMode="External"/><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hyperlink" Target="https://www.abs.gov.au/statistics/people/population/national-state-and-territory-population/jun-2024" TargetMode="External"/><Relationship Id="rId42" Type="http://schemas.openxmlformats.org/officeDocument/2006/relationships/hyperlink" Target="https://www.health.gov.au/resources/publications/technical-supplement-australian-respiratory-surveillance-report" TargetMode="External"/><Relationship Id="rId47" Type="http://schemas.openxmlformats.org/officeDocument/2006/relationships/hyperlink" Target="https://paeds.org.au/covid-19/paediatric-covid-19-australia" TargetMode="External"/><Relationship Id="rId50" Type="http://schemas.openxmlformats.org/officeDocument/2006/relationships/hyperlink" Target="https://paeds.org.au/" TargetMode="External"/><Relationship Id="rId55" Type="http://schemas.openxmlformats.org/officeDocument/2006/relationships/image" Target="media/image26.png"/><Relationship Id="rId63" Type="http://schemas.openxmlformats.org/officeDocument/2006/relationships/image" Target="media/image33.svgz"/><Relationship Id="rId68" Type="http://schemas.openxmlformats.org/officeDocument/2006/relationships/image" Target="media/image36.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39.sv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health.gov.au/resources/publications/technical-supplement-australian-respiratory-surveillance-report"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cdc.gov.au/newsroom/news-and-articles/australia-monitoring-international-increases-human-metapneumovirus-hmpv" TargetMode="External"/><Relationship Id="rId32" Type="http://schemas.openxmlformats.org/officeDocument/2006/relationships/image" Target="media/image11.png"/><Relationship Id="rId37" Type="http://schemas.openxmlformats.org/officeDocument/2006/relationships/image" Target="media/image15.svgz"/><Relationship Id="rId40" Type="http://schemas.openxmlformats.org/officeDocument/2006/relationships/image" Target="media/image17.svgz"/><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4.png"/><Relationship Id="rId7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hyperlink" Target="https://www.abs.gov.au/statistics/people/population/national-state-and-territory-population/jun-2024" TargetMode="External"/><Relationship Id="rId28" Type="http://schemas.openxmlformats.org/officeDocument/2006/relationships/image" Target="media/image8.svgz"/><Relationship Id="rId36" Type="http://schemas.openxmlformats.org/officeDocument/2006/relationships/image" Target="media/image14.png"/><Relationship Id="rId49" Type="http://schemas.openxmlformats.org/officeDocument/2006/relationships/hyperlink" Target="https://paeds.org.au/influenza/paediatric-influenza-australia" TargetMode="External"/><Relationship Id="rId57" Type="http://schemas.openxmlformats.org/officeDocument/2006/relationships/hyperlink" Target="https://www.health.gov.au/resources/publications/technical-supplement-australian-respiratory-surveillance-report" TargetMode="External"/><Relationship Id="rId61" Type="http://schemas.openxmlformats.org/officeDocument/2006/relationships/image" Target="media/image31.svgz"/><Relationship Id="rId10" Type="http://schemas.openxmlformats.org/officeDocument/2006/relationships/endnotes" Target="endnotes.xml"/><Relationship Id="rId19" Type="http://schemas.openxmlformats.org/officeDocument/2006/relationships/hyperlink" Target="https://www.abs.gov.au/statistics/people/population/national-state-and-territory-population/jun-2024" TargetMode="External"/><Relationship Id="rId31" Type="http://schemas.openxmlformats.org/officeDocument/2006/relationships/image" Target="media/image10.svgz"/><Relationship Id="rId44" Type="http://schemas.openxmlformats.org/officeDocument/2006/relationships/image" Target="media/image19.svgz"/><Relationship Id="rId52" Type="http://schemas.openxmlformats.org/officeDocument/2006/relationships/image" Target="media/image23.svgz"/><Relationship Id="rId60" Type="http://schemas.openxmlformats.org/officeDocument/2006/relationships/image" Target="media/image30.png"/><Relationship Id="rId65" Type="http://schemas.openxmlformats.org/officeDocument/2006/relationships/hyperlink" Target="https://www.health.gov.au/resources/publications/technical-supplement-australian-respiratory-surveillance-report" TargetMode="External"/><Relationship Id="rId73"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svgz"/><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18.png"/><Relationship Id="rId48" Type="http://schemas.openxmlformats.org/officeDocument/2006/relationships/hyperlink" Target="https://paeds.org.au/pims-ts/paeds-pims-ts-case-data" TargetMode="External"/><Relationship Id="rId56" Type="http://schemas.openxmlformats.org/officeDocument/2006/relationships/image" Target="media/image27.svgz"/><Relationship Id="rId64" Type="http://schemas.openxmlformats.org/officeDocument/2006/relationships/hyperlink" Target="https://www.abs.gov.au/statistics/health/causes-death/provisional-mortality-statistics/jan-sep-2024" TargetMode="External"/><Relationship Id="rId69" Type="http://schemas.openxmlformats.org/officeDocument/2006/relationships/image" Target="media/image37.sv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2.png"/><Relationship Id="rId72" Type="http://schemas.openxmlformats.org/officeDocument/2006/relationships/hyperlink" Target="https://www.health.gov.au/resources/publications/technical-supplement-australian-respiratory-surveillance-report" TargetMode="Externa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6.png"/><Relationship Id="rId33" Type="http://schemas.openxmlformats.org/officeDocument/2006/relationships/image" Target="media/image12.svgz"/><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1.svgz"/><Relationship Id="rId59" Type="http://schemas.openxmlformats.org/officeDocument/2006/relationships/image" Target="media/image29.svgz"/><Relationship Id="rId67" Type="http://schemas.openxmlformats.org/officeDocument/2006/relationships/image" Target="media/image35.svgz"/><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5.svgz"/><Relationship Id="rId62" Type="http://schemas.openxmlformats.org/officeDocument/2006/relationships/image" Target="media/image32.png"/><Relationship Id="rId70" Type="http://schemas.openxmlformats.org/officeDocument/2006/relationships/image" Target="media/image38.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1B6984-FEC6-459D-A091-3DE4012630E1}">
  <ds:schemaRefs>
    <ds:schemaRef ds:uri="http://schemas.openxmlformats.org/officeDocument/2006/bibliography"/>
  </ds:schemaRefs>
</ds:datastoreItem>
</file>

<file path=customXml/itemProps2.xml><?xml version="1.0" encoding="utf-8"?>
<ds:datastoreItem xmlns:ds="http://schemas.openxmlformats.org/officeDocument/2006/customXml" ds:itemID="{8760B251-D685-4B80-B0BA-DF52305707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4E92C8-9A87-44CF-8B90-2521E8C07BAA}">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4.xml><?xml version="1.0" encoding="utf-8"?>
<ds:datastoreItem xmlns:ds="http://schemas.openxmlformats.org/officeDocument/2006/customXml" ds:itemID="{1D7D548C-5FA4-4A82-B413-B0858D0A09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25</Pages>
  <Words>7287</Words>
  <Characters>39492</Characters>
  <Application>Microsoft Office Word</Application>
  <DocSecurity>0</DocSecurity>
  <Lines>1171</Lines>
  <Paragraphs>656</Paragraphs>
  <ScaleCrop>false</ScaleCrop>
  <HeadingPairs>
    <vt:vector size="2" baseType="variant">
      <vt:variant>
        <vt:lpstr>Title</vt:lpstr>
      </vt:variant>
      <vt:variant>
        <vt:i4>1</vt:i4>
      </vt:variant>
    </vt:vector>
  </HeadingPairs>
  <TitlesOfParts>
    <vt:vector size="1" baseType="lpstr">
      <vt:lpstr>Australian Respiratory Surveillance Report – 30 December 2024 to 26 January 2025</vt:lpstr>
    </vt:vector>
  </TitlesOfParts>
  <Manager/>
  <Company/>
  <LinksUpToDate>false</LinksUpToDate>
  <CharactersWithSpaces>46255</CharactersWithSpaces>
  <SharedDoc>false</SharedDoc>
  <HyperlinkBase/>
  <HLinks>
    <vt:vector size="156" baseType="variant">
      <vt:variant>
        <vt:i4>4194393</vt:i4>
      </vt:variant>
      <vt:variant>
        <vt:i4>69</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6684734</vt:i4>
      </vt:variant>
      <vt:variant>
        <vt:i4>60</vt:i4>
      </vt:variant>
      <vt:variant>
        <vt:i4>0</vt:i4>
      </vt:variant>
      <vt:variant>
        <vt:i4>5</vt:i4>
      </vt:variant>
      <vt:variant>
        <vt:lpwstr>https://www.abs.gov.au/statistics/health/causes-death/provisional-mortality-statistics/jan-sep-2024</vt:lpwstr>
      </vt:variant>
      <vt:variant>
        <vt:lpwstr/>
      </vt:variant>
      <vt:variant>
        <vt:i4>4194393</vt:i4>
      </vt:variant>
      <vt:variant>
        <vt:i4>57</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54</vt:i4>
      </vt:variant>
      <vt:variant>
        <vt:i4>0</vt:i4>
      </vt:variant>
      <vt:variant>
        <vt:i4>5</vt:i4>
      </vt:variant>
      <vt:variant>
        <vt:lpwstr>https://paeds.org.au/</vt:lpwstr>
      </vt:variant>
      <vt:variant>
        <vt:lpwstr/>
      </vt:variant>
      <vt:variant>
        <vt:i4>1245278</vt:i4>
      </vt:variant>
      <vt:variant>
        <vt:i4>51</vt:i4>
      </vt:variant>
      <vt:variant>
        <vt:i4>0</vt:i4>
      </vt:variant>
      <vt:variant>
        <vt:i4>5</vt:i4>
      </vt:variant>
      <vt:variant>
        <vt:lpwstr>https://paeds.org.au/influenza/paediatric-influenza-australia</vt:lpwstr>
      </vt:variant>
      <vt:variant>
        <vt:lpwstr/>
      </vt:variant>
      <vt:variant>
        <vt:i4>4718686</vt:i4>
      </vt:variant>
      <vt:variant>
        <vt:i4>48</vt:i4>
      </vt:variant>
      <vt:variant>
        <vt:i4>0</vt:i4>
      </vt:variant>
      <vt:variant>
        <vt:i4>5</vt:i4>
      </vt:variant>
      <vt:variant>
        <vt:lpwstr>https://paeds.org.au/pims-ts/paeds-pims-ts-case-data</vt:lpwstr>
      </vt:variant>
      <vt:variant>
        <vt:lpwstr/>
      </vt:variant>
      <vt:variant>
        <vt:i4>7143456</vt:i4>
      </vt:variant>
      <vt:variant>
        <vt:i4>45</vt:i4>
      </vt:variant>
      <vt:variant>
        <vt:i4>0</vt:i4>
      </vt:variant>
      <vt:variant>
        <vt:i4>5</vt:i4>
      </vt:variant>
      <vt:variant>
        <vt:lpwstr>https://paeds.org.au/covid-19/paediatric-covid-19-australia</vt:lpwstr>
      </vt:variant>
      <vt:variant>
        <vt:lpwstr/>
      </vt:variant>
      <vt:variant>
        <vt:i4>4194393</vt:i4>
      </vt:variant>
      <vt:variant>
        <vt:i4>42</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39</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36</vt:i4>
      </vt:variant>
      <vt:variant>
        <vt:i4>0</vt:i4>
      </vt:variant>
      <vt:variant>
        <vt:i4>5</vt:i4>
      </vt:variant>
      <vt:variant>
        <vt:lpwstr>https://www.abs.gov.au/statistics/people/population/national-state-and-territory-population/jun-2024</vt:lpwstr>
      </vt:variant>
      <vt:variant>
        <vt:lpwstr/>
      </vt:variant>
      <vt:variant>
        <vt:i4>6160471</vt:i4>
      </vt:variant>
      <vt:variant>
        <vt:i4>33</vt:i4>
      </vt:variant>
      <vt:variant>
        <vt:i4>0</vt:i4>
      </vt:variant>
      <vt:variant>
        <vt:i4>5</vt:i4>
      </vt:variant>
      <vt:variant>
        <vt:lpwstr>https://www.abs.gov.au/statistics/people/population/national-state-and-territory-population/jun-2024</vt:lpwstr>
      </vt:variant>
      <vt:variant>
        <vt:lpwstr/>
      </vt:variant>
      <vt:variant>
        <vt:i4>4194393</vt:i4>
      </vt:variant>
      <vt:variant>
        <vt:i4>30</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27</vt:i4>
      </vt:variant>
      <vt:variant>
        <vt:i4>0</vt:i4>
      </vt:variant>
      <vt:variant>
        <vt:i4>5</vt:i4>
      </vt:variant>
      <vt:variant>
        <vt:lpwstr>https://www.health.gov.au/resources/publications/technical-supplement-australian-respiratory-surveillance-report</vt:lpwstr>
      </vt:variant>
      <vt:variant>
        <vt:lpwstr/>
      </vt:variant>
      <vt:variant>
        <vt:i4>2162724</vt:i4>
      </vt:variant>
      <vt:variant>
        <vt:i4>24</vt:i4>
      </vt:variant>
      <vt:variant>
        <vt:i4>0</vt:i4>
      </vt:variant>
      <vt:variant>
        <vt:i4>5</vt:i4>
      </vt:variant>
      <vt:variant>
        <vt:lpwstr>https://www.cdc.gov.au/newsroom/news-and-articles/australia-monitoring-international-increases-human-metapneumovirus-hmpv</vt:lpwstr>
      </vt:variant>
      <vt:variant>
        <vt:lpwstr>:~:text=Incidence%20of%20hMPV%20in%20Australia,a%20respiratory%20pathogen%2C%20had%20hMPV.</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ariant>
        <vt:i4>4063359</vt:i4>
      </vt:variant>
      <vt:variant>
        <vt:i4>3</vt:i4>
      </vt:variant>
      <vt:variant>
        <vt:i4>0</vt:i4>
      </vt:variant>
      <vt:variant>
        <vt:i4>5</vt:i4>
      </vt:variant>
      <vt:variant>
        <vt:lpwstr>https://www.health.gov.au/our-work/covid-19-vaccines/vaccination-numbers-and-statistics</vt:lpwstr>
      </vt:variant>
      <vt:variant>
        <vt:lpwstr/>
      </vt:variant>
      <vt:variant>
        <vt:i4>4915254</vt:i4>
      </vt:variant>
      <vt:variant>
        <vt:i4>0</vt:i4>
      </vt:variant>
      <vt:variant>
        <vt:i4>0</vt:i4>
      </vt:variant>
      <vt:variant>
        <vt:i4>5</vt:i4>
      </vt:variant>
      <vt:variant>
        <vt:lpwstr>https://healthgov.sharepoint.com/:w:/r/sites/COVID-19EpidemiologyandSurveillance/_layouts/15/Doc.aspx?sourcedoc=%7B327EFA13-AFE5-4970-A221-C140D920BAC7%7D&amp;file=ARSR%20Pre-publication%20updates%20-%20restructure.docx&amp;action=default&amp;mobileredirect=true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30 December 2024 to 26 January 2025</dc:title>
  <dc:subject>Respiratory syncytial virus (RSV) infection; Influenza (flu); COVID-19, Coronavirus; Influenza surveillance program</dc:subject>
  <dc:creator>Australian Government Interim Centre for Disease Control</dc:creator>
  <cp:keywords>Respiratory syncytial virus (RSV) infection; Influenza (flu); COVID-19, Coronavirus; Influenza surveillance program</cp:keywords>
  <dc:description/>
  <cp:lastModifiedBy>MASCHKE, Elvia</cp:lastModifiedBy>
  <cp:revision>355</cp:revision>
  <dcterms:created xsi:type="dcterms:W3CDTF">2025-01-30T04:11:00Z</dcterms:created>
  <dcterms:modified xsi:type="dcterms:W3CDTF">2025-04-17T05:33:00Z</dcterms:modified>
  <cp:category/>
</cp:coreProperties>
</file>