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260C8" w14:textId="20065C30" w:rsidR="001536FC" w:rsidRDefault="00AB1BF4">
      <w:pPr>
        <w:pStyle w:val="Title"/>
      </w:pPr>
      <w:r>
        <w:t>Australian Respiratory Surveillance Report</w:t>
      </w:r>
    </w:p>
    <w:p w14:paraId="1D37C933" w14:textId="77777777" w:rsidR="001536FC" w:rsidRDefault="00AB1BF4">
      <w:r>
        <w:br w:type="page"/>
      </w:r>
    </w:p>
    <w:p w14:paraId="002E7CC7" w14:textId="77777777" w:rsidR="001536FC" w:rsidRDefault="00AB1BF4">
      <w:pPr>
        <w:pStyle w:val="Heading1"/>
      </w:pPr>
      <w:bookmarkStart w:id="0" w:name="key-messages"/>
      <w:r>
        <w:lastRenderedPageBreak/>
        <w:t>Key messages</w:t>
      </w:r>
    </w:p>
    <w:p w14:paraId="12758A34" w14:textId="77777777" w:rsidR="001536FC" w:rsidRDefault="00AB1BF4">
      <w:r>
        <w:t>This report presents a national epidemiological update for acute respiratory infections, including coronavirus disease 2019 (COVID-19), influenza and respiratory syncytial virus (RSV), with a focus on the current reporting period (27 January to 23 February 2025) and earlier severity reporting periods (up to 9 February 2025).</w:t>
      </w:r>
    </w:p>
    <w:p w14:paraId="4243B14D" w14:textId="3354F0B6" w:rsidR="001536FC" w:rsidRDefault="00AB1BF4">
      <w:pPr>
        <w:pStyle w:val="Boxtype"/>
      </w:pPr>
      <w:r w:rsidRPr="614E20DF">
        <w:rPr>
          <w:b/>
          <w:bCs/>
          <w:lang w:val="en-US"/>
        </w:rPr>
        <w:t>In the community:</w:t>
      </w:r>
      <w:r w:rsidRPr="614E20DF">
        <w:rPr>
          <w:lang w:val="en-US"/>
        </w:rPr>
        <w:t xml:space="preserve"> Respiratory illness activity (self-reported new fever and cough symptoms) is currently </w:t>
      </w:r>
      <w:r w:rsidR="00B514B5">
        <w:rPr>
          <w:lang w:val="en-US"/>
        </w:rPr>
        <w:t>consistent with</w:t>
      </w:r>
      <w:r w:rsidR="00536EB9">
        <w:rPr>
          <w:lang w:val="en-US"/>
        </w:rPr>
        <w:t xml:space="preserve"> </w:t>
      </w:r>
      <w:r w:rsidRPr="614E20DF">
        <w:rPr>
          <w:lang w:val="en-US"/>
        </w:rPr>
        <w:t>the same time in previous years</w:t>
      </w:r>
      <w:r w:rsidR="008B71F1">
        <w:rPr>
          <w:lang w:val="en-US"/>
        </w:rPr>
        <w:t xml:space="preserve">; however, slightly more </w:t>
      </w:r>
      <w:r w:rsidRPr="614E20DF">
        <w:rPr>
          <w:lang w:val="en-US"/>
        </w:rPr>
        <w:t xml:space="preserve">people reported taking time off work due to respiratory illness (self-reported new fever and cough symptoms) this month, compared with the previous month. This month the number of COVID-19 cases remains low. The number of influenza cases this month is slightly higher than the five-year average and the number of cases seen in the same period in previous years; however, influenza case numbers remain at interseasonal levels. This month, the number of RSV cases </w:t>
      </w:r>
      <w:r w:rsidR="005A0F82">
        <w:rPr>
          <w:lang w:val="en-US"/>
        </w:rPr>
        <w:t>is</w:t>
      </w:r>
      <w:r w:rsidR="00362649">
        <w:rPr>
          <w:lang w:val="en-US"/>
        </w:rPr>
        <w:t xml:space="preserve"> increasing but </w:t>
      </w:r>
      <w:r w:rsidR="005A0F82">
        <w:rPr>
          <w:lang w:val="en-US"/>
        </w:rPr>
        <w:t>is</w:t>
      </w:r>
      <w:r w:rsidR="0086100D">
        <w:rPr>
          <w:lang w:val="en-US"/>
        </w:rPr>
        <w:t xml:space="preserve"> </w:t>
      </w:r>
      <w:r w:rsidRPr="614E20DF">
        <w:rPr>
          <w:lang w:val="en-US"/>
        </w:rPr>
        <w:t xml:space="preserve">consistent with the number of cases seen </w:t>
      </w:r>
      <w:r w:rsidR="004A5A59" w:rsidRPr="24F6969C">
        <w:rPr>
          <w:lang w:val="en-US"/>
        </w:rPr>
        <w:t>at</w:t>
      </w:r>
      <w:r w:rsidRPr="614E20DF">
        <w:rPr>
          <w:lang w:val="en-US"/>
        </w:rPr>
        <w:t xml:space="preserve"> the same </w:t>
      </w:r>
      <w:r w:rsidR="005A0F82">
        <w:rPr>
          <w:lang w:val="en-US"/>
        </w:rPr>
        <w:t>time</w:t>
      </w:r>
      <w:r w:rsidRPr="614E20DF">
        <w:rPr>
          <w:lang w:val="en-US"/>
        </w:rPr>
        <w:t xml:space="preserve"> </w:t>
      </w:r>
      <w:r w:rsidR="0086100D">
        <w:rPr>
          <w:lang w:val="en-US"/>
        </w:rPr>
        <w:t>last</w:t>
      </w:r>
      <w:r w:rsidRPr="614E20DF">
        <w:rPr>
          <w:lang w:val="en-US"/>
        </w:rPr>
        <w:t xml:space="preserve"> year.</w:t>
      </w:r>
    </w:p>
    <w:p w14:paraId="39F5B8F6" w14:textId="77777777" w:rsidR="001536FC" w:rsidRDefault="00AB1BF4">
      <w:pPr>
        <w:pStyle w:val="Boxtype"/>
      </w:pPr>
      <w:r w:rsidRPr="614E20DF">
        <w:rPr>
          <w:b/>
          <w:bCs/>
          <w:lang w:val="en-US"/>
        </w:rPr>
        <w:t>In general practice:</w:t>
      </w:r>
      <w:r w:rsidRPr="614E20DF">
        <w:rPr>
          <w:lang w:val="en-US"/>
        </w:rPr>
        <w:t xml:space="preserve"> There were slightly fewer influenza-like-illness (new fever and cough symptoms) consultations in sentinel surveillance sites this month; however, similar to 2024, influenza-like-illness rates this month remain slightly higher than observed at the same time in previous years </w:t>
      </w:r>
      <w:proofErr w:type="spellStart"/>
      <w:r w:rsidRPr="614E20DF">
        <w:rPr>
          <w:lang w:val="en-US"/>
        </w:rPr>
        <w:t>and than</w:t>
      </w:r>
      <w:proofErr w:type="spellEnd"/>
      <w:r w:rsidRPr="614E20DF">
        <w:rPr>
          <w:lang w:val="en-US"/>
        </w:rPr>
        <w:t xml:space="preserve"> the five-year average.</w:t>
      </w:r>
    </w:p>
    <w:p w14:paraId="22C58731" w14:textId="4F2C1071" w:rsidR="001536FC" w:rsidRDefault="00AB1BF4">
      <w:pPr>
        <w:pStyle w:val="Boxtype"/>
      </w:pPr>
      <w:r w:rsidRPr="614E20DF">
        <w:rPr>
          <w:b/>
          <w:bCs/>
          <w:lang w:val="en-US"/>
        </w:rPr>
        <w:t>In hospitals:</w:t>
      </w:r>
      <w:r w:rsidRPr="614E20DF">
        <w:rPr>
          <w:lang w:val="en-US"/>
        </w:rPr>
        <w:t xml:space="preserve"> Sentinel hospital-based surveillance shows the proportion of patients with severe acute respiratory infections has remained low and stable this severity reporting period. Most patients were admitted with COVID-19. The length of hospital stay varies only slightly between illnesses. The proportion of those patients with a severe acute respiratory infection who were admitted directly to a</w:t>
      </w:r>
      <w:r w:rsidR="00645F6B">
        <w:rPr>
          <w:lang w:val="en-US"/>
        </w:rPr>
        <w:t>n</w:t>
      </w:r>
      <w:r w:rsidRPr="614E20DF">
        <w:rPr>
          <w:lang w:val="en-US"/>
        </w:rPr>
        <w:t xml:space="preserve"> intensive care</w:t>
      </w:r>
      <w:r w:rsidR="00645F6B">
        <w:rPr>
          <w:lang w:val="en-US"/>
        </w:rPr>
        <w:t xml:space="preserve"> within</w:t>
      </w:r>
      <w:r w:rsidR="002A508D">
        <w:rPr>
          <w:lang w:val="en-US"/>
        </w:rPr>
        <w:t xml:space="preserve"> a sentinel hospital</w:t>
      </w:r>
      <w:r w:rsidRPr="614E20DF">
        <w:rPr>
          <w:lang w:val="en-US"/>
        </w:rPr>
        <w:t xml:space="preserve"> has remained low. More children (those aged 16 years and younger) were admitted with influenza</w:t>
      </w:r>
      <w:r w:rsidR="00645F6B">
        <w:rPr>
          <w:lang w:val="en-US"/>
        </w:rPr>
        <w:t xml:space="preserve"> or RSV</w:t>
      </w:r>
      <w:r w:rsidRPr="614E20DF">
        <w:rPr>
          <w:lang w:val="en-US"/>
        </w:rPr>
        <w:t xml:space="preserve"> than with</w:t>
      </w:r>
      <w:r w:rsidR="00B06D30">
        <w:rPr>
          <w:lang w:val="en-US"/>
        </w:rPr>
        <w:t xml:space="preserve"> COVID-19</w:t>
      </w:r>
      <w:r w:rsidRPr="614E20DF">
        <w:rPr>
          <w:lang w:val="en-US"/>
        </w:rPr>
        <w:t xml:space="preserve"> at sentinel hospitals, while </w:t>
      </w:r>
      <w:r w:rsidR="00666EAB">
        <w:rPr>
          <w:lang w:val="en-US"/>
        </w:rPr>
        <w:t xml:space="preserve">considerably </w:t>
      </w:r>
      <w:r w:rsidRPr="614E20DF">
        <w:rPr>
          <w:lang w:val="en-US"/>
        </w:rPr>
        <w:t xml:space="preserve">more adults were admitted with COVID-19 </w:t>
      </w:r>
      <w:r w:rsidR="00666EAB">
        <w:rPr>
          <w:lang w:val="en-US"/>
        </w:rPr>
        <w:t>than with</w:t>
      </w:r>
      <w:r w:rsidRPr="614E20DF">
        <w:rPr>
          <w:lang w:val="en-US"/>
        </w:rPr>
        <w:t xml:space="preserve"> influenza or RSV. Sentinel intensive care surveillance shows the overall number of patients with severe acute respiratory infections has decreased. The duration of intensive care </w:t>
      </w:r>
      <w:r w:rsidR="00BE5E38">
        <w:rPr>
          <w:lang w:val="en-US"/>
        </w:rPr>
        <w:t xml:space="preserve">stay </w:t>
      </w:r>
      <w:r w:rsidRPr="614E20DF">
        <w:rPr>
          <w:lang w:val="en-US"/>
        </w:rPr>
        <w:t xml:space="preserve">varies slightly between illnesses. The average number of COVID-19 cases in intensive care </w:t>
      </w:r>
      <w:r w:rsidR="00BE5E38">
        <w:rPr>
          <w:lang w:val="en-US"/>
        </w:rPr>
        <w:t>and</w:t>
      </w:r>
      <w:r w:rsidRPr="614E20DF">
        <w:rPr>
          <w:lang w:val="en-US"/>
        </w:rPr>
        <w:t xml:space="preserve"> the average number of intensive care staff unavailable due to COVID-19 illness or exposure has decreased</w:t>
      </w:r>
      <w:r w:rsidR="00BE5E38">
        <w:rPr>
          <w:lang w:val="en-US"/>
        </w:rPr>
        <w:t xml:space="preserve"> this month</w:t>
      </w:r>
      <w:r w:rsidRPr="614E20DF">
        <w:rPr>
          <w:lang w:val="en-US"/>
        </w:rPr>
        <w:t>.</w:t>
      </w:r>
    </w:p>
    <w:p w14:paraId="0EE023C4" w14:textId="7E574599" w:rsidR="001536FC" w:rsidRDefault="00AB1BF4">
      <w:pPr>
        <w:pStyle w:val="Boxtype"/>
      </w:pPr>
      <w:r w:rsidRPr="00CF56E4">
        <w:rPr>
          <w:b/>
          <w:bCs/>
        </w:rPr>
        <w:t>Deaths:</w:t>
      </w:r>
      <w:r w:rsidRPr="00CF56E4">
        <w:t xml:space="preserve"> COVID-19 has been the leading cause of acute respiratory infection mortality across 202</w:t>
      </w:r>
      <w:r w:rsidR="00CF56E4" w:rsidRPr="00CF56E4">
        <w:t>3–</w:t>
      </w:r>
      <w:r w:rsidRPr="00CF56E4">
        <w:t>202</w:t>
      </w:r>
      <w:r w:rsidR="00CF56E4" w:rsidRPr="00CF56E4">
        <w:t>5</w:t>
      </w:r>
      <w:r w:rsidRPr="00CF56E4">
        <w:t xml:space="preserve">. All three acute respiratory infections (COVID-19, influenza and RSV) under surveillance are more likely to cause death in older age groups than younger age groups. </w:t>
      </w:r>
    </w:p>
    <w:p w14:paraId="47C8DC30" w14:textId="5FE33F4D" w:rsidR="001536FC" w:rsidRDefault="00AB1BF4">
      <w:pPr>
        <w:pStyle w:val="Boxtype"/>
      </w:pPr>
      <w:r w:rsidRPr="614E20DF">
        <w:rPr>
          <w:b/>
          <w:bCs/>
          <w:lang w:val="en-US"/>
        </w:rPr>
        <w:t>In laboratories:</w:t>
      </w:r>
      <w:r w:rsidRPr="614E20DF">
        <w:rPr>
          <w:lang w:val="en-US"/>
        </w:rPr>
        <w:t xml:space="preserve"> Test positivity for SARS-CoV-2, influenza and RSV remained low and stable this month, though a slight increase in </w:t>
      </w:r>
      <w:r w:rsidR="004A292D">
        <w:rPr>
          <w:lang w:val="en-US"/>
        </w:rPr>
        <w:t xml:space="preserve">RSV </w:t>
      </w:r>
      <w:r w:rsidRPr="614E20DF">
        <w:rPr>
          <w:lang w:val="en-US"/>
        </w:rPr>
        <w:t>test positivity was observed. The recombinant lineage XEC is the dominant SARS-CoV-2 variant in Australia, outnumbering JN.1 sub-lineage sequences. On 24 January 2025, the World Health Organization designated LP.8.1 as a variant under monitoring. Small numbers of LP.8.1 sub-lineage sequences have been observed in Australia.</w:t>
      </w:r>
    </w:p>
    <w:p w14:paraId="7FB3E9F0" w14:textId="77777777" w:rsidR="001536FC" w:rsidRDefault="00AB1BF4">
      <w:pPr>
        <w:pStyle w:val="Boxtype"/>
      </w:pPr>
      <w:r w:rsidRPr="614E20DF">
        <w:rPr>
          <w:b/>
          <w:bCs/>
          <w:lang w:val="en-US"/>
        </w:rPr>
        <w:t>Vaccine coverage, effectiveness and match:</w:t>
      </w:r>
      <w:r w:rsidRPr="614E20DF">
        <w:rPr>
          <w:lang w:val="en-US"/>
        </w:rPr>
        <w:t xml:space="preserve"> It is too early to assess or report vaccine data for 2025.</w:t>
      </w:r>
    </w:p>
    <w:p w14:paraId="3422877C" w14:textId="77777777" w:rsidR="001536FC" w:rsidRDefault="00AB1BF4">
      <w:r>
        <w:br w:type="page"/>
      </w:r>
    </w:p>
    <w:p w14:paraId="2BB47E15" w14:textId="77777777" w:rsidR="001536FC" w:rsidRDefault="00AB1BF4">
      <w:pPr>
        <w:pStyle w:val="Heading1"/>
      </w:pPr>
      <w:bookmarkStart w:id="1" w:name="Xb38d0cffd8a81be8f26a3ed55dcf92ea697f36c"/>
      <w:bookmarkEnd w:id="0"/>
      <w:r>
        <w:lastRenderedPageBreak/>
        <w:t>Australian Respiratory Surveillance Report</w:t>
      </w:r>
    </w:p>
    <w:p w14:paraId="4655C3E5" w14:textId="6990FC25" w:rsidR="001536FC" w:rsidRDefault="00AB1BF4">
      <w:r>
        <w:t xml:space="preserve">This report was prepared by </w:t>
      </w:r>
      <w:r w:rsidR="005E3D5A">
        <w:t xml:space="preserve">Lauren </w:t>
      </w:r>
      <w:proofErr w:type="spellStart"/>
      <w:r w:rsidR="005E3D5A">
        <w:t>Kutzner</w:t>
      </w:r>
      <w:proofErr w:type="spellEnd"/>
      <w:r w:rsidR="005E3D5A">
        <w:t>, Su</w:t>
      </w:r>
      <w:r w:rsidR="00A11212">
        <w:t>zie Whitehead</w:t>
      </w:r>
      <w:r>
        <w:t xml:space="preserve">, </w:t>
      </w:r>
      <w:r w:rsidR="00A11212">
        <w:t>Jenna Hassall</w:t>
      </w:r>
      <w:r>
        <w:t xml:space="preserve">, and </w:t>
      </w:r>
      <w:r w:rsidR="00FD22DC">
        <w:t>Caitlin Trenorden</w:t>
      </w:r>
      <w:r>
        <w:t xml:space="preserve"> on behalf of the interim Australian Centre for Disease Control. We thank the staff and participants from the surveillance systems who contribute data for acute respiratory illness surveillance across Australia.</w:t>
      </w:r>
    </w:p>
    <w:p w14:paraId="634900FB" w14:textId="77777777" w:rsidR="001536FC" w:rsidRDefault="00AB1BF4">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02B78065" w14:textId="77777777" w:rsidR="001536FC" w:rsidRDefault="00AB1BF4">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54C542AF" w14:textId="77777777" w:rsidR="001536FC" w:rsidRDefault="00AB1BF4" w:rsidP="00851DDA">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2E9C22EC" w14:textId="77777777" w:rsidR="001536FC" w:rsidRDefault="00AB1BF4" w:rsidP="00851DDA">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month includes 27 January to 23 February 2025 and where comparisons to the previous month are made this includes 30 December 2024 to 26 January 2025.</w:t>
      </w:r>
    </w:p>
    <w:p w14:paraId="36F47F11" w14:textId="77777777" w:rsidR="001536FC" w:rsidRDefault="00AB1BF4" w:rsidP="00851DDA">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26 February 2025.</w:t>
      </w:r>
    </w:p>
    <w:p w14:paraId="5CBB8604" w14:textId="77777777" w:rsidR="001536FC" w:rsidRDefault="00AB1BF4" w:rsidP="00851DDA">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13 January to 9 February 2025 and where comparisons to the previous severity month are made this includes 16 December 2024 to 12 January 2025.</w:t>
      </w:r>
    </w:p>
    <w:p w14:paraId="2111354D" w14:textId="77777777" w:rsidR="001536FC" w:rsidRDefault="00AB1BF4" w:rsidP="00851DDA">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C368964" w14:textId="77777777" w:rsidR="001536FC" w:rsidRDefault="00AB1BF4" w:rsidP="00851DDA">
      <w:pPr>
        <w:numPr>
          <w:ilvl w:val="0"/>
          <w:numId w:val="7"/>
        </w:numPr>
      </w:pPr>
      <w:r>
        <w:t xml:space="preserve">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43418091" w14:textId="77777777" w:rsidR="001536FC" w:rsidRDefault="00AB1BF4">
      <w:r>
        <w:br w:type="page"/>
      </w:r>
    </w:p>
    <w:p w14:paraId="42EE2034" w14:textId="77777777" w:rsidR="001536FC" w:rsidRDefault="00AB1BF4">
      <w:pPr>
        <w:pStyle w:val="Heading1"/>
      </w:pPr>
      <w:bookmarkStart w:id="2" w:name="community-surveillance"/>
      <w:bookmarkEnd w:id="1"/>
      <w:r>
        <w:lastRenderedPageBreak/>
        <w:t>Community surveillance</w:t>
      </w:r>
    </w:p>
    <w:p w14:paraId="44564973" w14:textId="77777777" w:rsidR="001536FC" w:rsidRDefault="00AB1BF4">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3D4CA375" w14:textId="04ADFF45" w:rsidR="001536FC" w:rsidRDefault="00AB1BF4" w:rsidP="004E5D36">
      <w:pPr>
        <w:numPr>
          <w:ilvl w:val="0"/>
          <w:numId w:val="8"/>
        </w:numPr>
      </w:pPr>
      <w:r>
        <w:t>Community surveys indicate respiratory illness symptoms and test positivity</w:t>
      </w:r>
      <w:r w:rsidR="009C2652">
        <w:t xml:space="preserve"> </w:t>
      </w:r>
      <w:r w:rsidR="009C2652" w:rsidRPr="009C2652">
        <w:t>remain low and stable this month, consistent with interseasonal levels in previous years.</w:t>
      </w:r>
    </w:p>
    <w:p w14:paraId="4027A1CF" w14:textId="77777777" w:rsidR="001536FC" w:rsidRDefault="00AB1BF4" w:rsidP="00851DDA">
      <w:pPr>
        <w:numPr>
          <w:ilvl w:val="0"/>
          <w:numId w:val="8"/>
        </w:numPr>
      </w:pPr>
      <w:r>
        <w:t>This month (27 January to 23 February 2025), slightly more survey participants reported new fever and cough symptoms (1.0%), than in the previous month (0.9%) (Figure 1).</w:t>
      </w:r>
    </w:p>
    <w:p w14:paraId="4B776807" w14:textId="77777777" w:rsidR="001536FC" w:rsidRDefault="00AB1BF4" w:rsidP="00851DDA">
      <w:pPr>
        <w:numPr>
          <w:ilvl w:val="0"/>
          <w:numId w:val="8"/>
        </w:numPr>
      </w:pPr>
      <w:r>
        <w:t>This month, more survey participants with new fever and cough symptoms used a rapid antigen test (RAT) (60.6%; 662/1,092) than a polymerase chain reaction (PCR) test (11.3%; 123/1,092) to test for severe acute respiratory syndrome coronavirus 2 (SARS-CoV-2).</w:t>
      </w:r>
    </w:p>
    <w:p w14:paraId="3EDEA89D" w14:textId="2E3E13F5" w:rsidR="001536FC" w:rsidRDefault="00AB1BF4" w:rsidP="00851DDA">
      <w:pPr>
        <w:numPr>
          <w:ilvl w:val="1"/>
          <w:numId w:val="9"/>
        </w:numPr>
      </w:pPr>
      <w:r>
        <w:t>Self-reported SARS-CoV-2 RAT positivity was lower this month (32.6%; 216/662) than in the previous month (41.6%; 223/536)</w:t>
      </w:r>
      <w:r w:rsidR="00261EFB">
        <w:t>.</w:t>
      </w:r>
      <w:r>
        <w:t xml:space="preserve"> </w:t>
      </w:r>
      <w:r w:rsidR="00261EFB">
        <w:t xml:space="preserve">Likewise, </w:t>
      </w:r>
      <w:r>
        <w:t>self-reported SARS-CoV-2 PCR positivity was slightly lower this month (20.3%; 25/123) than in the previous month (21.3%; 26/122).</w:t>
      </w:r>
    </w:p>
    <w:p w14:paraId="7EF7613A" w14:textId="77777777" w:rsidR="001536FC" w:rsidRDefault="00AB1BF4" w:rsidP="00851DDA">
      <w:pPr>
        <w:numPr>
          <w:ilvl w:val="0"/>
          <w:numId w:val="8"/>
        </w:numPr>
      </w:pPr>
      <w:r>
        <w:t>This month, 10.2% (111/1,092) of survey participants with new fever and cough symptoms used a PCR test to test for influenza.</w:t>
      </w:r>
    </w:p>
    <w:p w14:paraId="7359F83C" w14:textId="77777777" w:rsidR="001536FC" w:rsidRDefault="00AB1BF4" w:rsidP="00851DDA">
      <w:pPr>
        <w:numPr>
          <w:ilvl w:val="1"/>
          <w:numId w:val="10"/>
        </w:numPr>
      </w:pPr>
      <w:r>
        <w:t>Self-reported influenza PCR positivity was lower this month (16.2%; 18/111), than in the previous month (18.7%; 28/150).</w:t>
      </w:r>
    </w:p>
    <w:p w14:paraId="04445F82" w14:textId="1E906543" w:rsidR="00E433FF" w:rsidRDefault="00E433FF" w:rsidP="00851DDA">
      <w:pPr>
        <w:numPr>
          <w:ilvl w:val="0"/>
          <w:numId w:val="8"/>
        </w:numPr>
      </w:pPr>
      <w:r w:rsidRPr="00E433FF">
        <w:t xml:space="preserve">In the year to date, the proportion of survey participants with new fever and cough symptoms has been </w:t>
      </w:r>
      <w:r w:rsidR="009B0BE3">
        <w:t xml:space="preserve">consistent </w:t>
      </w:r>
      <w:r w:rsidR="000448F6">
        <w:t xml:space="preserve">with </w:t>
      </w:r>
      <w:r w:rsidR="00E2501E">
        <w:t>the proportions observed</w:t>
      </w:r>
      <w:r w:rsidR="000448F6">
        <w:t xml:space="preserve"> at</w:t>
      </w:r>
      <w:r w:rsidRPr="00E433FF">
        <w:t xml:space="preserve"> the same time in previous years (Figure 1)</w:t>
      </w:r>
      <w:r w:rsidR="001A3AEA">
        <w:br/>
      </w:r>
    </w:p>
    <w:p w14:paraId="3B29535E" w14:textId="77777777" w:rsidR="001536FC" w:rsidRDefault="00AB1BF4">
      <w:r>
        <w:rPr>
          <w:b/>
          <w:bCs/>
        </w:rPr>
        <w:t>Figure 1: Age standardised percentage of survey participants reporting new fever and cough symptoms compared with the five-year average* by year and week of report, Australia, 2022 to 23 February 2025</w:t>
      </w:r>
    </w:p>
    <w:p w14:paraId="3B701DCE" w14:textId="77777777" w:rsidR="001536FC" w:rsidRDefault="00AB1BF4">
      <w:pPr>
        <w:pStyle w:val="BodyText"/>
      </w:pPr>
      <w:r>
        <w:rPr>
          <w:noProof/>
        </w:rPr>
        <w:drawing>
          <wp:inline distT="0" distB="0" distL="0" distR="0" wp14:anchorId="3DFF5C25" wp14:editId="29C2B88A">
            <wp:extent cx="6184900" cy="2650671"/>
            <wp:effectExtent l="0" t="0" r="0" b="0"/>
            <wp:docPr id="27" name="Picture" descr="A line graph comparing weekly age standardised percentage of FluTracking survey participants reporting new fever and cough symptoms from 1 January 2022 up to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of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of new fever and cough symptoms fluctuated from January to April with some week-on-week increases observed, then from mid-April followed a generally increasing trend until a peak at 2.6% of survey respondents reporting new fever and cough symptoms in late June 2024. In 2024, weekly proportion of survey participants reporting of new fever and cough symptoms was similar to the interrupted five-year average throughout the corresponding weeks of the 2024. In the reporting period (27 January to 23 February 2025) the weekly proportion of survey participants reporting of new fever and cough symptoms has increased slightly to between 1.0–1.2%; however, is lower compared the corresponding weeks of 2024."/>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1 January 2022 up to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of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of new fever and cough symptoms fluctuated from January to April with some week-on-week increases observed, then from mid-April followed a generally increasing trend until a peak at 2.6% of survey respondents reporting new fever and cough symptoms in late June 2024. In 2024, weekly proportion of survey participants reporting of new fever and cough symptoms was similar to the interrupted five-year average throughout the corresponding weeks of the 2024. In the reporting period (27 January to 23 February 2025) the weekly proportion of survey participants reporting of new fever and cough symptoms has increased slightly to between 1.0–1.2%; however, is lower compared the corresponding weeks of 2024."/>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7344DD0" w14:textId="77777777" w:rsidR="001536FC" w:rsidRDefault="00AB1BF4">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Pr>
            <w:rStyle w:val="Hyperlink"/>
          </w:rPr>
          <w:t>Technical Supplement</w:t>
        </w:r>
      </w:hyperlink>
      <w:r>
        <w:t xml:space="preserve"> for interpretation of the five-year average.</w:t>
      </w:r>
      <w:r>
        <w:br/>
      </w:r>
    </w:p>
    <w:p w14:paraId="0C9A0692" w14:textId="7E6500E3" w:rsidR="001536FC" w:rsidRDefault="00AB1BF4" w:rsidP="00851DDA">
      <w:pPr>
        <w:numPr>
          <w:ilvl w:val="0"/>
          <w:numId w:val="11"/>
        </w:numPr>
      </w:pPr>
      <w:r>
        <w:t>This month</w:t>
      </w:r>
      <w:r w:rsidR="005E68CD">
        <w:t>,</w:t>
      </w:r>
      <w:r>
        <w:t xml:space="preserve"> </w:t>
      </w:r>
      <w:r w:rsidR="005E68CD">
        <w:t xml:space="preserve">slightly </w:t>
      </w:r>
      <w:r>
        <w:t>more survey participants reported taking three or more days off work or normal duties due to fever and cough symptoms (46.2%; 504/1,092), than in the previous month (45.6%; 375/823).</w:t>
      </w:r>
    </w:p>
    <w:p w14:paraId="31636CD4" w14:textId="65B4C93D" w:rsidR="001536FC" w:rsidRDefault="00AB1BF4" w:rsidP="00851DDA">
      <w:pPr>
        <w:numPr>
          <w:ilvl w:val="0"/>
          <w:numId w:val="12"/>
        </w:numPr>
      </w:pPr>
      <w:r>
        <w:lastRenderedPageBreak/>
        <w:t>This month (27 January to 23 February 2025), there was a 34.6% decrease in COVID-19 notifications, a 9.9% increase in influenza notifications, and a 33.9% increase in RSV notifications.</w:t>
      </w:r>
      <w:r w:rsidR="00F23EC6">
        <w:br/>
      </w:r>
    </w:p>
    <w:p w14:paraId="4E52D1B6" w14:textId="77777777" w:rsidR="001536FC" w:rsidRDefault="00AB1BF4">
      <w:r>
        <w:rPr>
          <w:b/>
          <w:bCs/>
        </w:rPr>
        <w:t>Table 1: Notified COVID-19, influenza and RSV cases and notification rate per 100,000 population by disease, five-year age group, and jurisdiction*</w:t>
      </w:r>
      <w:r>
        <w:rPr>
          <w:b/>
          <w:bCs/>
          <w:vertAlign w:val="superscript"/>
        </w:rPr>
        <w:t>†</w:t>
      </w:r>
      <w:r>
        <w:rPr>
          <w:b/>
          <w:bCs/>
        </w:rPr>
        <w:t>, Australia, 1 January to 23 February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period (27 January to 23 February 2025) and for year to date (1 January to 23 February 2025). There were 13,795 COVID-19 notifications with a diagnosis date this reporting period and 32,708 COVID-19 notification with a diagnosis date this year. In the year to date, the national notification rate of COVID-19 is 120 notifications per 100,000 population. In the year to date, COVID-19 notification rates have been highest among those aged 70 years or over (327 notifications per 100,000 population), followed by those aged 0–4 years (228 notifications per 100,000 population). In the year to date, COVID-19 notification rates were highest in the Northern Territory (162 notifications per 100,000 population) and Queensland (161 notifications per 100,000 population) and lowest in Western Australia (71 notifications per 100,000 population). There were 13,454 influenza notifications with a diagnosis date this reporting period and 25,073 influenza notifications with a diagnosis date this year. In the year to date, the national notification rate of influenza is 92 notifications per 100,000 population. Influenza notification rates have been highest among those aged 0–4 (173 notifications per 100,000 population) followed by those aged 5–9 years (146 notifications per 100,000 population). In the year to date, influenza notification rates have been highest in the Northern Territory (150 notifications per 100,000 population) and lowest in Tasmania (49 notifications per 100,000 population). There were 6,305 RSV notifications with a diagnosis date this reporting period and 10,546 RSV notifications with a diagnosis date this year. In the year to date, the national notification rate of RSV is 39 notifications per 100,000 population. RSV notification rates have been highest among those aged 0–4 years (331 notifications per 100,000 population), followed by those aged 70 years and over (49 notifications per 100,000 population). In the year to date, RSV notification rates have been highest in Queensland (66 notifications per 100,000 population) and lowest in Western Australia (16 notifications per 100,000 population)."/>
      </w:tblPr>
      <w:tblGrid>
        <w:gridCol w:w="860"/>
        <w:gridCol w:w="1147"/>
        <w:gridCol w:w="918"/>
        <w:gridCol w:w="899"/>
        <w:gridCol w:w="1147"/>
        <w:gridCol w:w="918"/>
        <w:gridCol w:w="899"/>
        <w:gridCol w:w="1147"/>
        <w:gridCol w:w="918"/>
        <w:gridCol w:w="899"/>
      </w:tblGrid>
      <w:tr w:rsidR="001536FC" w14:paraId="13E79A2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442502"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4C9B2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E961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40757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1536FC" w14:paraId="45CB2F1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123D16"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BE4A2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30DB1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510DE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8EC13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9634B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7127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18417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947EB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CE48C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1536FC" w14:paraId="41FA5CD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DA91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1536FC" w14:paraId="687B0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8466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27E6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898E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0E9B1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01AD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29C5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65C26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E0A83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3016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AA78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331</w:t>
            </w:r>
          </w:p>
        </w:tc>
      </w:tr>
      <w:tr w:rsidR="001536FC" w14:paraId="524A85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D3D3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2E3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5291B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CD4D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D771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7EC8C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889A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68B7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110F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5EC6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1536FC" w14:paraId="167717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F363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A920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00C6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79AD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AF28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7247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FF4D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12B6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C0BC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DA67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r>
      <w:tr w:rsidR="001536FC" w14:paraId="5DB4F0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C459D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7EB5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C5F3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DAF6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FB88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7A56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24D3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A2D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E0F6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2B70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r>
      <w:tr w:rsidR="001536FC" w14:paraId="1B8EAE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C467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78E35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5F70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D2303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91818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405E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3E05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2268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CB00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9019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68D62F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B975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9B3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97F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155B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1277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2E01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C65A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42B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F69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00E6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1515F2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6D09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ADAFB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9C3A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30FB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FC9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07AC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1EB2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6CAA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924D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6FA1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602D2B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B07D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68D9B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4F8B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5E63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D70C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C16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E8EE5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B78F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C3F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EB11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5C496F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A890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818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7445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E679F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15B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20AE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1A35A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96F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943F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23C8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0D7F63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D9A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BF79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65E99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E42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2DEB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70A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4CE3F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343B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A99F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1F06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r>
      <w:tr w:rsidR="001536FC" w14:paraId="492F53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BC9E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1E8CE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101A8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5ED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685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5137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9002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84B1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5603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7D91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r>
      <w:tr w:rsidR="001536FC" w14:paraId="1F6646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B22F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92AB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885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B9677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34CA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03EE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A833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846D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1B3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1996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r>
      <w:tr w:rsidR="001536FC" w14:paraId="5614BF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E224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4FA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B912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DCD1B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67B6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98E60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E4D1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FAF4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3839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AD1BE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r>
      <w:tr w:rsidR="001536FC" w14:paraId="7B2389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10812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37C48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7A75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C853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0B14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EDA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4446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C1D0A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D91D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FFD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r>
      <w:tr w:rsidR="001536FC" w14:paraId="73D346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DE3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E2A2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4D76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8D9E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BFE9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3670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49F3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D87E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3913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6E5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r>
      <w:tr w:rsidR="001536FC" w14:paraId="04307B6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34D08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1536FC" w14:paraId="4E2E1D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F9CB6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DB4E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173A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FC6C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9C81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CECC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33A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9DA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2931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E2A05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r>
      <w:tr w:rsidR="001536FC" w14:paraId="5FB5F3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F511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65D5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7636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CC12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FBD1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90140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C1EE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9D0F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72802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B2BA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w:t>
            </w:r>
          </w:p>
        </w:tc>
      </w:tr>
      <w:tr w:rsidR="001536FC" w14:paraId="124247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721B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6246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0F6DF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A81C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2BD5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357B1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09AD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20B3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6262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A1D3A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r>
      <w:tr w:rsidR="001536FC" w14:paraId="6F5A98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B2BE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0B94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0A9A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8D21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51A5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361A5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CAE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0A77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4B45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6D44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w:t>
            </w:r>
          </w:p>
        </w:tc>
      </w:tr>
      <w:tr w:rsidR="001536FC" w14:paraId="3AAF52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70D7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B404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CCAC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1C902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D3989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1248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43DA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E9A0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8786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0E50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r>
      <w:tr w:rsidR="001536FC" w14:paraId="1DAEDE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F436B2" w14:textId="6BEE5143"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r w:rsidR="003F1C5B">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340C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7E9C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063F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6D6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F22D2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A042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E631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BA2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8FB5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r>
      <w:tr w:rsidR="001536FC" w14:paraId="02CD49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9CA10" w14:textId="765A9CCA"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r w:rsidR="003F1C5B">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99D9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E01C5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AB6DE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A3F0E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E0B1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D23A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ADF93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E7F4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A4DD5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r>
      <w:tr w:rsidR="001536FC" w14:paraId="1F670E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B570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57E5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D545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A051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241F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0A395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467B7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AB1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A54B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40075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r>
      <w:tr w:rsidR="001536FC" w14:paraId="1F5B4C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2899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6797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13,795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FC3B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32,708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447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A09B4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13,454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13A5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25,073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930F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8678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73EF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10,546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75CA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39</w:t>
            </w:r>
          </w:p>
        </w:tc>
      </w:tr>
    </w:tbl>
    <w:p w14:paraId="3A3BD95B" w14:textId="1933724E" w:rsidR="00196BD5" w:rsidRDefault="00AB1BF4" w:rsidP="00F23EC6">
      <w:pPr>
        <w:pStyle w:val="Smalltext"/>
      </w:pPr>
      <w:r>
        <w:t>Source: National Notifiable Diseases Surveillance System (NNDSS)</w:t>
      </w:r>
      <w:r>
        <w:br/>
        <w:t xml:space="preserve">* Rate per 100,000 population for the given time period. Population data are based on the Australian Bureau of Statistics (ABS) </w:t>
      </w:r>
      <w:hyperlink r:id="rId18">
        <w:r>
          <w:rPr>
            <w:rStyle w:val="Hyperlink"/>
          </w:rPr>
          <w:t>Estimated Resident Population (ERP) for the reference period June 2024, released 12 December 2024</w:t>
        </w:r>
      </w:hyperlink>
      <w:r>
        <w:t>.</w:t>
      </w:r>
      <w:r>
        <w:br/>
        <w:t>† Total includes cases with missing age.</w:t>
      </w:r>
      <w:r>
        <w:br/>
      </w:r>
      <w:r w:rsidR="00196BD5">
        <w:br w:type="page"/>
      </w:r>
    </w:p>
    <w:p w14:paraId="1556673C" w14:textId="2AFB1D50" w:rsidR="001536FC" w:rsidRPr="009E442C" w:rsidRDefault="00C12352" w:rsidP="00851DDA">
      <w:pPr>
        <w:numPr>
          <w:ilvl w:val="0"/>
          <w:numId w:val="13"/>
        </w:numPr>
      </w:pPr>
      <w:r w:rsidRPr="00C12352">
        <w:lastRenderedPageBreak/>
        <w:t>This month the number of COVID-19 cases remains low.</w:t>
      </w:r>
      <w:r>
        <w:t xml:space="preserve"> </w:t>
      </w:r>
      <w:r w:rsidR="00E474F1">
        <w:t>Following an increase in</w:t>
      </w:r>
      <w:r w:rsidR="009D144E">
        <w:t xml:space="preserve"> COVID-19</w:t>
      </w:r>
      <w:r w:rsidR="007A0528">
        <w:t xml:space="preserve"> cases in</w:t>
      </w:r>
      <w:r w:rsidR="00E474F1">
        <w:t xml:space="preserve"> l</w:t>
      </w:r>
      <w:r w:rsidR="00AE1378" w:rsidRPr="009E442C">
        <w:t>ate 2024</w:t>
      </w:r>
      <w:r w:rsidR="00297206">
        <w:t xml:space="preserve"> and early 2025</w:t>
      </w:r>
      <w:r w:rsidR="00142FAC" w:rsidRPr="009E442C">
        <w:t xml:space="preserve">; </w:t>
      </w:r>
      <w:r w:rsidR="00303D9F">
        <w:t>a</w:t>
      </w:r>
      <w:r w:rsidR="0026258D">
        <w:t>n overall</w:t>
      </w:r>
      <w:r w:rsidR="00303D9F">
        <w:t xml:space="preserve"> </w:t>
      </w:r>
      <w:r w:rsidR="00DA0B9E">
        <w:t>decreasing trend</w:t>
      </w:r>
      <w:r w:rsidR="00303D9F">
        <w:t xml:space="preserve"> was observed</w:t>
      </w:r>
      <w:r w:rsidR="0026258D">
        <w:t xml:space="preserve"> in the past month</w:t>
      </w:r>
      <w:r w:rsidR="002E2297">
        <w:t xml:space="preserve">. </w:t>
      </w:r>
      <w:r w:rsidR="002E2297" w:rsidRPr="003B66EA">
        <w:t xml:space="preserve">The number of </w:t>
      </w:r>
      <w:r w:rsidR="002E2297">
        <w:t xml:space="preserve">COVID-19 </w:t>
      </w:r>
      <w:r w:rsidR="002E2297" w:rsidRPr="003B66EA">
        <w:t xml:space="preserve">cases this month </w:t>
      </w:r>
      <w:r w:rsidR="002E2297">
        <w:t>is</w:t>
      </w:r>
      <w:r w:rsidR="002E2297" w:rsidRPr="003B66EA">
        <w:t xml:space="preserve"> lower than the number of cases at the same time last year and</w:t>
      </w:r>
      <w:r w:rsidR="002E2297">
        <w:t xml:space="preserve"> less than half the number of cases reported in the June 2024 peak</w:t>
      </w:r>
      <w:r w:rsidR="0026258D">
        <w:t xml:space="preserve"> </w:t>
      </w:r>
      <w:r w:rsidR="00AB1BF4" w:rsidRPr="009E442C">
        <w:t>(Figure 2).</w:t>
      </w:r>
    </w:p>
    <w:p w14:paraId="2EC31F32" w14:textId="77777777" w:rsidR="001536FC" w:rsidRDefault="00AB1BF4" w:rsidP="00851DDA">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786EA18D" w14:textId="6A70679B" w:rsidR="00B12AB5" w:rsidRDefault="00B12AB5" w:rsidP="00B12AB5">
      <w:pPr>
        <w:numPr>
          <w:ilvl w:val="0"/>
          <w:numId w:val="13"/>
        </w:numPr>
      </w:pPr>
      <w:r>
        <w:t xml:space="preserve">This month, COVID-19 notification rates decreased </w:t>
      </w:r>
      <w:r w:rsidR="00B63777">
        <w:t xml:space="preserve">and then remained stable </w:t>
      </w:r>
      <w:r>
        <w:t>across all jurisdictions (Figure 3).</w:t>
      </w:r>
    </w:p>
    <w:p w14:paraId="5B46CD72" w14:textId="75438FEE" w:rsidR="004345F8" w:rsidRDefault="004345F8" w:rsidP="00B732CF">
      <w:pPr>
        <w:numPr>
          <w:ilvl w:val="0"/>
          <w:numId w:val="13"/>
        </w:numPr>
      </w:pPr>
      <w:r w:rsidRPr="004345F8">
        <w:t>In the year to date, COVID-19 notification rates are highest in the Northern Territory</w:t>
      </w:r>
      <w:r w:rsidR="00661C79">
        <w:t>, Queensland</w:t>
      </w:r>
      <w:r w:rsidRPr="004345F8">
        <w:t xml:space="preserve"> and New South Wales and lowest in Western Australia (Table 1).</w:t>
      </w:r>
      <w:r w:rsidR="001A3AEA">
        <w:br/>
      </w:r>
    </w:p>
    <w:p w14:paraId="4465B0E0" w14:textId="77777777" w:rsidR="001536FC" w:rsidRDefault="00AB1BF4">
      <w:pPr>
        <w:pStyle w:val="BodyText"/>
      </w:pPr>
      <w:r>
        <w:rPr>
          <w:b/>
          <w:bCs/>
        </w:rPr>
        <w:t>Figure 2: Notified COVID-19 cases (laboratory-confirmed only) by year and week of diagnosis, Australia, 2022 to 23 February 2025</w:t>
      </w:r>
    </w:p>
    <w:p w14:paraId="0C3F5D3E" w14:textId="5E00EB21" w:rsidR="001536FC" w:rsidRDefault="008B122E">
      <w:pPr>
        <w:pStyle w:val="BodyText"/>
      </w:pPr>
      <w:r w:rsidRPr="008B122E">
        <w:rPr>
          <w:noProof/>
        </w:rPr>
        <w:drawing>
          <wp:inline distT="0" distB="0" distL="0" distR="0" wp14:anchorId="063EA444" wp14:editId="4DBC6664">
            <wp:extent cx="6192520" cy="4424045"/>
            <wp:effectExtent l="0" t="0" r="0" b="0"/>
            <wp:docPr id="850398261" name="Picture 1" descr="A pair of histograms showing all laboratory-confirmed COVID-19 cases notified to the NNDSS in Australia, by year and week of diagnosis, from 1 January 2022 to 23 Februar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February 2025.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25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from 1 January to 23 February 2025) shows an apparent peak of 6,000 laboratory confirmed cases in the second week of January 2025. Following this there has been a decreasing trend in COVID-19 cases, with case numbers stabilising at approximately 3,500 cases per week from the week ending 2 February 2025 until the end of the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98261" name="Picture 1" descr="A pair of histograms showing all laboratory-confirmed COVID-19 cases notified to the NNDSS in Australia, by year and week of diagnosis, from 1 January 2022 to 23 Februar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February 2025.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25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from 1 January to 23 February 2025) shows an apparent peak of 6,000 laboratory confirmed cases in the second week of January 2025. Following this there has been a decreasing trend in COVID-19 cases, with case numbers stabilising at approximately 3,500 cases per week from the week ending 2 February 2025 until the end of the reporting period. "/>
                    <pic:cNvPicPr/>
                  </pic:nvPicPr>
                  <pic:blipFill>
                    <a:blip r:embed="rId19"/>
                    <a:stretch>
                      <a:fillRect/>
                    </a:stretch>
                  </pic:blipFill>
                  <pic:spPr>
                    <a:xfrm>
                      <a:off x="0" y="0"/>
                      <a:ext cx="6192520" cy="4424045"/>
                    </a:xfrm>
                    <a:prstGeom prst="rect">
                      <a:avLst/>
                    </a:prstGeom>
                  </pic:spPr>
                </pic:pic>
              </a:graphicData>
            </a:graphic>
          </wp:inline>
        </w:drawing>
      </w:r>
    </w:p>
    <w:p w14:paraId="75E8BB28" w14:textId="77777777" w:rsidR="001536FC" w:rsidRDefault="00AB1BF4">
      <w:pPr>
        <w:pStyle w:val="Smalltext"/>
      </w:pPr>
      <w:r>
        <w:t>Source: National Notifiable Diseases Surveillance System (NNDSS)</w:t>
      </w:r>
      <w:r>
        <w:br/>
      </w:r>
    </w:p>
    <w:p w14:paraId="7C60F11A" w14:textId="77777777" w:rsidR="001536FC" w:rsidRDefault="00AB1BF4">
      <w:r>
        <w:br w:type="page"/>
      </w:r>
    </w:p>
    <w:p w14:paraId="2E0E7127" w14:textId="77777777" w:rsidR="001536FC" w:rsidRDefault="00AB1BF4">
      <w:pPr>
        <w:pStyle w:val="BodyText"/>
      </w:pPr>
      <w:r>
        <w:rPr>
          <w:b/>
          <w:bCs/>
        </w:rPr>
        <w:lastRenderedPageBreak/>
        <w:t>Figure 3: Notification rates* per 100,000 population for COVID-19 cases by state or territory and week of diagnosis, Australia, 1 January to 23 February 2025</w:t>
      </w:r>
    </w:p>
    <w:p w14:paraId="7B179EA2" w14:textId="77777777" w:rsidR="001536FC" w:rsidRDefault="00AB1BF4">
      <w:pPr>
        <w:pStyle w:val="BodyText"/>
      </w:pPr>
      <w:r>
        <w:rPr>
          <w:noProof/>
        </w:rPr>
        <w:drawing>
          <wp:inline distT="0" distB="0" distL="0" distR="0" wp14:anchorId="27E4CD29" wp14:editId="1AB55542">
            <wp:extent cx="6184900" cy="2650671"/>
            <wp:effectExtent l="0" t="0" r="0" b="0"/>
            <wp:docPr id="34" name="Picture" descr="A line graph showing the notification rates per 100,000 population for COVID-19 cases notified to the NNDSS, by state or territory in Australia with diagnosis dates from  January to 23 February 2025. The y-axis (left) shows the rate of notified cases, and the x-axis (horizontal) shows the week of report. COVID-19 notification rates across all jurisdictions increased to an apparent peak in the second week of January 2025. COVID-19 notification rates then decreased across all jurisdictions. In this reporting period (from 27 January to 23 February 2025), COVID-19 notification rates were highest in the Northern Territory (about 20 cases per 100,000 population per week), followed by New South Wales and Queensland (both about 18 cases per 100,000 population per week). Notification rates were similar across all remaining jurisdictions (between 8–12 cases per 100,000 population per week).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3 February 2025. The y-axis (left) shows the rate of notified cases, and the x-axis (horizontal) shows the week of report. COVID-19 notification rates across all jurisdictions increased to an apparent peak in the second week of January 2025. COVID-19 notification rates then decreased across all jurisdictions. In this reporting period (from 27 January to 23 February 2025), COVID-19 notification rates were highest in the Northern Territory (about 20 cases per 100,000 population per week), followed by New South Wales and Queensland (both about 18 cases per 100,000 population per week). Notification rates were similar across all remaining jurisdictions (between 8–12 cases per 100,000 population per week).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42DB944" w14:textId="77777777" w:rsidR="001536FC" w:rsidRDefault="00AB1BF4">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Pr>
            <w:rStyle w:val="Hyperlink"/>
          </w:rPr>
          <w:t>Estimated Resident Population (ERP) for the reference period June 2024, released 12 December 2024</w:t>
        </w:r>
      </w:hyperlink>
      <w:r>
        <w:br/>
      </w:r>
    </w:p>
    <w:p w14:paraId="7206BA6B" w14:textId="3BDBAC23" w:rsidR="001536FC" w:rsidRDefault="00AB1BF4">
      <w:r>
        <w:rPr>
          <w:b/>
          <w:bCs/>
        </w:rPr>
        <w:t>Figure 4</w:t>
      </w:r>
      <w:r w:rsidR="002D69D1">
        <w:rPr>
          <w:b/>
          <w:bCs/>
        </w:rPr>
        <w:t>a</w:t>
      </w:r>
      <w:r>
        <w:rPr>
          <w:b/>
          <w:bCs/>
        </w:rPr>
        <w:t>: Notified influenza cases and five-year average* by influenza subtype, year, week of diagnosis, Australia, 2022 to 23 February 2025</w:t>
      </w:r>
      <w:r>
        <w:t xml:space="preserve"> </w:t>
      </w:r>
    </w:p>
    <w:p w14:paraId="072A8F63" w14:textId="0616F883" w:rsidR="001536FC" w:rsidRDefault="00F71DA9">
      <w:pPr>
        <w:pStyle w:val="Smalltext"/>
      </w:pPr>
      <w:r w:rsidRPr="00F71DA9">
        <w:rPr>
          <w:noProof/>
        </w:rPr>
        <w:drawing>
          <wp:inline distT="0" distB="0" distL="0" distR="0" wp14:anchorId="55675198" wp14:editId="66FFEA05">
            <wp:extent cx="6074259" cy="4362603"/>
            <wp:effectExtent l="0" t="0" r="3175" b="0"/>
            <wp:docPr id="826098980" name="Picture 1" descr="A pair of stacked histograms showing the number of influenza cases by influenza subtype notified to the NNDSS in Australia, along with five-year interrupted average on the lower histogram by year and week of diagnosis from 1 January 2022 to 23 February 2025. The y-axis (left) shows the number of notified cases, and the x-axis (horizontal) shows the week of report.The date range of the upper histogram encompasses January 2022 to the end of 2025, while the date range of the lower histogram encompasses 1 January to 28 December 2025 (epidemiological weeks 1–52 of 2025). Data are present in both histograms until 23 February 2025. The influenza subtypes include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notifications not exceeding 18,000 cases per week, but case notification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re was another small rise in influenza cases during the interseasonal period, this time in January 2025. In 2024, influenza A(Unsubtyped) accounted for the largest proportion of influenza subtypes circulating with a small proportion of influenza A(H3N2). &#10;The lower histogram (from 1 January to 23 February 2025) shows influenza cases have remained stable and not exceeded 4,000 cases per week, though case numbers are above the five-year interrupted average (grey dashed line) for the same period. In this year to date, influenza A(Unsubtyped) accounted for the largest proportion of influenza subtypes circulating with a small proportion of influenza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8980" name="Picture 1" descr="A pair of stacked histograms showing the number of influenza cases by influenza subtype notified to the NNDSS in Australia, along with five-year interrupted average on the lower histogram by year and week of diagnosis from 1 January 2022 to 23 February 2025. The y-axis (left) shows the number of notified cases, and the x-axis (horizontal) shows the week of report.The date range of the upper histogram encompasses January 2022 to the end of 2025, while the date range of the lower histogram encompasses 1 January to 28 December 2025 (epidemiological weeks 1–52 of 2025). Data are present in both histograms until 23 February 2025. The influenza subtypes include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notifications not exceeding 18,000 cases per week, but case notification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re was another small rise in influenza cases during the interseasonal period, this time in January 2025. In 2024, influenza A(Unsubtyped) accounted for the largest proportion of influenza subtypes circulating with a small proportion of influenza A(H3N2). &#10;The lower histogram (from 1 January to 23 February 2025) shows influenza cases have remained stable and not exceeded 4,000 cases per week, though case numbers are above the five-year interrupted average (grey dashed line) for the same period. In this year to date, influenza A(Unsubtyped) accounted for the largest proportion of influenza subtypes circulating with a small proportion of influenza B.&#10;"/>
                    <pic:cNvPicPr/>
                  </pic:nvPicPr>
                  <pic:blipFill>
                    <a:blip r:embed="rId23"/>
                    <a:stretch>
                      <a:fillRect/>
                    </a:stretch>
                  </pic:blipFill>
                  <pic:spPr>
                    <a:xfrm>
                      <a:off x="0" y="0"/>
                      <a:ext cx="6079768" cy="4366560"/>
                    </a:xfrm>
                    <a:prstGeom prst="rect">
                      <a:avLst/>
                    </a:prstGeom>
                  </pic:spPr>
                </pic:pic>
              </a:graphicData>
            </a:graphic>
          </wp:inline>
        </w:drawing>
      </w:r>
      <w:r w:rsidRPr="00F71DA9">
        <w:t xml:space="preserve"> </w:t>
      </w:r>
      <w:r w:rsidR="00AB1BF4">
        <w:t>Source: National Notifiable Diseases Surveillance System (NNDSS)</w:t>
      </w:r>
      <w:r w:rsidR="00AB1BF4">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sidR="00AB1BF4">
          <w:rPr>
            <w:rStyle w:val="Hyperlink"/>
          </w:rPr>
          <w:t>Technical Supplement</w:t>
        </w:r>
      </w:hyperlink>
      <w:r w:rsidR="00AB1BF4">
        <w:t xml:space="preserve"> for interpretation of the five-year average.</w:t>
      </w:r>
      <w:r w:rsidR="00AB1BF4">
        <w:br/>
      </w:r>
    </w:p>
    <w:p w14:paraId="0F3216B0" w14:textId="23644A1F" w:rsidR="00925569" w:rsidRDefault="00925569" w:rsidP="00925569">
      <w:pPr>
        <w:pStyle w:val="BodyText"/>
        <w:rPr>
          <w:b/>
          <w:bCs/>
        </w:rPr>
      </w:pPr>
      <w:r>
        <w:rPr>
          <w:b/>
          <w:bCs/>
        </w:rPr>
        <w:lastRenderedPageBreak/>
        <w:t>Figure 4</w:t>
      </w:r>
      <w:r w:rsidR="002D69D1">
        <w:rPr>
          <w:b/>
          <w:bCs/>
        </w:rPr>
        <w:t>b</w:t>
      </w:r>
      <w:r>
        <w:rPr>
          <w:b/>
          <w:bCs/>
        </w:rPr>
        <w:t>: Notified influenza cases to the NNDSS by year and week of diagnosis, Australia, 2022 to 23 February 2025</w:t>
      </w:r>
    </w:p>
    <w:p w14:paraId="0F9D2293" w14:textId="77777777" w:rsidR="00925569" w:rsidRDefault="00925569" w:rsidP="00925569">
      <w:pPr>
        <w:pStyle w:val="BodyText"/>
      </w:pPr>
      <w:r>
        <w:rPr>
          <w:noProof/>
        </w:rPr>
        <w:drawing>
          <wp:inline distT="0" distB="0" distL="0" distR="0" wp14:anchorId="43153410" wp14:editId="1F7B211B">
            <wp:extent cx="6184900" cy="2650671"/>
            <wp:effectExtent l="0" t="0" r="0" b="0"/>
            <wp:docPr id="40" name="Picture" descr="A line graph showing influenza cases notified to the NNDSS in Australia, by year and week of diagnosis, from 1 January 2022 to 23 February 2025, with the average number of notifications each week for the interrupted five-year range 2018–2019 and 2022-2024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In this year to date, there have been approximately 4,000 influenza cases per week, which is higher than corresponding weeks of previous years and the five-year interrupted average. "/>
            <wp:cNvGraphicFramePr/>
            <a:graphic xmlns:a="http://schemas.openxmlformats.org/drawingml/2006/main">
              <a:graphicData uri="http://schemas.openxmlformats.org/drawingml/2006/picture">
                <pic:pic xmlns:pic="http://schemas.openxmlformats.org/drawingml/2006/picture">
                  <pic:nvPicPr>
                    <pic:cNvPr id="40" name="Picture" descr="A line graph showing influenza cases notified to the NNDSS in Australia, by year and week of diagnosis, from 1 January 2022 to 23 February 2025, with the average number of notifications each week for the interrupted five-year range 2018–2019 and 2022-2024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In this year to date, there have been approximately 4,000 influenza cases per week, which is higher than corresponding weeks of previous years and the five-year interrupted average.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A442391" w14:textId="77777777" w:rsidR="00925569" w:rsidRDefault="00925569" w:rsidP="00925569">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7">
        <w:r>
          <w:rPr>
            <w:rStyle w:val="Hyperlink"/>
          </w:rPr>
          <w:t>Technical Supplement</w:t>
        </w:r>
      </w:hyperlink>
      <w:r>
        <w:t xml:space="preserve"> for interpretation of the five-year average.</w:t>
      </w:r>
      <w:r>
        <w:br/>
      </w:r>
    </w:p>
    <w:p w14:paraId="3A12001F" w14:textId="77777777" w:rsidR="00A64827" w:rsidRDefault="00A64827" w:rsidP="00A64827">
      <w:pPr>
        <w:numPr>
          <w:ilvl w:val="0"/>
          <w:numId w:val="14"/>
        </w:numPr>
      </w:pPr>
      <w:r>
        <w:t>This month</w:t>
      </w:r>
      <w:r w:rsidRPr="00962E07">
        <w:t>, the number of influenza cases remains</w:t>
      </w:r>
      <w:r>
        <w:t xml:space="preserve"> relatively</w:t>
      </w:r>
      <w:r w:rsidRPr="00962E07">
        <w:t xml:space="preserve"> low. The number of influenza cases this month is slightly higher than </w:t>
      </w:r>
      <w:r>
        <w:t xml:space="preserve">last month, </w:t>
      </w:r>
      <w:r w:rsidRPr="00962E07">
        <w:t xml:space="preserve">the five-year average and the number of cases seen in the same period in previous years; however, case numbers remain at interseasonal levels (Figure 4a; Figure 4b).  </w:t>
      </w:r>
    </w:p>
    <w:p w14:paraId="5F9B8AB7" w14:textId="77777777" w:rsidR="00A64827" w:rsidRDefault="00A64827" w:rsidP="00A64827">
      <w:pPr>
        <w:numPr>
          <w:ilvl w:val="1"/>
          <w:numId w:val="14"/>
        </w:numPr>
      </w:pPr>
      <w:r w:rsidRPr="00962E07">
        <w:t>The increase in the number of influenza cases this month is consistent with increases observed in previous summer periods (Figure 4a; Figure 4b). This increase could be due to increased influenza circulating in the community; however, could also be influenced by a number of factors:</w:t>
      </w:r>
    </w:p>
    <w:p w14:paraId="6D256612" w14:textId="171C4425" w:rsidR="00A64827" w:rsidRDefault="00F957BA" w:rsidP="00A64827">
      <w:pPr>
        <w:numPr>
          <w:ilvl w:val="2"/>
          <w:numId w:val="14"/>
        </w:numPr>
      </w:pPr>
      <w:r>
        <w:t xml:space="preserve">increased population mixing </w:t>
      </w:r>
      <w:r w:rsidR="009142A1">
        <w:t xml:space="preserve">due to </w:t>
      </w:r>
      <w:r w:rsidR="003D73FE">
        <w:t xml:space="preserve">social mixing within the holiday period, and returned travellers from </w:t>
      </w:r>
      <w:r w:rsidR="00C06384">
        <w:t xml:space="preserve">overseas, particularly those </w:t>
      </w:r>
      <w:r w:rsidR="00945C63">
        <w:t xml:space="preserve">who have been to </w:t>
      </w:r>
      <w:r w:rsidR="00644EC0">
        <w:t>the northern hemisphere</w:t>
      </w:r>
      <w:r w:rsidR="00D55543">
        <w:t xml:space="preserve">. </w:t>
      </w:r>
    </w:p>
    <w:p w14:paraId="2925968A" w14:textId="5053A975" w:rsidR="00A64827" w:rsidRDefault="00A64827" w:rsidP="00F34572">
      <w:pPr>
        <w:numPr>
          <w:ilvl w:val="2"/>
          <w:numId w:val="14"/>
        </w:numPr>
      </w:pPr>
      <w:r w:rsidRPr="00962E07">
        <w:t>changes in health-seeking behaviour (increased testing) associated with increases in COVID-19 circulation in the summer period</w:t>
      </w:r>
      <w:r w:rsidR="00930212">
        <w:t xml:space="preserve">, or </w:t>
      </w:r>
      <w:r w:rsidRPr="00962E07">
        <w:t xml:space="preserve">as a result of public concern over media reports </w:t>
      </w:r>
      <w:r w:rsidR="00930212">
        <w:t>in</w:t>
      </w:r>
      <w:r w:rsidRPr="00962E07">
        <w:t xml:space="preserve"> January about human metapneumovirus (hMPV) cases in China.</w:t>
      </w:r>
    </w:p>
    <w:p w14:paraId="653E3A92" w14:textId="77777777" w:rsidR="00A64827" w:rsidRDefault="00A64827" w:rsidP="00A64827">
      <w:pPr>
        <w:numPr>
          <w:ilvl w:val="0"/>
          <w:numId w:val="14"/>
        </w:numPr>
      </w:pPr>
      <w:r>
        <w:t>In the year to date, influenza notification rates are highest in children aged 0–4 years and children aged 5–9 years (Table 1).</w:t>
      </w:r>
    </w:p>
    <w:p w14:paraId="4BAAA0D9" w14:textId="5A0F66FD" w:rsidR="001536FC" w:rsidRDefault="00AB1BF4" w:rsidP="00925569">
      <w:pPr>
        <w:numPr>
          <w:ilvl w:val="0"/>
          <w:numId w:val="15"/>
        </w:numPr>
      </w:pPr>
      <w:r>
        <w:t>This month, 22.1% (2,967/13,454) of influenza notifications were influenza B, 3.7% (499/13,454) were influenza A(H1N1) and 0.9% (119/13,454) were influenza A(H3N2). There were seven influenza A&amp;B co-detections (Figure 5).</w:t>
      </w:r>
    </w:p>
    <w:p w14:paraId="6BE98B8E" w14:textId="77777777" w:rsidR="001536FC" w:rsidRDefault="00AB1BF4" w:rsidP="00851DDA">
      <w:pPr>
        <w:numPr>
          <w:ilvl w:val="1"/>
          <w:numId w:val="16"/>
        </w:numPr>
      </w:pPr>
      <w:r>
        <w:t>Most influenza notifications were influenza A(Unsubtyped) (72.7%; 9,786/13,454) (Figure 5).</w:t>
      </w:r>
    </w:p>
    <w:p w14:paraId="56A7DBA2" w14:textId="57A47B56" w:rsidR="00925569" w:rsidRDefault="009066A3" w:rsidP="00851DDA">
      <w:pPr>
        <w:numPr>
          <w:ilvl w:val="0"/>
          <w:numId w:val="15"/>
        </w:numPr>
      </w:pPr>
      <w:r w:rsidRPr="009066A3">
        <w:t>In the year to date, influenza A has accounted for the majority of influenza notifications across all jurisdictions</w:t>
      </w:r>
      <w:r w:rsidR="004F5CFA">
        <w:t>, however some jurisdictions are seeing a</w:t>
      </w:r>
      <w:r w:rsidR="00376DA7">
        <w:t>n increase in the proportion of influenza B notifications</w:t>
      </w:r>
      <w:r w:rsidRPr="009066A3">
        <w:t xml:space="preserve"> (Figure 5).</w:t>
      </w:r>
    </w:p>
    <w:p w14:paraId="00A1BA09" w14:textId="6C1DCC98" w:rsidR="00925569" w:rsidRDefault="00925569" w:rsidP="00925569">
      <w:pPr>
        <w:numPr>
          <w:ilvl w:val="0"/>
          <w:numId w:val="15"/>
        </w:numPr>
      </w:pPr>
      <w:r>
        <w:t>This month, influenza notification rates increased considerably in the Northern Territory and Queensland, with notification rates fluctuating in other jurisdictions</w:t>
      </w:r>
      <w:r w:rsidR="00227E81">
        <w:t xml:space="preserve"> </w:t>
      </w:r>
      <w:r>
        <w:t>(Figure 6).</w:t>
      </w:r>
    </w:p>
    <w:p w14:paraId="576A9920" w14:textId="15A8F065" w:rsidR="00925569" w:rsidRDefault="00925569" w:rsidP="00925569">
      <w:pPr>
        <w:numPr>
          <w:ilvl w:val="0"/>
          <w:numId w:val="15"/>
        </w:numPr>
      </w:pPr>
      <w:r>
        <w:t>In the year to date, influenza notification rates are highest in New South Wales and the Northern Territory and lowest in Tasmania (Table 1).</w:t>
      </w:r>
    </w:p>
    <w:p w14:paraId="68512343" w14:textId="0BB089A4" w:rsidR="001536FC" w:rsidRDefault="00AB1BF4">
      <w:r>
        <w:rPr>
          <w:b/>
          <w:bCs/>
        </w:rPr>
        <w:lastRenderedPageBreak/>
        <w:t>Figure 5: Notified influenza cases by influenza subtype, jurisdiction*, and week of diagnosis, Australia, 1 January to 23 February 2025</w:t>
      </w:r>
    </w:p>
    <w:p w14:paraId="0BC2B7A8" w14:textId="76F406A6" w:rsidR="001536FC" w:rsidRDefault="006108CA" w:rsidP="006108CA">
      <w:pPr>
        <w:pStyle w:val="BodyText"/>
        <w:spacing w:line="240" w:lineRule="auto"/>
      </w:pPr>
      <w:r>
        <w:rPr>
          <w:noProof/>
        </w:rPr>
        <w:drawing>
          <wp:inline distT="0" distB="0" distL="0" distR="0" wp14:anchorId="0AB00BAA" wp14:editId="3B2C0F69">
            <wp:extent cx="6184900" cy="4859564"/>
            <wp:effectExtent l="0" t="0" r="0" b="0"/>
            <wp:docPr id="43" name="Picture" descr="A set of eight stacked bar charts, one for each Australian state or territory, showing influenza notifications to the NNDSS by subtype and jurisdiction from 1 January to 23 Februar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In this year to date, the majority of influenza notifications from all jurisdictions have been influenza A(Unsubtyped) followed by influenza B. In the Australian Capital Territory, a small proportion of influenzas samples were untyped. In the current reporting period (27 January to 23 February 2023), most influenza notifications from all jurisdictions except Western Australia were influenza A(Unsubtyped) followed by influenza B. In Western Australia, the majority of influenza notifications were influenza A(Unsubtyped) followed by influenza A(H1N1) and A(H3N2)."/>
            <wp:cNvGraphicFramePr/>
            <a:graphic xmlns:a="http://schemas.openxmlformats.org/drawingml/2006/main">
              <a:graphicData uri="http://schemas.openxmlformats.org/drawingml/2006/picture">
                <pic:pic xmlns:pic="http://schemas.openxmlformats.org/drawingml/2006/picture">
                  <pic:nvPicPr>
                    <pic:cNvPr id="43" name="Picture" descr="A set of eight stacked bar charts, one for each Australian state or territory, showing influenza notifications to the NNDSS by subtype and jurisdiction from 1 January to 23 Februar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In this year to date, the majority of influenza notifications from all jurisdictions have been influenza A(Unsubtyped) followed by influenza B. In the Australian Capital Territory, a small proportion of influenzas samples were untyped. In the current reporting period (27 January to 23 February 2023), most influenza notifications from all jurisdictions except Western Australia were influenza A(Unsubtyped) followed by influenza B. In Western Australia, the majority of influenza notifications were influenza A(Unsubtyped) followed by influenza A(H1N1) and A(H3N2)."/>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4859564"/>
                    </a:xfrm>
                    <a:prstGeom prst="rect">
                      <a:avLst/>
                    </a:prstGeom>
                    <a:noFill/>
                    <a:ln w="9525">
                      <a:noFill/>
                      <a:headEnd/>
                      <a:tailEnd/>
                    </a:ln>
                  </pic:spPr>
                </pic:pic>
              </a:graphicData>
            </a:graphic>
          </wp:inline>
        </w:drawing>
      </w:r>
    </w:p>
    <w:p w14:paraId="480C543D" w14:textId="77777777" w:rsidR="001536FC" w:rsidRDefault="00AB1BF4" w:rsidP="006108CA">
      <w:pPr>
        <w:pStyle w:val="Smalltext"/>
        <w:spacing w:line="240" w:lineRule="auto"/>
      </w:pPr>
      <w:r>
        <w:t>Source: National Notifiable Diseases Surveillance System (NNDSS)</w:t>
      </w:r>
      <w:r>
        <w:br/>
        <w:t>* Axis varies between jurisdictions.</w:t>
      </w:r>
      <w:r>
        <w:br/>
      </w:r>
    </w:p>
    <w:p w14:paraId="0E67408E" w14:textId="77777777" w:rsidR="001536FC" w:rsidRDefault="00AB1BF4">
      <w:pPr>
        <w:pStyle w:val="BodyText"/>
      </w:pPr>
      <w:r>
        <w:rPr>
          <w:b/>
          <w:bCs/>
        </w:rPr>
        <w:t>Figure 6: Notification rates* per 100,000 population for influenza cases by state or territory and week of diagnosis, Australia, 1 January to 23 February 2025</w:t>
      </w:r>
    </w:p>
    <w:p w14:paraId="498AB70A" w14:textId="3B019FD0" w:rsidR="001536FC" w:rsidRDefault="002564F2">
      <w:pPr>
        <w:pStyle w:val="Smalltext"/>
      </w:pPr>
      <w:r>
        <w:rPr>
          <w:noProof/>
        </w:rPr>
        <w:drawing>
          <wp:inline distT="0" distB="0" distL="0" distR="0" wp14:anchorId="485CC99A" wp14:editId="4B2E8113">
            <wp:extent cx="6184900" cy="2650671"/>
            <wp:effectExtent l="0" t="0" r="0" b="0"/>
            <wp:docPr id="46" name="Picture" descr="A line graph showing the notification rates per 100,000 population for influenza cases notified to the NNDSS, by state or territory in Australia, with diagnosis dates from 1 January to 23 February 2025. The y-axis (left) shows the rate of notified cases, and the x-axis (horizontal) shows the week of report. Influenza notification rates across all jurisdictions increased in the first few weeks of January before declining slightly in most jurisdictions over mid to late-January. Influenza notification rates in the Northern Territory continued to increase across January and February. In the current reporting period (27 January to 23 February 2025) influenza notification rates increased across all jurisdictions, though some week-on-week decreases observed. In the current reporting period, influenza notification rates were highest in the Northern Territory (about 30 cases per 100,000 population per week) followed by New South Wales and Queensland (about 15 cases per 100,000 population per week each). In the current reporting period, notification rates were lowest in Tasmania (about 5 cases per 100,000 population per week).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23 February 2025. The y-axis (left) shows the rate of notified cases, and the x-axis (horizontal) shows the week of report. Influenza notification rates across all jurisdictions increased in the first few weeks of January before declining slightly in most jurisdictions over mid to late-January. Influenza notification rates in the Northern Territory continued to increase across January and February. In the current reporting period (27 January to 23 February 2025) influenza notification rates increased across all jurisdictions, though some week-on-week decreases observed. In the current reporting period, influenza notification rates were highest in the Northern Territory (about 30 cases per 100,000 population per week) followed by New South Wales and Queensland (about 15 cases per 100,000 population per week each). In the current reporting period, notification rates were lowest in Tasmania (about 5 cases per 100,000 population per week).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AB1BF4">
        <w:t>Source: National Notifiable Diseases Surveillance System (NNDSS)</w:t>
      </w:r>
      <w:r w:rsidR="00AB1BF4">
        <w:br/>
        <w:t xml:space="preserve">* Rate per 100,000 population for the given time period. Population data are based on the Australian Bureau of Statistics (ABS) </w:t>
      </w:r>
      <w:hyperlink r:id="rId32">
        <w:r w:rsidR="00AB1BF4">
          <w:rPr>
            <w:rStyle w:val="Hyperlink"/>
          </w:rPr>
          <w:t>Estimated Resident Population (ERP) for the reference period June 2024, released 12 December 2024</w:t>
        </w:r>
      </w:hyperlink>
      <w:r w:rsidR="00AB1BF4">
        <w:t>.</w:t>
      </w:r>
      <w:r w:rsidR="00AB1BF4">
        <w:br/>
      </w:r>
    </w:p>
    <w:p w14:paraId="71F41EB6" w14:textId="7833F88A" w:rsidR="008F218A" w:rsidRDefault="00974D91" w:rsidP="008F218A">
      <w:pPr>
        <w:numPr>
          <w:ilvl w:val="0"/>
          <w:numId w:val="17"/>
        </w:numPr>
      </w:pPr>
      <w:r>
        <w:lastRenderedPageBreak/>
        <w:t>This month</w:t>
      </w:r>
      <w:r w:rsidR="00AF39F4" w:rsidRPr="00AF39F4">
        <w:t xml:space="preserve">, the number of RSV cases </w:t>
      </w:r>
      <w:r w:rsidR="00002F80">
        <w:t>have been increasing compared with the previous month</w:t>
      </w:r>
      <w:r w:rsidR="00821882">
        <w:t>; however,</w:t>
      </w:r>
      <w:r w:rsidR="00002F80">
        <w:t xml:space="preserve"> </w:t>
      </w:r>
      <w:r w:rsidR="00AF39F4" w:rsidRPr="00AF39F4">
        <w:t xml:space="preserve">remains consistent with the number of cases seen in the same interseasonal period </w:t>
      </w:r>
      <w:r w:rsidR="00821882">
        <w:t>last</w:t>
      </w:r>
      <w:r w:rsidR="00AF39F4" w:rsidRPr="00AF39F4">
        <w:t xml:space="preserve"> year (Figure 7). </w:t>
      </w:r>
    </w:p>
    <w:p w14:paraId="7F9CCAC4" w14:textId="679772F1" w:rsidR="00AF39F4" w:rsidRDefault="00AF39F4" w:rsidP="008F218A">
      <w:pPr>
        <w:numPr>
          <w:ilvl w:val="1"/>
          <w:numId w:val="17"/>
        </w:numPr>
      </w:pPr>
      <w:r w:rsidRPr="00AF39F4">
        <w:t xml:space="preserve">Similar to influenza notification trends, the recent increase in RSV cases could be due to increased RSV circulating in the community; however, could also be influenced by the changes in health-seeking behaviour (increased testing) described above. </w:t>
      </w:r>
    </w:p>
    <w:p w14:paraId="35404788" w14:textId="39FC066D" w:rsidR="001536FC" w:rsidRDefault="00AB1BF4" w:rsidP="00851DDA">
      <w:pPr>
        <w:numPr>
          <w:ilvl w:val="0"/>
          <w:numId w:val="17"/>
        </w:numPr>
      </w:pPr>
      <w:r>
        <w:t>In the year to date, RSV notification rates remain considerably higher in children aged 0–4 years than in other age groups (Table 1).</w:t>
      </w:r>
    </w:p>
    <w:p w14:paraId="64AEE995" w14:textId="63438DE9" w:rsidR="00531C71" w:rsidRDefault="00531C71" w:rsidP="00851DDA">
      <w:pPr>
        <w:numPr>
          <w:ilvl w:val="0"/>
          <w:numId w:val="17"/>
        </w:numPr>
      </w:pPr>
      <w:r>
        <w:t>This month, RSV notification rates increased considerably in N</w:t>
      </w:r>
      <w:r w:rsidR="0083514F">
        <w:t>ew South Wales</w:t>
      </w:r>
      <w:r>
        <w:t xml:space="preserve"> and Queensland, with notification rates fluctuating</w:t>
      </w:r>
      <w:r w:rsidR="0083514F">
        <w:t xml:space="preserve"> or remaining low and stable</w:t>
      </w:r>
      <w:r>
        <w:t xml:space="preserve"> in other jurisdictions </w:t>
      </w:r>
      <w:r w:rsidR="0083514F">
        <w:t>(Figure 8).</w:t>
      </w:r>
    </w:p>
    <w:p w14:paraId="1E49B90A" w14:textId="33EE2921" w:rsidR="001536FC" w:rsidRDefault="00D3617F">
      <w:pPr>
        <w:numPr>
          <w:ilvl w:val="0"/>
          <w:numId w:val="17"/>
        </w:numPr>
      </w:pPr>
      <w:r w:rsidRPr="00D3617F">
        <w:t xml:space="preserve">In the year to date, RSV notification rates are highest in </w:t>
      </w:r>
      <w:r w:rsidR="00650E6D">
        <w:t>New South Wales and Queensland</w:t>
      </w:r>
      <w:r w:rsidR="006A4C7E">
        <w:t>,</w:t>
      </w:r>
      <w:r w:rsidRPr="00D3617F">
        <w:t xml:space="preserve"> and lowest Western Australia (Table 1)</w:t>
      </w:r>
      <w:r>
        <w:t>.</w:t>
      </w:r>
      <w:r w:rsidR="00925569">
        <w:br/>
      </w:r>
    </w:p>
    <w:p w14:paraId="0D4C7FA4" w14:textId="77777777" w:rsidR="001536FC" w:rsidRDefault="00AB1BF4">
      <w:r>
        <w:rPr>
          <w:b/>
          <w:bCs/>
        </w:rPr>
        <w:t>Figure 7: Notified RSV cases by year and week of diagnosis*, Australia, 2023 to 23 February 2025</w:t>
      </w:r>
    </w:p>
    <w:p w14:paraId="4AC9633C" w14:textId="559BA0AB" w:rsidR="001536FC" w:rsidRDefault="00E35160">
      <w:pPr>
        <w:pStyle w:val="BodyText"/>
      </w:pPr>
      <w:r w:rsidRPr="00E35160">
        <w:rPr>
          <w:noProof/>
        </w:rPr>
        <w:drawing>
          <wp:inline distT="0" distB="0" distL="0" distR="0" wp14:anchorId="366A6B78" wp14:editId="158F8350">
            <wp:extent cx="6192520" cy="4375150"/>
            <wp:effectExtent l="0" t="0" r="0" b="6350"/>
            <wp:docPr id="867833514" name="Picture 1" descr="A pair of histograms showing RSV cases notified to the NNDSS in Australia, by year and week of diagnosis, from 1 January 2023 to 23 February 2025. The y-axis (left) shows the number of notified cases, and the x-axis (horizontal) shows the week of report.The date range of the upper histogram encompasses January 2023 to the end of 2025, while the date range of the lower histogram encompasses 1 January to 28 December 2025 (epidemiological weeks 1–52 of 2025). Data are present in both histograms until 23 February 2025. &#10;The upper histogram shows in 2023 the RSV season peaked in mid-June at approximately 5,800 cases per week, but case notifications took longer to decrease than in later seasons. The 2024 RSV season had consistently more cases notified per week than the 2023 season. The 2024 RSV season increased steadily to a peak in mid-June of approximately 7,000 cases per week. There was a small rise in RSV cases during the interseasonal period in December 2024.&#10;The lower histogram (from 1 January to 23 February 2025) shows the number of RSV cases have been increasing; however, remain consistent with interseasonal levels observed in the upper histogram. In the current reporting period (27 January to 23 February 2025), from 1,200 cases per week in early February to approximately 2,000 cases per week in the last week of the reporting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33514" name="Picture 1" descr="A pair of histograms showing RSV cases notified to the NNDSS in Australia, by year and week of diagnosis, from 1 January 2023 to 23 February 2025. The y-axis (left) shows the number of notified cases, and the x-axis (horizontal) shows the week of report.The date range of the upper histogram encompasses January 2023 to the end of 2025, while the date range of the lower histogram encompasses 1 January to 28 December 2025 (epidemiological weeks 1–52 of 2025). Data are present in both histograms until 23 February 2025. &#10;The upper histogram shows in 2023 the RSV season peaked in mid-June at approximately 5,800 cases per week, but case notifications took longer to decrease than in later seasons. The 2024 RSV season had consistently more cases notified per week than the 2023 season. The 2024 RSV season increased steadily to a peak in mid-June of approximately 7,000 cases per week. There was a small rise in RSV cases during the interseasonal period in December 2024.&#10;The lower histogram (from 1 January to 23 February 2025) shows the number of RSV cases have been increasing; however, remain consistent with interseasonal levels observed in the upper histogram. In the current reporting period (27 January to 23 February 2025), from 1,200 cases per week in early February to approximately 2,000 cases per week in the last week of the reporting period. &#10;"/>
                    <pic:cNvPicPr/>
                  </pic:nvPicPr>
                  <pic:blipFill>
                    <a:blip r:embed="rId33"/>
                    <a:stretch>
                      <a:fillRect/>
                    </a:stretch>
                  </pic:blipFill>
                  <pic:spPr>
                    <a:xfrm>
                      <a:off x="0" y="0"/>
                      <a:ext cx="6192520" cy="4375150"/>
                    </a:xfrm>
                    <a:prstGeom prst="rect">
                      <a:avLst/>
                    </a:prstGeom>
                  </pic:spPr>
                </pic:pic>
              </a:graphicData>
            </a:graphic>
          </wp:inline>
        </w:drawing>
      </w:r>
    </w:p>
    <w:p w14:paraId="2AF0D887" w14:textId="77777777" w:rsidR="001536FC" w:rsidRDefault="00AB1BF4">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7D65CF0A" w14:textId="77777777" w:rsidR="00925569" w:rsidRDefault="00925569">
      <w:pPr>
        <w:spacing w:before="0" w:after="0" w:line="240" w:lineRule="auto"/>
        <w:rPr>
          <w:b/>
          <w:bCs/>
        </w:rPr>
      </w:pPr>
      <w:r>
        <w:rPr>
          <w:b/>
          <w:bCs/>
        </w:rPr>
        <w:br w:type="page"/>
      </w:r>
    </w:p>
    <w:p w14:paraId="74AF83D0" w14:textId="619071AC" w:rsidR="001536FC" w:rsidRDefault="00AB1BF4">
      <w:pPr>
        <w:pStyle w:val="BodyText"/>
      </w:pPr>
      <w:r>
        <w:rPr>
          <w:b/>
          <w:bCs/>
        </w:rPr>
        <w:lastRenderedPageBreak/>
        <w:t>Figure 8: Notification rates* per 100,000 population for RSV cases by state or territory and week of diagnosis, Australia, 1 January to 23 February 2025</w:t>
      </w:r>
    </w:p>
    <w:p w14:paraId="0C60BB6D" w14:textId="77777777" w:rsidR="001536FC" w:rsidRDefault="00AB1BF4">
      <w:pPr>
        <w:pStyle w:val="BodyText"/>
      </w:pPr>
      <w:r>
        <w:rPr>
          <w:noProof/>
        </w:rPr>
        <w:drawing>
          <wp:inline distT="0" distB="0" distL="0" distR="0" wp14:anchorId="42DC3029" wp14:editId="5F4D1153">
            <wp:extent cx="6184900" cy="2650671"/>
            <wp:effectExtent l="0" t="0" r="0" b="0"/>
            <wp:docPr id="52" name="Picture" descr="A line graph showing the notification rates per 100,000 population for RSV cases notified to the NNDSS, by state or territory in Australia, with diagnosis dates from 1 January to 23 February 2025. The y-axis (left) shows the rate of notified cases, and the x-axis (horizontal) shows the week of report. Across January, notification rates in most jurisdictions remained relatively stable, not exceeding 10 cases per 100,000 population per week, though notification rates in New South Wales were consistently increasing week-on-week. In the current reporting period (from 27 January to 23 February 2025), RSV notification rates were consistently increasing week-on-week in New South Wales and Queensland, from approximately 6 cases per 100,000 population per week to 12 cases per 100,000 population per week. RSV notification rates decreased in the Northern Territory, though some week-on-week increases observed. RSV notifications rates remained low and stable, not exceeding 4 cases per 100,000 population per week in other jurisdictions. In the current reporting period, RSV notification rates were highest in Queensland and New South Wales (about 10 cases per 100,000 population per week), while notification rates were lowest in Tasmania (about 2 cases per 100,000 population each).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3 February 2025. The y-axis (left) shows the rate of notified cases, and the x-axis (horizontal) shows the week of report. Across January, notification rates in most jurisdictions remained relatively stable, not exceeding 10 cases per 100,000 population per week, though notification rates in New South Wales were consistently increasing week-on-week. In the current reporting period (from 27 January to 23 February 2025), RSV notification rates were consistently increasing week-on-week in New South Wales and Queensland, from approximately 6 cases per 100,000 population per week to 12 cases per 100,000 population per week. RSV notification rates decreased in the Northern Territory, though some week-on-week increases observed. RSV notifications rates remained low and stable, not exceeding 4 cases per 100,000 population per week in other jurisdictions. In the current reporting period, RSV notification rates were highest in Queensland and New South Wales (about 10 cases per 100,000 population per week), while notification rates were lowest in Tasmania (about 2 cases per 100,000 population each).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602F79F" w14:textId="77777777" w:rsidR="001536FC" w:rsidRDefault="00AB1BF4">
      <w:pPr>
        <w:pStyle w:val="Smalltext"/>
      </w:pPr>
      <w:r>
        <w:t>Source: National Notifiable Diseases Surveillance System (NNDSS)</w:t>
      </w:r>
      <w:r>
        <w:br/>
        <w:t xml:space="preserve">* Rate per 100,000 population for the given time period. Population data are based on the Australian Bureau of Statistics (ABS) </w:t>
      </w:r>
      <w:hyperlink r:id="rId36">
        <w:r>
          <w:rPr>
            <w:rStyle w:val="Hyperlink"/>
          </w:rPr>
          <w:t>Estimated Resident Population (ERP) for the reference period June 2024, released 12 December 2024</w:t>
        </w:r>
      </w:hyperlink>
      <w:r>
        <w:t>.</w:t>
      </w:r>
      <w:r>
        <w:br/>
      </w:r>
    </w:p>
    <w:p w14:paraId="6AE28359" w14:textId="77777777" w:rsidR="001536FC" w:rsidRDefault="00AB1BF4">
      <w:r>
        <w:br w:type="page"/>
      </w:r>
    </w:p>
    <w:p w14:paraId="0ED5DF73" w14:textId="77777777" w:rsidR="001536FC" w:rsidRDefault="00AB1BF4">
      <w:pPr>
        <w:pStyle w:val="Heading1"/>
      </w:pPr>
      <w:bookmarkStart w:id="3" w:name="primary-care-surveillance"/>
      <w:bookmarkEnd w:id="2"/>
      <w:r>
        <w:lastRenderedPageBreak/>
        <w:t>Primary care surveillance</w:t>
      </w:r>
    </w:p>
    <w:p w14:paraId="3DEA0AD4" w14:textId="77777777" w:rsidR="001536FC" w:rsidRDefault="00AB1BF4">
      <w:r>
        <w:t>Primary care surveillance monitors the number and characteristics of people who have presented to their general practitioner with influenza-like-illness and provides insight on the different respiratory pathogens that are causing illness in the community.</w:t>
      </w:r>
    </w:p>
    <w:p w14:paraId="56AE4EDD" w14:textId="255C7D09" w:rsidR="001536FC" w:rsidRDefault="00AB1BF4" w:rsidP="00851DDA">
      <w:pPr>
        <w:numPr>
          <w:ilvl w:val="0"/>
          <w:numId w:val="18"/>
        </w:numPr>
      </w:pPr>
      <w:r>
        <w:t>Sentinel general practice surveillance indicates medical attendance for respiratory illness has decreased, though a variety of respiratory pathogens continue to circulate in the community, with rhinovirus and influenza being the most common.</w:t>
      </w:r>
    </w:p>
    <w:p w14:paraId="78146B0B" w14:textId="43341EE9" w:rsidR="001536FC" w:rsidRDefault="00AB1BF4" w:rsidP="00851DDA">
      <w:pPr>
        <w:numPr>
          <w:ilvl w:val="0"/>
          <w:numId w:val="18"/>
        </w:numPr>
      </w:pPr>
      <w:r>
        <w:t>This month (27 January to 23 February 2025), there were fewer general practice consultations for influenza-like illness (2.6 per 1,000 consultations per month) than in the previous month (3.3 per 1,000 consultations per month) (Figure 9).</w:t>
      </w:r>
    </w:p>
    <w:p w14:paraId="3BC87C94" w14:textId="35610BE6" w:rsidR="00090600" w:rsidRDefault="00090600" w:rsidP="004411D1">
      <w:pPr>
        <w:numPr>
          <w:ilvl w:val="0"/>
          <w:numId w:val="18"/>
        </w:numPr>
      </w:pPr>
      <w:r w:rsidRPr="00090600">
        <w:t xml:space="preserve">The rate of influenza-like-illness was above </w:t>
      </w:r>
      <w:r w:rsidR="002B04C2">
        <w:t>four</w:t>
      </w:r>
      <w:r w:rsidR="002B04C2" w:rsidRPr="00090600">
        <w:t xml:space="preserve"> </w:t>
      </w:r>
      <w:r w:rsidRPr="00090600">
        <w:t>per 1,000 consultations in the first weeks of 2025; however, has since decreased and is now consistent with the rate of influenza-like-illness observed at the same time last year (Figure 9)</w:t>
      </w:r>
      <w:r w:rsidR="002C27D3">
        <w:t>.</w:t>
      </w:r>
    </w:p>
    <w:p w14:paraId="520028C8" w14:textId="1628D696" w:rsidR="00A6081E" w:rsidRDefault="00A6081E" w:rsidP="00851DDA">
      <w:pPr>
        <w:numPr>
          <w:ilvl w:val="0"/>
          <w:numId w:val="18"/>
        </w:numPr>
      </w:pPr>
      <w:r w:rsidRPr="00A6081E">
        <w:t>Like the same period in 2024, influenza-like-illness rates this month remain slightly higher than observed in at the same time in previous years and the five-year average (Figure 9).</w:t>
      </w:r>
      <w:r w:rsidR="00E5028F">
        <w:br/>
      </w:r>
    </w:p>
    <w:p w14:paraId="4B7F2DCB" w14:textId="77777777" w:rsidR="001536FC" w:rsidRDefault="00AB1BF4">
      <w:r>
        <w:rPr>
          <w:b/>
          <w:bCs/>
        </w:rPr>
        <w:t>Figure 9: Rate of influenza-like-illness per 1,000 consultations per week with sentinel general practice sites compared with the five-year average by year and week of consultation*</w:t>
      </w:r>
      <w:r>
        <w:rPr>
          <w:b/>
          <w:bCs/>
          <w:vertAlign w:val="superscript"/>
        </w:rPr>
        <w:t>†</w:t>
      </w:r>
      <w:r>
        <w:rPr>
          <w:b/>
          <w:bCs/>
        </w:rPr>
        <w:t>, Australia, 2022 to 23 February 2025</w:t>
      </w:r>
    </w:p>
    <w:p w14:paraId="690CB07E" w14:textId="31B721EA" w:rsidR="001536FC" w:rsidRDefault="00B102F3">
      <w:pPr>
        <w:pStyle w:val="BodyText"/>
      </w:pPr>
      <w:r>
        <w:rPr>
          <w:noProof/>
        </w:rPr>
        <w:drawing>
          <wp:inline distT="0" distB="0" distL="0" distR="0" wp14:anchorId="43262998" wp14:editId="1E7FC39E">
            <wp:extent cx="6184900" cy="2650671"/>
            <wp:effectExtent l="0" t="0" r="0" b="0"/>
            <wp:docPr id="56" name="Picture" descr="A line graph comparing the rate of influenza-like-illness per 1,000 consultations per week at sentinel general practice sites from 1 January 2022 up to 23 February 2025 compared with the interrupted five-year range of 2018–2019 and 2022–2024.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e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es per 1,000 consultations per week. In 2024, the rate of influenza-like-illness fluctuated from January to April with some week-on-week increases observed, then from late April  followed a generally increasing trend until a peak at 13 influenza-like-illnesses per 1,000 consultations per week in July and again in August 2024. In 2024, the rate of influenza-like-illness remained higher than most of the corresponding weeks of the interrupted five-year average. Following an increase in the rate of influenza-like-illness in late 2024, the rate of influenza-like-illness decreased to about 3.5 influenza-like-illnesses per 1,000 consultations per week in early-January 2025. In the current reporting period (27 January to 23 February 2025), the rate of influenza-like-illness has remained stable and similar to the rate of influenza-like-illness observed in the same period in 2024, though above the interrupted five-year average.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1 January 2022 up to 23 February 2025 compared with the interrupted five-year range of 2018–2019 and 2022–2024.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e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es per 1,000 consultations per week. In 2024, the rate of influenza-like-illness fluctuated from January to April with some week-on-week increases observed, then from late April  followed a generally increasing trend until a peak at 13 influenza-like-illnesses per 1,000 consultations per week in July and again in August 2024. In 2024, the rate of influenza-like-illness remained higher than most of the corresponding weeks of the interrupted five-year average. Following an increase in the rate of influenza-like-illness in late 2024, the rate of influenza-like-illness decreased to about 3.5 influenza-like-illnesses per 1,000 consultations per week in early-January 2025. In the current reporting period (27 January to 23 February 2025), the rate of influenza-like-illness has remained stable and similar to the rate of influenza-like-illness observed in the same period in 2024, though above the interrupted five-year average.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6DBB342" w14:textId="5D7A5BF6" w:rsidR="00811656" w:rsidRDefault="00AB1BF4">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Pr>
            <w:rStyle w:val="Hyperlink"/>
          </w:rPr>
          <w:t>Technical Supplement</w:t>
        </w:r>
      </w:hyperlink>
      <w:r>
        <w:t xml:space="preserve"> for interpretation of the five-year average.</w:t>
      </w:r>
      <w:r>
        <w:br/>
        <w:t xml:space="preserve">† Please refer to the </w:t>
      </w:r>
      <w:hyperlink r:id="rId40">
        <w:r>
          <w:rPr>
            <w:rStyle w:val="Hyperlink"/>
          </w:rPr>
          <w:t>Technical Supplement</w:t>
        </w:r>
      </w:hyperlink>
      <w:r>
        <w:t xml:space="preserve"> for notes on impact of COVID-19 on ASPREN data.</w:t>
      </w:r>
      <w:r>
        <w:br/>
      </w:r>
    </w:p>
    <w:p w14:paraId="3A26E407" w14:textId="77777777" w:rsidR="00811656" w:rsidRDefault="00811656">
      <w:pPr>
        <w:spacing w:before="0" w:after="0" w:line="240" w:lineRule="auto"/>
        <w:rPr>
          <w:sz w:val="14"/>
        </w:rPr>
      </w:pPr>
      <w:r>
        <w:br w:type="page"/>
      </w:r>
    </w:p>
    <w:p w14:paraId="2A7173F6" w14:textId="77777777" w:rsidR="001536FC" w:rsidRDefault="001536FC">
      <w:pPr>
        <w:pStyle w:val="Smalltext"/>
      </w:pPr>
    </w:p>
    <w:p w14:paraId="3E1C3357" w14:textId="77777777" w:rsidR="00811656" w:rsidRDefault="00AB1BF4" w:rsidP="00851DDA">
      <w:pPr>
        <w:numPr>
          <w:ilvl w:val="0"/>
          <w:numId w:val="19"/>
        </w:numPr>
      </w:pPr>
      <w:r>
        <w:t xml:space="preserve">In the year to date, 65.5% (114/174) of people attending general practice with influenza-like-illness have then tested positive for a respiratory pathogen. </w:t>
      </w:r>
    </w:p>
    <w:p w14:paraId="5578AA84" w14:textId="1915B271" w:rsidR="001536FC" w:rsidRDefault="00DF1ADB" w:rsidP="00851DDA">
      <w:pPr>
        <w:numPr>
          <w:ilvl w:val="0"/>
          <w:numId w:val="19"/>
        </w:numPr>
      </w:pPr>
      <w:r w:rsidRPr="00811656">
        <w:t xml:space="preserve">Rhinovirus </w:t>
      </w:r>
      <w:r w:rsidR="00AB1BF4" w:rsidRPr="00811656">
        <w:t>(</w:t>
      </w:r>
      <w:r w:rsidR="00811656" w:rsidRPr="00811656">
        <w:t>34</w:t>
      </w:r>
      <w:r w:rsidR="00AB1BF4" w:rsidRPr="00811656">
        <w:t>.</w:t>
      </w:r>
      <w:r w:rsidR="00811656" w:rsidRPr="00811656">
        <w:t>2</w:t>
      </w:r>
      <w:r w:rsidR="00AB1BF4" w:rsidRPr="00811656">
        <w:t>%; 39/114) was the most commonly detected</w:t>
      </w:r>
      <w:r w:rsidR="00811656">
        <w:t xml:space="preserve"> pathogen</w:t>
      </w:r>
      <w:r w:rsidR="00AB1BF4" w:rsidRPr="00811656">
        <w:t>, followed by influenza (</w:t>
      </w:r>
      <w:r w:rsidR="00811656" w:rsidRPr="00811656">
        <w:t>2</w:t>
      </w:r>
      <w:r w:rsidR="00AB1BF4" w:rsidRPr="00811656">
        <w:t>1.</w:t>
      </w:r>
      <w:r w:rsidR="00811656" w:rsidRPr="00811656">
        <w:t>1</w:t>
      </w:r>
      <w:r w:rsidR="00AB1BF4" w:rsidRPr="00811656">
        <w:t>%; 24/114),</w:t>
      </w:r>
      <w:r w:rsidR="00AB1BF4" w:rsidRPr="00D767C7">
        <w:t xml:space="preserve"> SARS-CoV-2 (</w:t>
      </w:r>
      <w:r w:rsidR="00D767C7" w:rsidRPr="00D767C7">
        <w:t>2</w:t>
      </w:r>
      <w:r w:rsidR="00AB1BF4" w:rsidRPr="00D767C7">
        <w:t>0.</w:t>
      </w:r>
      <w:r w:rsidR="00D767C7" w:rsidRPr="00D767C7">
        <w:t>2</w:t>
      </w:r>
      <w:r w:rsidR="00AB1BF4" w:rsidRPr="00D767C7">
        <w:t xml:space="preserve">%; 23/114), </w:t>
      </w:r>
      <w:r w:rsidR="00AB1BF4" w:rsidRPr="00603F71">
        <w:t>RSV (</w:t>
      </w:r>
      <w:r w:rsidR="00603F71" w:rsidRPr="00603F71">
        <w:t>6</w:t>
      </w:r>
      <w:r w:rsidR="00AB1BF4" w:rsidRPr="00603F71">
        <w:t xml:space="preserve">.1%; 7/114), and human metapneumovirus </w:t>
      </w:r>
      <w:r w:rsidR="00AB1BF4" w:rsidRPr="00F33851">
        <w:t>(</w:t>
      </w:r>
      <w:r w:rsidR="00F33851" w:rsidRPr="00F33851">
        <w:t>6</w:t>
      </w:r>
      <w:r w:rsidR="00AB1BF4" w:rsidRPr="00F33851">
        <w:t>.1%; 7/114) (Figure 10).</w:t>
      </w:r>
    </w:p>
    <w:p w14:paraId="113264FF" w14:textId="0106BD75" w:rsidR="001536FC" w:rsidRDefault="001536FC"/>
    <w:p w14:paraId="55593259" w14:textId="77777777" w:rsidR="001536FC" w:rsidRDefault="00AB1BF4">
      <w:r>
        <w:rPr>
          <w:b/>
          <w:bCs/>
        </w:rPr>
        <w:t>Figure 10: Number of samples tested for respiratory pathogens among people with influenza-like-illness attending sentinel general practice sites by respiratory pathogen and week of specimen collection, Australia, 1 January to 23 February 2025</w:t>
      </w:r>
    </w:p>
    <w:p w14:paraId="59ED6483" w14:textId="77777777" w:rsidR="001536FC" w:rsidRDefault="00AB1BF4">
      <w:pPr>
        <w:pStyle w:val="BodyText"/>
      </w:pPr>
      <w:r>
        <w:rPr>
          <w:noProof/>
        </w:rPr>
        <w:drawing>
          <wp:inline distT="0" distB="0" distL="0" distR="0" wp14:anchorId="747D5A52" wp14:editId="3FD51CF2">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The y-axis (left) is the number of samples tested, and the x-axis (horizontal) shows the week of specimen collection. Each bar is divided into colour-coded sections corresponding to different respiratory pathogens, as well as negative test results in light grey. In the year to date, the number of positive tests has not exceeded 22 positive tests per week and rhinovirus/enterovirus was the most commonly detected respiratory pathogen. In the current reporting period (27 January to 23 February 2025), the number of positive tests ranged from approximately 7–21 positive tests per week. In the current reporting period, rhinovirus/enterovirus and influenza were the mostly commonly detected respiratory pathogens.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The y-axis (left) is the number of samples tested, and the x-axis (horizontal) shows the week of specimen collection. Each bar is divided into colour-coded sections corresponding to different respiratory pathogens, as well as negative test results in light grey. In the year to date, the number of positive tests has not exceeded 22 positive tests per week and rhinovirus/enterovirus was the most commonly detected respiratory pathogen. In the current reporting period (27 January to 23 February 2025), the number of positive tests ranged from approximately 7–21 positive tests per week. In the current reporting period, rhinovirus/enterovirus and influenza were the mostly commonly detected respiratory pathogens.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335C9D0" w14:textId="77777777" w:rsidR="001536FC" w:rsidRDefault="00AB1BF4">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418BEA55" w14:textId="77777777" w:rsidR="001536FC" w:rsidRDefault="00AB1BF4">
      <w:r>
        <w:br w:type="page"/>
      </w:r>
    </w:p>
    <w:p w14:paraId="2FA99A72" w14:textId="77777777" w:rsidR="001536FC" w:rsidRDefault="00AB1BF4">
      <w:pPr>
        <w:pStyle w:val="Heading1"/>
      </w:pPr>
      <w:bookmarkStart w:id="4" w:name="hospital-based-surveillance"/>
      <w:bookmarkEnd w:id="3"/>
      <w:r>
        <w:lastRenderedPageBreak/>
        <w:t>Hospital-based surveillance</w:t>
      </w:r>
    </w:p>
    <w:p w14:paraId="1896D08C" w14:textId="77777777" w:rsidR="001536FC" w:rsidRDefault="00AB1BF4">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6CCB491F" w14:textId="1FD9FF1E" w:rsidR="001536FC" w:rsidRDefault="00AB1BF4" w:rsidP="00851DDA">
      <w:pPr>
        <w:numPr>
          <w:ilvl w:val="0"/>
          <w:numId w:val="20"/>
        </w:numPr>
      </w:pPr>
      <w:r>
        <w:t>Sentinel hospital-based surveillance shows the number of patients admitted with severe acute respiratory infections has remained low and stable. The length of hospital stay varies only slightly between illnesses and the proportion of patients with a severe acute respiratory infection who were admitted directly to an intensive care has remained low.</w:t>
      </w:r>
    </w:p>
    <w:p w14:paraId="4DC1284A" w14:textId="2A387092" w:rsidR="001536FC" w:rsidRDefault="00AB1BF4" w:rsidP="00851DDA">
      <w:pPr>
        <w:numPr>
          <w:ilvl w:val="0"/>
          <w:numId w:val="20"/>
        </w:numPr>
      </w:pPr>
      <w:r>
        <w:t>In this severity reporting period (13 January to 9 February 2025), fewer patients were admitted to a sentinel hospital with a severe acute respiratory infection (n = 535), than in the previous severity reporting period (n = 682).</w:t>
      </w:r>
    </w:p>
    <w:p w14:paraId="02AD8039" w14:textId="430DB699" w:rsidR="001536FC" w:rsidRDefault="00AB1BF4" w:rsidP="0098587E">
      <w:pPr>
        <w:numPr>
          <w:ilvl w:val="0"/>
          <w:numId w:val="20"/>
        </w:numPr>
      </w:pPr>
      <w:r>
        <w:t>In the year to date for severity reporting (1 January to 9 February 2025),</w:t>
      </w:r>
      <w:r w:rsidR="008443ED">
        <w:t xml:space="preserve"> </w:t>
      </w:r>
      <w:r>
        <w:t>most patients with a severe acute respiratory infection were admitted</w:t>
      </w:r>
      <w:r w:rsidR="008F19C7">
        <w:t xml:space="preserve"> to a sentinel hospital</w:t>
      </w:r>
      <w:r>
        <w:t xml:space="preserve"> with COVID-19 (Figure 11).</w:t>
      </w:r>
      <w:r w:rsidR="0098587E">
        <w:t xml:space="preserve"> </w:t>
      </w:r>
      <w:r>
        <w:t xml:space="preserve">Patients admitted to sentinel hospitals with influenza have mostly been admitted with influenza A </w:t>
      </w:r>
      <w:r w:rsidR="008F19C7">
        <w:t>(</w:t>
      </w:r>
      <w:r>
        <w:t>83.8%</w:t>
      </w:r>
      <w:r w:rsidR="008F19C7">
        <w:t>;</w:t>
      </w:r>
      <w:r>
        <w:t xml:space="preserve"> 217/259), while 16.2% (42/259) were admitted with influenza B.</w:t>
      </w:r>
    </w:p>
    <w:p w14:paraId="551CC5D3" w14:textId="414E0775" w:rsidR="001536FC" w:rsidRDefault="00AB1BF4" w:rsidP="00851DDA">
      <w:pPr>
        <w:numPr>
          <w:ilvl w:val="1"/>
          <w:numId w:val="21"/>
        </w:numPr>
      </w:pPr>
      <w:r>
        <w:t>Most hospital admissions with influenza A have been with influenza A(Unsubtyped) (92.6%; 201/217), followed by influenza A(H1N1) (5.5%; 12/217), and influenza A(H3N2) (1.8%; 4/217).</w:t>
      </w:r>
      <w:r w:rsidR="00E5028F">
        <w:br/>
      </w:r>
    </w:p>
    <w:p w14:paraId="4BDE158F" w14:textId="77777777" w:rsidR="001536FC" w:rsidRDefault="00AB1BF4">
      <w:r>
        <w:rPr>
          <w:b/>
          <w:bCs/>
        </w:rPr>
        <w:t>Figure 11: Total number of patients (children and adults) admitted with a severe acute respiratory infection to sentinel hospitals by disease and week of admission*</w:t>
      </w:r>
      <w:r>
        <w:rPr>
          <w:b/>
          <w:bCs/>
          <w:vertAlign w:val="superscript"/>
        </w:rPr>
        <w:t>†‡</w:t>
      </w:r>
      <w:r>
        <w:rPr>
          <w:b/>
          <w:bCs/>
        </w:rPr>
        <w:t>, Australia, 1 January to 9 February 2025</w:t>
      </w:r>
    </w:p>
    <w:p w14:paraId="21EDDAA1" w14:textId="77777777" w:rsidR="001536FC" w:rsidRDefault="00AB1BF4">
      <w:pPr>
        <w:pStyle w:val="BodyText"/>
      </w:pPr>
      <w:r>
        <w:rPr>
          <w:noProof/>
        </w:rPr>
        <w:drawing>
          <wp:inline distT="0" distB="0" distL="0" distR="0" wp14:anchorId="59C02BEB" wp14:editId="569F74C1">
            <wp:extent cx="6184900" cy="2650671"/>
            <wp:effectExtent l="0" t="0" r="0" b="0"/>
            <wp:docPr id="63" name="Picture" descr="A stacked bar chart showing the number of patients admitted with a severe acute respiratory infection to sentinel hospitals by disease and week of admission in Australia, from 1 January to 9 February 2025. The y-axis (left) shows the number of admissions, and the x-axis (horizontal) shows the week of admission. In the year to date, the number of patients admitted to sentinel hospitals with a severe acute respiratory has remained relatively stable, with the number of admissions not exceeding 140 patients per week. In the year to date, there has been an overall decreasing trend in the number of patients with COVID-19 (with some slight week-on-week increases observed) from approximately 80 patients per week in early January to approximately 50 patients per week in mid-February. In the year to date, the number of patients with influenza, has remained relatively stable with approximately 20 patients per week admitted. In the year to date, there has been an increasing trend in the number of patients with RSV from approximately 10 patients per week in early January 2025 to approximately 30 patients per week in mid-February 2025.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9 February 2025. The y-axis (left) shows the number of admissions, and the x-axis (horizontal) shows the week of admission. In the year to date, the number of patients admitted to sentinel hospitals with a severe acute respiratory has remained relatively stable, with the number of admissions not exceeding 140 patients per week. In the year to date, there has been an overall decreasing trend in the number of patients with COVID-19 (with some slight week-on-week increases observed) from approximately 80 patients per week in early January to approximately 50 patients per week in mid-February. In the year to date, the number of patients with influenza, has remained relatively stable with approximately 20 patients per week admitted. In the year to date, there has been an increasing trend in the number of patients with RSV from approximately 10 patients per week in early January 2025 to approximately 30 patients per week in mid-February 2025.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CE9177F" w14:textId="77777777" w:rsidR="001536FC" w:rsidRDefault="00AB1BF4">
      <w:pPr>
        <w:pStyle w:val="Smalltext"/>
      </w:pPr>
      <w:r>
        <w:t>Source: Influenza Complications Alert Network (FluCAN)</w:t>
      </w:r>
      <w:r>
        <w:br/>
      </w:r>
    </w:p>
    <w:p w14:paraId="55374824" w14:textId="77777777" w:rsidR="001536FC" w:rsidRDefault="00AB1BF4">
      <w:r>
        <w:br w:type="page"/>
      </w:r>
    </w:p>
    <w:p w14:paraId="44D76139" w14:textId="441AE38B" w:rsidR="001536FC" w:rsidRDefault="00AB1BF4" w:rsidP="00851DDA">
      <w:pPr>
        <w:numPr>
          <w:ilvl w:val="0"/>
          <w:numId w:val="22"/>
        </w:numPr>
      </w:pPr>
      <w:r>
        <w:lastRenderedPageBreak/>
        <w:t xml:space="preserve">In the year to date for severity reporting, </w:t>
      </w:r>
      <w:r w:rsidR="004C3EF5">
        <w:t xml:space="preserve">slightly </w:t>
      </w:r>
      <w:r>
        <w:t xml:space="preserve">more children (those aged 16 years and younger) were admitted with influenza </w:t>
      </w:r>
      <w:r w:rsidR="00E52FD4">
        <w:t>and</w:t>
      </w:r>
      <w:r>
        <w:t xml:space="preserve"> RSV </w:t>
      </w:r>
      <w:r w:rsidR="00ED7AAD">
        <w:t xml:space="preserve">than with COVID-19 </w:t>
      </w:r>
      <w:r>
        <w:t>at sentinel hospitals (Table 2a).</w:t>
      </w:r>
    </w:p>
    <w:p w14:paraId="15B9A0E0" w14:textId="0022EA98" w:rsidR="001536FC" w:rsidRDefault="00AB1BF4" w:rsidP="00851DDA">
      <w:pPr>
        <w:numPr>
          <w:ilvl w:val="0"/>
          <w:numId w:val="22"/>
        </w:numPr>
      </w:pPr>
      <w:r>
        <w:t>Children admitted to sentinel hospitals with influenza tended to be older than children admitted with COVID-19 or RSV</w:t>
      </w:r>
      <w:r w:rsidR="00386C8C">
        <w:t>,</w:t>
      </w:r>
      <w:r>
        <w:t xml:space="preserve"> who were predominately aged </w:t>
      </w:r>
      <w:r w:rsidR="00386C8C">
        <w:t xml:space="preserve">four </w:t>
      </w:r>
      <w:r>
        <w:t>years or younger (Table 2a).</w:t>
      </w:r>
    </w:p>
    <w:p w14:paraId="0D5D6AB3" w14:textId="5B1885E8" w:rsidR="001536FC" w:rsidRDefault="00AB1BF4" w:rsidP="00851DDA">
      <w:pPr>
        <w:numPr>
          <w:ilvl w:val="0"/>
          <w:numId w:val="22"/>
        </w:numPr>
      </w:pPr>
      <w:r>
        <w:t>There was no notable difference in the length of stay or admission location (general ward or intensive care) between children admitted with COVID-19, influenza and RSV (Table 2a).</w:t>
      </w:r>
      <w:r w:rsidR="00E5028F">
        <w:br/>
      </w:r>
    </w:p>
    <w:p w14:paraId="53D306C7" w14:textId="77777777" w:rsidR="001536FC" w:rsidRDefault="00AB1BF4">
      <w:r>
        <w:rPr>
          <w:b/>
          <w:bCs/>
        </w:rPr>
        <w:t>Table 2a: Demographic characteristics and outcomes for children admitted with a severe acute respiratory infection to a sentinel hospital by disease, Australia, 1 January to 9 February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2025 to 9 February 2025). For patients who are still in hospital data may not be complete; therefore, these data are not included in the length of stay or discharge status. In addition, length of stay data excludes patients that acquired their infection in hospital.&#10;In the year to date for severity reporting, for children admitted to sentinel hospitals with COVID-19 (n=142), the median age was less than 1 year (interquartile range [IQR]: 0–2 years), 38.0% (54/142) were under the age of 6 months, 45.1% (64/142) were in the age range of 6 months to 4 years, and 16.9% (24/142) were in the age range of 5 to 16 years. 12.0% (17/142) of children identified as Aboriginal and Torres Strait Islander. For children admitted to sentinel hospitals with COVID-19, the median length of hospital stay was 1 days (IQR: 1–2 days), and 94.4% (134/142) were admitted to a hospital ward, while 5.6% (8/142) were admitted directly to intensive care. For children admitted to sentinel hospitals with COVID-19, 71.1% (101/142) were discharged alive and no deaths were reported.  &#10;In the year to date for severity reporting, for children admitted to sentinel hospitals with influenza (n=157), the median age was 4 years (IQR 2–8 years), 2.5% (4/157) were under the age of 6 months, 51.0% (80/157) were in the age range of 6 months to 4 years, and 46.5% (73/157) were in the age range of 5 to 16 years. 2.5% (4/157) of children identified as Aboriginal and Torres Strait Islander. For children admitted to sentinel hospitals with influenza, the median length of hospital stay was 1 days (IQR: 1–2 days), and 96.8% (152/157) were admitted to a hospital ward, while 3.2% (5/157) were admitted directly to intensive care. For children admitted to sentinel hospitals with influenza, 82.8 (130/157) were discharged alive and no deaths were reported.&#10;In the year to date for severity reporting, for children admitted to sentinel hospitals with RSV (n=150), the median age was 1 year (IQR: 0–2 years), 22.0% (33/150) were under the age of 6 months, 69.3% (104/150) were in the age range of 6 months to 4 years, and 8.7% (13/150) were in the age range of 5 to 16 years. 8.0% (12/150) of children identified as Aboriginal and Torres Strait Islander. For children admitted to sentinel hospitals with RSV, the median length of hospital stay was 2 days (IQR: 1–3 days), and 96.0% (144/150)  were admitted to a hospital ward, while 4.0% (6/150) were admitted directly to intensive care. For children admitted to sentinel hospitals with RSV, 66.7% (100/150) were discharged alive and no deaths were reported.&#10;"/>
      </w:tblPr>
      <w:tblGrid>
        <w:gridCol w:w="3614"/>
        <w:gridCol w:w="2046"/>
        <w:gridCol w:w="2046"/>
        <w:gridCol w:w="2046"/>
      </w:tblGrid>
      <w:tr w:rsidR="001536FC" w14:paraId="79778D9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B7F182"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B8F3A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68F9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36CD8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1536FC" w14:paraId="421E45E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7F694A"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F725E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(n=142)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7610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51686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(n=150)</w:t>
            </w:r>
          </w:p>
        </w:tc>
      </w:tr>
      <w:tr w:rsidR="001536FC" w14:paraId="43B6386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6C81A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536FC" w14:paraId="4BA0B4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FDB9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B7B420" w14:textId="7FAF1889" w:rsidR="001536FC" w:rsidRDefault="00204CF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&lt;1</w:t>
            </w:r>
            <w:r w:rsidR="00AB1BF4">
              <w:rPr>
                <w:rFonts w:eastAsia="Arial" w:cs="Arial"/>
                <w:color w:val="033636"/>
                <w:sz w:val="14"/>
                <w:szCs w:val="14"/>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617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E347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1536FC" w14:paraId="22A92FA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3A179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1536FC" w14:paraId="60F42D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56A3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980D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54 (38.0%)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FF0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099A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 (22.0%)</w:t>
            </w:r>
          </w:p>
        </w:tc>
      </w:tr>
      <w:tr w:rsidR="001536FC" w14:paraId="0012243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F0FC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C54F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 (45.1%)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4C9F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 (51.0%)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41B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104 (69.3%)</w:t>
            </w:r>
          </w:p>
        </w:tc>
      </w:tr>
      <w:tr w:rsidR="001536FC" w14:paraId="03B376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39DE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D9DE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 (16.9%)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F9F7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5EF2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 (8.7%)</w:t>
            </w:r>
          </w:p>
        </w:tc>
      </w:tr>
      <w:tr w:rsidR="001536FC" w14:paraId="61C3685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D0C28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536FC" w14:paraId="1E9EDE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87C84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9FA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C8DC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877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(8.0%)</w:t>
            </w:r>
          </w:p>
        </w:tc>
      </w:tr>
      <w:tr w:rsidR="001536FC" w14:paraId="2599717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C3CCE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1536FC" w14:paraId="3DFA8F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2EC7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6BCA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90B66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B15AF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1536FC" w14:paraId="123CE9C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6A1F3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1536FC" w14:paraId="38D4EA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1853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C01D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134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2AD49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152 (96.8%)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A1E3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144 (96.0%)</w:t>
            </w:r>
          </w:p>
        </w:tc>
      </w:tr>
      <w:tr w:rsidR="001536FC" w14:paraId="570020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4AD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F3FE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3C8C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9585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(4.0%)</w:t>
            </w:r>
          </w:p>
        </w:tc>
      </w:tr>
      <w:tr w:rsidR="001536FC" w14:paraId="537A86B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EDE51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1536FC" w14:paraId="4E69C56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EC86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AB4B3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101 (71.1%)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2875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130 (82.8%)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E7A6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100 (66.7%)</w:t>
            </w:r>
          </w:p>
        </w:tc>
      </w:tr>
      <w:tr w:rsidR="001536FC" w14:paraId="64E042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735B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5A9B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DB1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3967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1536FC" w14:paraId="56E65A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878B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CDF2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 (28.9%)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A86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8969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 (33.3%)</w:t>
            </w:r>
          </w:p>
        </w:tc>
      </w:tr>
    </w:tbl>
    <w:p w14:paraId="5E188E57" w14:textId="77777777" w:rsidR="001536FC" w:rsidRDefault="00AB1BF4">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6F198A9A" w14:textId="77777777" w:rsidR="001536FC" w:rsidRDefault="00AB1BF4">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Influenza Complications Alert Network (FluCAN) data. For additional information on </w:t>
      </w:r>
      <w:hyperlink r:id="rId45">
        <w:r>
          <w:rPr>
            <w:rStyle w:val="Hyperlink"/>
          </w:rPr>
          <w:t>COVID-19 in children</w:t>
        </w:r>
      </w:hyperlink>
      <w:r>
        <w:t xml:space="preserve">, </w:t>
      </w:r>
      <w:hyperlink r:id="rId46">
        <w:r>
          <w:rPr>
            <w:rStyle w:val="Hyperlink"/>
          </w:rPr>
          <w:t>Paediatric Inflammatory Multisystem Syndrome (PIMS-TS) following COVID-19</w:t>
        </w:r>
      </w:hyperlink>
      <w:r>
        <w:t xml:space="preserve">, or </w:t>
      </w:r>
      <w:hyperlink r:id="rId47">
        <w:r>
          <w:rPr>
            <w:rStyle w:val="Hyperlink"/>
          </w:rPr>
          <w:t>influenza in children</w:t>
        </w:r>
      </w:hyperlink>
      <w:r>
        <w:t xml:space="preserve"> please visit the </w:t>
      </w:r>
      <w:hyperlink r:id="rId48">
        <w:r>
          <w:rPr>
            <w:rStyle w:val="Hyperlink"/>
          </w:rPr>
          <w:t>PAEDS</w:t>
        </w:r>
      </w:hyperlink>
      <w:r>
        <w:t xml:space="preserve"> webpages and dashboards.</w:t>
      </w:r>
    </w:p>
    <w:p w14:paraId="41E71E78" w14:textId="77777777" w:rsidR="001536FC" w:rsidRDefault="00AB1BF4">
      <w:r>
        <w:br w:type="page"/>
      </w:r>
    </w:p>
    <w:p w14:paraId="5A88CA6B" w14:textId="3C673A14" w:rsidR="001536FC" w:rsidRDefault="00AB1BF4" w:rsidP="00851DDA">
      <w:pPr>
        <w:numPr>
          <w:ilvl w:val="0"/>
          <w:numId w:val="23"/>
        </w:numPr>
      </w:pPr>
      <w:r>
        <w:lastRenderedPageBreak/>
        <w:t>In the year to date for severity reporting, the number of adults (those aged 16 years and over) admitted with COVID-19 to sentinel hospitals was much higher than for either influenza or RSV (Table 2b).</w:t>
      </w:r>
    </w:p>
    <w:p w14:paraId="46D394A7" w14:textId="25ADC317" w:rsidR="00162640" w:rsidRDefault="00162640" w:rsidP="00851DDA">
      <w:pPr>
        <w:numPr>
          <w:ilvl w:val="0"/>
          <w:numId w:val="23"/>
        </w:numPr>
      </w:pPr>
      <w:r w:rsidRPr="00162640">
        <w:t xml:space="preserve">Adults admitted to sentinel hospitals with COVID-19 </w:t>
      </w:r>
      <w:r w:rsidR="00DF0BD0">
        <w:t xml:space="preserve">or RSV </w:t>
      </w:r>
      <w:r w:rsidRPr="00162640">
        <w:t xml:space="preserve">were predominantly 65 years and </w:t>
      </w:r>
      <w:r w:rsidR="00ED2E67">
        <w:t>over</w:t>
      </w:r>
      <w:r w:rsidRPr="00162640">
        <w:t>. Influenza admissions were similar across both the 17</w:t>
      </w:r>
      <w:r w:rsidR="00ED4A0E">
        <w:t>–</w:t>
      </w:r>
      <w:r w:rsidRPr="00162640">
        <w:t>64 and 65</w:t>
      </w:r>
      <w:r>
        <w:t xml:space="preserve"> </w:t>
      </w:r>
      <w:r w:rsidR="00FB7F1E">
        <w:t>years and over</w:t>
      </w:r>
      <w:r w:rsidRPr="00162640">
        <w:t xml:space="preserve"> age groups(Table 2b).</w:t>
      </w:r>
    </w:p>
    <w:p w14:paraId="0764642A" w14:textId="16220381" w:rsidR="001536FC" w:rsidRDefault="00AB1BF4" w:rsidP="00851DDA">
      <w:pPr>
        <w:numPr>
          <w:ilvl w:val="0"/>
          <w:numId w:val="23"/>
        </w:numPr>
      </w:pPr>
      <w:r>
        <w:t xml:space="preserve">Adults with COVID-19 and influenza admitted to sentinel hospitals were more unwell than adults with RSV. The length of stay for adults admitted with COVID-19 was longer than for </w:t>
      </w:r>
      <w:r w:rsidR="009C5001">
        <w:t xml:space="preserve">influenza </w:t>
      </w:r>
      <w:r w:rsidR="000C02C1">
        <w:t xml:space="preserve">and </w:t>
      </w:r>
      <w:r>
        <w:t>RSV, and the proportion of adults admitted directly to an intensive care was</w:t>
      </w:r>
      <w:r w:rsidR="008764DA">
        <w:t xml:space="preserve"> considerably</w:t>
      </w:r>
      <w:r>
        <w:t xml:space="preserve"> higher for influenza (Table 2b).</w:t>
      </w:r>
      <w:r w:rsidR="00E5028F">
        <w:br/>
      </w:r>
    </w:p>
    <w:p w14:paraId="31634553" w14:textId="77777777" w:rsidR="001536FC" w:rsidRDefault="00AB1BF4">
      <w:r>
        <w:rPr>
          <w:b/>
          <w:bCs/>
        </w:rPr>
        <w:t>Table 2b: Demographic characteristics and outcomes for adults admitted with a severe acute respiratory infection to a sentinel hospital by disease, Australia, 1 January to 9 February 2025</w:t>
      </w:r>
    </w:p>
    <w:tbl>
      <w:tblPr>
        <w:tblW w:w="5000" w:type="pct"/>
        <w:jc w:val="center"/>
        <w:tblLook w:val="0420" w:firstRow="1" w:lastRow="0" w:firstColumn="0" w:lastColumn="0" w:noHBand="0" w:noVBand="1"/>
        <w:tblDescription w:val="A table summarising demographic characteristics and outcomes for adults (16 years or older) admitted with admitted with a severe acute respiratory infection to a sentinel hospital by disease, for the year to date (1 January to 9 February 2025). For patients who are still in hospital data may not be complete; therefore, these data are not included in the length of stay or discharge status. In addition, length of stay data excludes patients that acquired their infection in hospital.&#10;In the year to date for severity reporting, for adults admitted to sentinel hospitals with COVID-19 (n=223), the median age was 75 years (interquartile range [IQR]: 62–82 years), 30.5% (68/223) were aged 17–64 years, and 69.5% (155/223) were 65 years or older. 8.5% (19/223) of adults identified as Aboriginal and Torres Strait Islander. For adults admitted to sentinel hospitals with COVID-19, the median length of hospital stay was 4 days (IQR: 2–6 days) and 93.7% (209/223) of adults were admitted to a hospital ward, while 6.3% (14/223) were admitted directly to intensive care. For adults admitted to sentinel hospitals with COVID-19, 62.8% (140/223) were discharged alive and 2.2% (5/223) died.&#10;In the year to date for severity reporting, for adults admitted to sentinel hospitals with influenza (n=102), the median age was 64 years (IQR: 51–76 years), 52.0% (53/102) were in the aged 17–64 years, and 48.0% (49/102) were 65 years or older. 2.9% (3/102) of adults identified as Aboriginal and Torres Strait Islander. For adults admitted to sentinel hospitals with influenza, the median length of hospital stay was 3 days (IQR: 1–5 days) and 87.3% (89/102) of adults were admitted to a hospital ward, while 12.7% (13/102) were admitted directly to intensive care. For adults admitted to sentinel hospitals with influenza, 67.6% (69/102) were discharged alive and 1.0% (1/102) died. &#10;In the year to date for severity reporting, for adults admitted to sentinel hospitals with RSV (n=27), the median age was 67 years (IQR: 54–77 years), 37.0% (10/27) were in the aged 17–64 years, and 63.0% (17/27) were 65 years or older. 3.7% (1/27) of adults identified as Aboriginal and Torres Strait Islander. For adults admitted to sentinel hospitals with RSV, the median length of hospital stay was 3 days (IQR: 1–4 days), and 92.3% (25/27) of adults were admitted to a hospital ward, while 7.4% (2/27) were admitted directly to intensive care. For adults admitted to sentinel hospitals with RSV, 48.1% (13/27) were discharged alive and 7.4% (2/27) died. &#10;"/>
      </w:tblPr>
      <w:tblGrid>
        <w:gridCol w:w="3614"/>
        <w:gridCol w:w="2046"/>
        <w:gridCol w:w="2046"/>
        <w:gridCol w:w="2046"/>
      </w:tblGrid>
      <w:tr w:rsidR="001536FC" w14:paraId="5F58D4C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673F1E"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ED440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58A4F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BDE72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1536FC" w14:paraId="6EE7DBB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E880F4"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A8119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B7BEE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24413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(n=27)</w:t>
            </w:r>
          </w:p>
        </w:tc>
      </w:tr>
      <w:tr w:rsidR="001536FC" w14:paraId="39C1A18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E5B0E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536FC" w14:paraId="517907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FB18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A8C4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4E39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 [51–76]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B5F7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[54–77]</w:t>
            </w:r>
          </w:p>
        </w:tc>
      </w:tr>
      <w:tr w:rsidR="001536FC" w14:paraId="5E2E784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2C51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1536FC" w14:paraId="66A5C0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90EB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7456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 (30.5%)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3F152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53 (52.0%)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1A651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 (37.0%)</w:t>
            </w:r>
          </w:p>
        </w:tc>
      </w:tr>
      <w:tr w:rsidR="001536FC" w14:paraId="14E502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3E89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EB6D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155 (69.5%)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79CCD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 (48.0%)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459C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(63.0%)</w:t>
            </w:r>
          </w:p>
        </w:tc>
      </w:tr>
      <w:tr w:rsidR="001536FC" w14:paraId="287077F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AE43E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536FC" w14:paraId="36D163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6562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31A4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53F5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AA8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(3.7%)</w:t>
            </w:r>
          </w:p>
        </w:tc>
      </w:tr>
      <w:tr w:rsidR="001536FC" w14:paraId="35D0F4E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D9063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1536FC" w14:paraId="56B798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510C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2133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8D29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2E27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[1–4]</w:t>
            </w:r>
          </w:p>
        </w:tc>
      </w:tr>
      <w:tr w:rsidR="001536FC" w14:paraId="4EAB4EE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6CA2B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1536FC" w14:paraId="0FB7A8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FAB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50BF4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209 (93.7%)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5CB5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89 (87.3%)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5F72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 (92.6%)</w:t>
            </w:r>
          </w:p>
        </w:tc>
      </w:tr>
      <w:tr w:rsidR="001536FC" w14:paraId="1DF3A4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0B05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9484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79E3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 (12.7%)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EE9C6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(7.4%)</w:t>
            </w:r>
          </w:p>
        </w:tc>
      </w:tr>
      <w:tr w:rsidR="001536FC" w14:paraId="416D184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F2888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1536FC" w14:paraId="6A9796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496F8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49558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140 (62.8%)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4008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69 (67.6%)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6048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 (48.1%)</w:t>
            </w:r>
          </w:p>
        </w:tc>
      </w:tr>
      <w:tr w:rsidR="001536FC" w14:paraId="76DF00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99AA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F1C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D3B7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A111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(7.4%)</w:t>
            </w:r>
          </w:p>
        </w:tc>
      </w:tr>
      <w:tr w:rsidR="001536FC" w14:paraId="3707E2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153BE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A8944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 (35.0%)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DC6A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C9EFF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(44.4%)</w:t>
            </w:r>
          </w:p>
        </w:tc>
      </w:tr>
    </w:tbl>
    <w:p w14:paraId="449C2BAD" w14:textId="77777777" w:rsidR="001536FC" w:rsidRDefault="00AB1BF4">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364459ED" w14:textId="77777777" w:rsidR="001536FC" w:rsidRDefault="00AB1BF4">
      <w:r>
        <w:br w:type="page"/>
      </w:r>
    </w:p>
    <w:p w14:paraId="773A96E9" w14:textId="77777777" w:rsidR="001536FC" w:rsidRDefault="00AB1BF4" w:rsidP="00851DDA">
      <w:pPr>
        <w:numPr>
          <w:ilvl w:val="0"/>
          <w:numId w:val="24"/>
        </w:numPr>
      </w:pPr>
      <w:r>
        <w:lastRenderedPageBreak/>
        <w:t>Sentinel intensive care surveillance shows the number of patients with severe acute respiratory infections has remained low and stable this month. The duration of intensive care stay varies slightly between illnesses.</w:t>
      </w:r>
    </w:p>
    <w:p w14:paraId="1DBC633B" w14:textId="31ED1D8B" w:rsidR="001536FC" w:rsidRDefault="00AB1BF4" w:rsidP="00851DDA">
      <w:pPr>
        <w:numPr>
          <w:ilvl w:val="0"/>
          <w:numId w:val="24"/>
        </w:numPr>
      </w:pPr>
      <w:r>
        <w:t>In this severity reporting period, fewer patients have been admitted to a sentinel intensive care with a severe acute respiratory infection (n=165), than in the previous severity reporting period (n=218) (Figure 12).</w:t>
      </w:r>
    </w:p>
    <w:p w14:paraId="6469F71F" w14:textId="70932161" w:rsidR="00B10812" w:rsidRDefault="00AB1BF4" w:rsidP="00851DDA">
      <w:pPr>
        <w:numPr>
          <w:ilvl w:val="0"/>
          <w:numId w:val="24"/>
        </w:numPr>
      </w:pPr>
      <w:r>
        <w:t xml:space="preserve">In the year to date for severity reporting, most patients were admitted to sentinel intensive care with COVID-19 (Figure 12; Table 3). </w:t>
      </w:r>
    </w:p>
    <w:p w14:paraId="5F378834" w14:textId="4F8FFDA9" w:rsidR="001536FC" w:rsidRDefault="00AB1BF4" w:rsidP="00B10812">
      <w:pPr>
        <w:numPr>
          <w:ilvl w:val="1"/>
          <w:numId w:val="24"/>
        </w:numPr>
      </w:pPr>
      <w:r>
        <w:t>Some patients (3.7%; 14/383) had co-infections of multiple respiratory pathogens; therefore, the sum of pathogen-specific totals may not equal the total number of patients (Figure 12; Table 3).</w:t>
      </w:r>
      <w:r w:rsidR="00E5028F">
        <w:br/>
      </w:r>
    </w:p>
    <w:p w14:paraId="70710E73" w14:textId="77777777" w:rsidR="001536FC" w:rsidRDefault="00AB1BF4">
      <w:r>
        <w:rPr>
          <w:b/>
          <w:bCs/>
        </w:rPr>
        <w:t>Figure 12: Number of patients admitted with severe acute respiratory infections to a sentinel intensive care by pathogen and week of admission, Australia, 1 January to 9 February 2025</w:t>
      </w:r>
    </w:p>
    <w:p w14:paraId="3C4450A2" w14:textId="77777777" w:rsidR="001536FC" w:rsidRDefault="00AB1BF4">
      <w:pPr>
        <w:pStyle w:val="BodyText"/>
      </w:pPr>
      <w:r>
        <w:rPr>
          <w:noProof/>
        </w:rPr>
        <w:drawing>
          <wp:inline distT="0" distB="0" distL="0" distR="0" wp14:anchorId="0DA5D748" wp14:editId="7238697A">
            <wp:extent cx="6184900" cy="2650671"/>
            <wp:effectExtent l="0" t="0" r="0" b="0"/>
            <wp:docPr id="70" name="Picture" descr="A stacked bar chart showing the number of patients admitted with severe acute respiratory infections to a sentinel intensive care by disease and week of admission in Australia, 1 January to 9 February 2025. The y-axis (left) shows the number of intensive care admissions, and the x-axis (horizontal) shows the week of intensive care admission. Each bar is divided into colour-coded sections corresponding to different severe acute respiratory infections. In the year to date for severity reporting, the number of severe acute respiratory infection patients admitted to sentinel intensive care sites decreased from 60 patients per week in early January to approximately 40 patients per week in the remainder of January and early February. A decreasing trend is observed in the number of patients with COVID-19, decreasing from approximately 22 patients per week from early January to approximately 12 patients per week in early February. The number of patients with rhinovirus and parainfluenza has fluctuated week-on-week; there were no more than 20 patients per week for rhinovirus and no more than 10 patients for parainfluenza. The number of patients with adenovirus, human metapneumovirus, influenza, RSV and other respiratory pathogens have remained relatively stable not exceeding 10 patients per week."/>
            <wp:cNvGraphicFramePr/>
            <a:graphic xmlns:a="http://schemas.openxmlformats.org/drawingml/2006/main">
              <a:graphicData uri="http://schemas.openxmlformats.org/drawingml/2006/picture">
                <pic:pic xmlns:pic="http://schemas.openxmlformats.org/drawingml/2006/picture">
                  <pic:nvPicPr>
                    <pic:cNvPr id="70" name="Picture" descr="A stacked bar chart showing the number of patients admitted with severe acute respiratory infections to a sentinel intensive care by disease and week of admission in Australia, 1 January to 9 February 2025. The y-axis (left) shows the number of intensive care admissions, and the x-axis (horizontal) shows the week of intensive care admission. Each bar is divided into colour-coded sections corresponding to different severe acute respiratory infections. In the year to date for severity reporting, the number of severe acute respiratory infection patients admitted to sentinel intensive care sites decreased from 60 patients per week in early January to approximately 40 patients per week in the remainder of January and early February. A decreasing trend is observed in the number of patients with COVID-19, decreasing from approximately 22 patients per week from early January to approximately 12 patients per week in early February. The number of patients with rhinovirus and parainfluenza has fluctuated week-on-week; there were no more than 20 patients per week for rhinovirus and no more than 10 patients for parainfluenza. The number of patients with adenovirus, human metapneumovirus, influenza, RSV and other respiratory pathogens have remained relatively stable not exceeding 10 patients per week."/>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3D61E43" w14:textId="77777777" w:rsidR="001536FC" w:rsidRDefault="00AB1BF4">
      <w:pPr>
        <w:pStyle w:val="Smalltext"/>
      </w:pPr>
      <w:r>
        <w:t>Source: Short Period Incidence Study of Severe Acute Respiratory Infection (SPRINT-SARI) Australia</w:t>
      </w:r>
      <w:r>
        <w:br/>
        <w:t>Note: There are a range of diagnostic testing procedures utilised across public and private hospitals within Australia. Diagnostic testing can be by nucleic acid amplification tests (NAATs), including PCR tests, or immunoassays (rapid antigen tests). Each sentinel hospital site will use these diagnostic methods variably and there are multiple manufacturers. SPRINT-SARI does not specify which diagnostic testing method should be utilised as this is the domain for the participating hospital site and treating clinicians. For this reason, virological data from SPRINT-SARI should be interpreted with caution.</w:t>
      </w:r>
      <w:r>
        <w:br/>
      </w:r>
    </w:p>
    <w:p w14:paraId="6853A7C9" w14:textId="36B839C2" w:rsidR="001536FC" w:rsidRDefault="00AB1BF4" w:rsidP="00851DDA">
      <w:pPr>
        <w:numPr>
          <w:ilvl w:val="0"/>
          <w:numId w:val="25"/>
        </w:numPr>
      </w:pPr>
      <w:r>
        <w:t xml:space="preserve">In the year to date for severity reporting, </w:t>
      </w:r>
      <w:r w:rsidR="001F5705">
        <w:t xml:space="preserve">people </w:t>
      </w:r>
      <w:r>
        <w:t>admitted to a sentinel intensive care with COVID-19</w:t>
      </w:r>
      <w:r w:rsidR="001F5705">
        <w:t>, hMPV</w:t>
      </w:r>
      <w:r>
        <w:t xml:space="preserve"> </w:t>
      </w:r>
      <w:r w:rsidR="001F5705">
        <w:t>or</w:t>
      </w:r>
      <w:r>
        <w:t xml:space="preserve"> influenza </w:t>
      </w:r>
      <w:r w:rsidR="001F5705">
        <w:t>were more likely to be older</w:t>
      </w:r>
      <w:r>
        <w:t xml:space="preserve">, while people admitted with rhinovirus or RSV </w:t>
      </w:r>
      <w:r w:rsidR="001F5705">
        <w:t xml:space="preserve">were younger </w:t>
      </w:r>
      <w:r>
        <w:t>(Table 3).</w:t>
      </w:r>
    </w:p>
    <w:p w14:paraId="6C58B3BE" w14:textId="548C99E6" w:rsidR="001536FC" w:rsidRDefault="00AB1BF4" w:rsidP="00851DDA">
      <w:pPr>
        <w:numPr>
          <w:ilvl w:val="0"/>
          <w:numId w:val="25"/>
        </w:numPr>
      </w:pPr>
      <w:r>
        <w:t xml:space="preserve">The length of intensive care stay for people admitted to a sentinel intensive care was similar across pathogens, though was slightly higher for </w:t>
      </w:r>
      <w:r w:rsidR="003B713B">
        <w:t xml:space="preserve">COVID-19 and </w:t>
      </w:r>
      <w:r>
        <w:t>influenza (Table 3).</w:t>
      </w:r>
    </w:p>
    <w:p w14:paraId="21F4652E" w14:textId="5D5D4AFE" w:rsidR="001536FC" w:rsidRDefault="00AB1BF4" w:rsidP="00851DDA">
      <w:pPr>
        <w:numPr>
          <w:ilvl w:val="0"/>
          <w:numId w:val="25"/>
        </w:numPr>
      </w:pPr>
      <w:r>
        <w:t>Most patients admitted to a sentinel intensive care with a severe acute respiratory infection have been discharged home</w:t>
      </w:r>
      <w:r w:rsidR="00635B5D">
        <w:t>, while a small proportion remain in hospital</w:t>
      </w:r>
      <w:r>
        <w:t>. Sadly, a small number of patients admitted to a sentinel intensive care with a severe acute respiratory infection have died in hospital (Table 3).</w:t>
      </w:r>
    </w:p>
    <w:p w14:paraId="37DA5194" w14:textId="77777777" w:rsidR="001536FC" w:rsidRDefault="001536FC"/>
    <w:p w14:paraId="4D7879A0" w14:textId="77777777" w:rsidR="001536FC" w:rsidRDefault="00AB1BF4">
      <w:r>
        <w:br w:type="page"/>
      </w:r>
    </w:p>
    <w:p w14:paraId="21DEC751" w14:textId="3A7023CF" w:rsidR="001536FC" w:rsidRDefault="00AB1BF4">
      <w:pPr>
        <w:pStyle w:val="BodyText"/>
      </w:pPr>
      <w:r>
        <w:rPr>
          <w:b/>
          <w:bCs/>
        </w:rPr>
        <w:lastRenderedPageBreak/>
        <w:t>Table 3: Demographic characteristics and outcomes of patients admitted with a severe acute respiratory infection to a sentinel intensive care by disease, Australia, 1 January to 9 February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and RSV admitted to a sentinel intensive care during year to date for severity reporting (1 January to 9 February 2025). For patients who are still in hospital data may not be complete; therefore, these data are not included in the length of stay or discharge status.&#10;In the year to date for severity reporting, for patients with COVID-19 (n=80), the median age was 64 years (interquartile range [IQR]: 48–74 years) and 17.5% (14/80) identified as Aboriginal and Torres Strait Islander. For patients with COVID-19, 38.8% (31/80) received invasive mechanical ventilation and the median duration of invasive mechanical ventilation was 4 days (IQR: 1–6 days). The median length of stay in intensive care was 3 days (IQR: 2–5 days) and the median length of stay in hospital was 7 days (IQR: 4–8 days). For patients with COVID-19, 5.0% (4/80) had ongoing care in intensive care, 10.0% (8/80) had ongoing care in hospital ward, 10.0% (8/80) had been transferred to another hospital, 52.5% (42/80) were discharged home, 16.2% (13/80) died in intensive care, and 6.2% (5/80) died in a hospital ward.&#10;In the year to date for severity reporting, for patients with human metapneumovirus (hMPV) (n=18), the median age was 66 years (IQR: 3–72 years) and 5.6% (1/18) patients identified as Aboriginal and Torres Strait Islander. For patients with hMPV, 27.8% (5/18) received invasive mechanical ventilation and the median duration of mechanical ventilation was 2 days (IQR: 2–6 days). The median length of stay in intensive care was 2 days (IQR: 1–5 days) and the median length of stay in hospital was 7 days (IQR: 4–9 days). For patients with hMPV, 6.7% (3/18) had ongoing care in intensive care and 5.6% (1/18) had ongoing care in hospital ward, none were transferred to another hospital, 66.7% (12/18) were discharged home, 11.1% (2/18) died in intensive care, and none died in a hospital ward.&#10;In the year to date for severity reporting, for patients with influenza (n=47), the median age was 61 years (IQR: 46–70 years) and 10.6% (5/47) identified as Aboriginal and Torres Strait Islander. For patients with influenza, 27.7% (13/47) received invasive mechanical ventilation and the median duration of mechanical ventilation was 2 days (IQR: 0–8 days). The median length of stay in intensive care was 3 days (IQR: 2–6 days) and the median length of stay in hospital was 7 days (IQR: 5–12 days). For patients with influenza, 12.8% (6/47) had ongoing care in intensive care and 8.5% (4/47) had ongoing care in hospital ward, 8.5% (4/47) were transferred to another hospital, 61.7% (29/47) were discharged home, 8.5% (4/47) died in intensive care, and none died in a hospital ward.&#10;In the year to date for severity reporting, for patients with parainfluenza (n=23), the median age was 43 years (IQR: 9–69 years) and 8.7% (2/23) identified as Aboriginal and Torres Strait Islander. For patients with parainfluenza, 47.8% (11/23) received invasive mechanical ventilation and the median duration of mechanical ventilation was 1 days (IQR: 0–3 days). The median length of stay in intensive care was 2 days (IQR: 1–6 days); and the median length of stay in hospital was 6 days (IQR: 3–9 days). For patients with parainfluenza, 13.0% (3/23) had ongoing care in intensive care, 4.3% (1/23) had ongoing care in hospital ward, 8.7% (2/23) were transferred to another hospital, 65.2% (15/23) were discharged home, 4.3% (1/23) died in intensive care and none died in a hospital ward.&#10;In the year to date for severity reporting, for patients with rhinovirus (n=56), the median age was 14 years (IQR: 4–45 years) and 14.3% (8/56) identified as Aboriginal and Torres Strait Islander. For patients with rhinovirus, 23.2% (13/56) received invasive mechanical ventilation and the median duration of mechanical ventilation was 4 days (IQR: 2–6 days). The median length of stay in intensive care was 2 days (IQR: 2–6 days) and the median length of stay in hospital was 5 days (IQR: 2–9 days). For patients with rhinovirus, 8.9% (5/56) had ongoing care in intensive care, 10.7% (6/56) had ongoing care in a hospital ward, 8.9% (5/56) were transferred to another hospital, 67.9% (38/56) were discharged home, 1.8% (1/56) died in intensive care and 1.8% (1/56) died in a hospital ward.&#10;In the year to date for severity reporting, for patients with RSV (n=18), the median age was 24 years (IQR: 8–62 years) and all (100%; 18/18) patients identified as non-Indigenous. For patients with RSV, 5.6% (1/18) received mechanical ventilation; however, no median duration of mechanical ventilation is reported. The median length of stay in intensive care was 2 days (IQR: 1–6 days) and the median length of stay in hospital was 8 days (IQR: 3–9 days). For patients with RSV, none had ongoing care in intensive care, 5.6% (1/18) had ongoing care in a hospital ward, 5.6% (1/18) were transferred to another hospital, 83.3% (15/18) were discharged home, 5.6% (1/18) died in intensive care and none died in a hospital ward. &#10;In the year to date for severity reporting, for patients admitted with other respiratory pathogens (n=11), the median age was 57 years (IQR: 28–72 years) and all (100%; 11/11) patients identified as non-Indigenous. For patients admitted with other respiratory pathogens, 18.2% (2/11) received invasive mechanical ventilation and the median duration of mechanical ventilation was 8 days (IQR: 5–11 days). The median length of stay in intensive care was 2 days (IQR: 1–7 days); and the median length of stay in hospital was 17 days (IQR: 12–22 days). For patients admitted with other respiratory pathogens, none had ongoing care in intensive care, 9.1% (1/11) had ongoing care in hospital ward, 18.2% (2/11) were transferred to another hospital, 54.6%; 6/11) were discharged home, 9.1% (1/11) died in intensive care and 9.1% (1/11) died in a hospital ward."/>
      </w:tblPr>
      <w:tblGrid>
        <w:gridCol w:w="1479"/>
        <w:gridCol w:w="1096"/>
        <w:gridCol w:w="1096"/>
        <w:gridCol w:w="1161"/>
        <w:gridCol w:w="1449"/>
        <w:gridCol w:w="1279"/>
        <w:gridCol w:w="1096"/>
        <w:gridCol w:w="1096"/>
      </w:tblGrid>
      <w:tr w:rsidR="001536FC" w14:paraId="4D88F9B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91403F"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5A983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8E3C0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A21F1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900FC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B9E4E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8FB18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99B38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Other</w:t>
            </w:r>
          </w:p>
        </w:tc>
      </w:tr>
      <w:tr w:rsidR="001536FC" w14:paraId="0150E95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E0B9C0"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42AD2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(n=80)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FA7A8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3C5FF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398FE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521AE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DE300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E4A9C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(n=11)</w:t>
            </w:r>
          </w:p>
        </w:tc>
      </w:tr>
      <w:tr w:rsidR="001536FC" w14:paraId="425F123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13959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536FC" w14:paraId="05EA69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B4C3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8D0C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w:t>
            </w:r>
            <w:r>
              <w:rPr>
                <w:rFonts w:eastAsia="Arial" w:cs="Arial"/>
                <w:color w:val="033636"/>
                <w:sz w:val="14"/>
                <w:szCs w:val="14"/>
              </w:rPr>
              <w:br/>
              <w:t xml:space="preserve"> [48–74]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E05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w:t>
            </w:r>
            <w:r>
              <w:rPr>
                <w:rFonts w:eastAsia="Arial" w:cs="Arial"/>
                <w:color w:val="033636"/>
                <w:sz w:val="14"/>
                <w:szCs w:val="14"/>
              </w:rPr>
              <w:br/>
              <w:t xml:space="preserve">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7D4F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w:t>
            </w:r>
            <w:r>
              <w:rPr>
                <w:rFonts w:eastAsia="Arial" w:cs="Arial"/>
                <w:color w:val="033636"/>
                <w:sz w:val="14"/>
                <w:szCs w:val="14"/>
              </w:rPr>
              <w:br/>
              <w:t xml:space="preserve"> [46–70]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141D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43</w:t>
            </w:r>
            <w:r>
              <w:rPr>
                <w:rFonts w:eastAsia="Arial" w:cs="Arial"/>
                <w:color w:val="033636"/>
                <w:sz w:val="14"/>
                <w:szCs w:val="14"/>
              </w:rPr>
              <w:br/>
              <w:t xml:space="preserve"> [9–69]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7036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B93C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082E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57</w:t>
            </w:r>
            <w:r>
              <w:rPr>
                <w:rFonts w:eastAsia="Arial" w:cs="Arial"/>
                <w:color w:val="033636"/>
                <w:sz w:val="14"/>
                <w:szCs w:val="14"/>
              </w:rPr>
              <w:br/>
              <w:t xml:space="preserve"> [28–72]</w:t>
            </w:r>
          </w:p>
        </w:tc>
      </w:tr>
      <w:tr w:rsidR="001536FC" w14:paraId="7E9414E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F06D0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536FC" w14:paraId="105956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422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E88B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05CF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BC40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FB246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FFBD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DA6C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D3C5D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1536FC" w14:paraId="4154B1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333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F56A9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w:t>
            </w:r>
            <w:r>
              <w:rPr>
                <w:rFonts w:eastAsia="Arial" w:cs="Arial"/>
                <w:color w:val="033636"/>
                <w:sz w:val="14"/>
                <w:szCs w:val="14"/>
              </w:rPr>
              <w:br/>
              <w:t xml:space="preserve"> (82.5%)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084B1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5E92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3E6CA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w:t>
            </w:r>
            <w:r>
              <w:rPr>
                <w:rFonts w:eastAsia="Arial" w:cs="Arial"/>
                <w:color w:val="033636"/>
                <w:sz w:val="14"/>
                <w:szCs w:val="14"/>
              </w:rPr>
              <w:br/>
              <w:t xml:space="preserve"> (91.3%)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B74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EE1E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DE91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(100.0%)</w:t>
            </w:r>
          </w:p>
        </w:tc>
      </w:tr>
      <w:tr w:rsidR="001536FC" w14:paraId="483FBF3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1791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1536FC" w14:paraId="45ADF7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9808A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1072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w:t>
            </w:r>
            <w:r>
              <w:rPr>
                <w:rFonts w:eastAsia="Arial" w:cs="Arial"/>
                <w:color w:val="033636"/>
                <w:sz w:val="14"/>
                <w:szCs w:val="14"/>
              </w:rPr>
              <w:br/>
              <w:t xml:space="preserve"> (38.8%)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C08C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9C1B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85F6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0731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C2B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F6CC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(18.2%)</w:t>
            </w:r>
          </w:p>
        </w:tc>
      </w:tr>
      <w:tr w:rsidR="001536FC" w14:paraId="2220ED5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035D59" w14:textId="71FB054F"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Duration of invasive mechanical ventilation (days)</w:t>
            </w:r>
            <w:r w:rsidR="00F33851">
              <w:rPr>
                <w:rFonts w:eastAsia="Arial" w:cs="Arial"/>
                <w:b/>
                <w:color w:val="033636"/>
                <w:sz w:val="14"/>
                <w:szCs w:val="14"/>
              </w:rPr>
              <w:t>*</w:t>
            </w:r>
          </w:p>
        </w:tc>
      </w:tr>
      <w:tr w:rsidR="001536FC" w14:paraId="2C65EC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DB31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C51B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6F96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B835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A9A78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C85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C782B" w14:textId="52F9E688" w:rsidR="001536FC" w:rsidRDefault="00F3453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AC50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[5–11]</w:t>
            </w:r>
          </w:p>
        </w:tc>
      </w:tr>
      <w:tr w:rsidR="001536FC" w14:paraId="4902AA9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1D52E9" w14:textId="0CA35B8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r w:rsidR="00F33851">
              <w:rPr>
                <w:rFonts w:eastAsia="Arial" w:cs="Arial"/>
                <w:b/>
                <w:color w:val="033636"/>
                <w:sz w:val="14"/>
                <w:szCs w:val="14"/>
              </w:rPr>
              <w:t>*</w:t>
            </w:r>
          </w:p>
        </w:tc>
      </w:tr>
      <w:tr w:rsidR="001536FC" w14:paraId="784424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6EC3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B1153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860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A014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0EFB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92C4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46FB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F9E9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[1–7]</w:t>
            </w:r>
          </w:p>
        </w:tc>
      </w:tr>
      <w:tr w:rsidR="001536FC" w14:paraId="55BDB9C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39494B" w14:textId="46079B8A"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r w:rsidR="00F33851">
              <w:rPr>
                <w:rFonts w:eastAsia="Arial" w:cs="Arial"/>
                <w:b/>
                <w:color w:val="033636"/>
                <w:sz w:val="14"/>
                <w:szCs w:val="14"/>
              </w:rPr>
              <w:t>*</w:t>
            </w:r>
          </w:p>
        </w:tc>
      </w:tr>
      <w:tr w:rsidR="001536FC" w14:paraId="4A73BF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C167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4624D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00885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ABCC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A91C6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B3436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EACA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2466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[12–22]</w:t>
            </w:r>
          </w:p>
        </w:tc>
      </w:tr>
      <w:tr w:rsidR="001536FC" w14:paraId="0B91BA4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752ED0" w14:textId="7B1A9908"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r w:rsidR="00F33851">
              <w:rPr>
                <w:b/>
                <w:bCs/>
                <w:vertAlign w:val="superscript"/>
              </w:rPr>
              <w:t>†</w:t>
            </w:r>
          </w:p>
        </w:tc>
      </w:tr>
      <w:tr w:rsidR="001536FC" w14:paraId="360B71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A4120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4876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DAA9B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DDF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6FF8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367A6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25B0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6B93A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1536FC" w14:paraId="468893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029E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442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1DD0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D9132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FE50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C22A1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D67BF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DAB7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(9.1%)</w:t>
            </w:r>
          </w:p>
        </w:tc>
      </w:tr>
      <w:tr w:rsidR="001536FC" w14:paraId="7EB7B7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8425F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or facility, including rehabilitation</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0E95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F4976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240A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85EB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6E7C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7825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FCF1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(18.2%)</w:t>
            </w:r>
          </w:p>
        </w:tc>
      </w:tr>
      <w:tr w:rsidR="001536FC" w14:paraId="509495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022BB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52AD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581AA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3F94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w:t>
            </w:r>
            <w:r>
              <w:rPr>
                <w:rFonts w:eastAsia="Arial" w:cs="Arial"/>
                <w:color w:val="033636"/>
                <w:sz w:val="14"/>
                <w:szCs w:val="14"/>
              </w:rPr>
              <w:br/>
              <w:t xml:space="preserve"> (61.7%)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FB7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D0F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(67.9%)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ACB8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DAC3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(54.5%)</w:t>
            </w:r>
          </w:p>
        </w:tc>
      </w:tr>
      <w:tr w:rsidR="001536FC" w:rsidRPr="00F33851" w14:paraId="02998C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88EC3" w14:textId="2F6E4A2D"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r w:rsidR="00F33851">
              <w:rPr>
                <w:rFonts w:eastAsia="Arial" w:cs="Arial"/>
                <w:color w:val="033636"/>
                <w:sz w:val="14"/>
                <w:szCs w:val="14"/>
              </w:rPr>
              <w:t xml:space="preserve">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9AEE7" w14:textId="2E43A5F8"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A155EE">
              <w:rPr>
                <w:rFonts w:eastAsia="Arial" w:cs="Arial"/>
                <w:color w:val="033636"/>
                <w:sz w:val="14"/>
                <w:szCs w:val="14"/>
              </w:rPr>
              <w:t>1</w:t>
            </w:r>
            <w:r w:rsidR="00F33851" w:rsidRPr="00A155EE">
              <w:rPr>
                <w:rFonts w:eastAsia="Arial" w:cs="Arial"/>
                <w:color w:val="033636"/>
                <w:sz w:val="14"/>
                <w:szCs w:val="14"/>
              </w:rPr>
              <w:t>8</w:t>
            </w:r>
            <w:r w:rsidRPr="00A155EE">
              <w:rPr>
                <w:rFonts w:eastAsia="Arial" w:cs="Arial"/>
                <w:color w:val="033636"/>
                <w:sz w:val="14"/>
                <w:szCs w:val="14"/>
              </w:rPr>
              <w:br/>
              <w:t xml:space="preserve"> (</w:t>
            </w:r>
            <w:r w:rsidR="00A155EE" w:rsidRPr="00A155EE">
              <w:rPr>
                <w:rFonts w:eastAsia="Arial" w:cs="Arial"/>
                <w:color w:val="033636"/>
                <w:sz w:val="14"/>
                <w:szCs w:val="14"/>
              </w:rPr>
              <w:t>22</w:t>
            </w:r>
            <w:r w:rsidRPr="00A155EE">
              <w:rPr>
                <w:rFonts w:eastAsia="Arial" w:cs="Arial"/>
                <w:color w:val="033636"/>
                <w:sz w:val="14"/>
                <w:szCs w:val="14"/>
              </w:rPr>
              <w:t>.</w:t>
            </w:r>
            <w:r w:rsidR="00A155EE" w:rsidRPr="00A155EE">
              <w:rPr>
                <w:rFonts w:eastAsia="Arial" w:cs="Arial"/>
                <w:color w:val="033636"/>
                <w:sz w:val="14"/>
                <w:szCs w:val="14"/>
              </w:rPr>
              <w:t>5</w:t>
            </w:r>
            <w:r w:rsidRPr="00A155EE">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7824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E882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A629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5F316" w14:textId="47B7AECA" w:rsidR="001536FC" w:rsidRPr="00A155EE" w:rsidRDefault="00F3385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A155EE">
              <w:rPr>
                <w:rFonts w:eastAsia="Arial" w:cs="Arial"/>
                <w:color w:val="033636"/>
                <w:sz w:val="14"/>
                <w:szCs w:val="14"/>
              </w:rPr>
              <w:t>2</w:t>
            </w:r>
            <w:r w:rsidR="00AB1BF4" w:rsidRPr="00A155EE">
              <w:rPr>
                <w:rFonts w:eastAsia="Arial" w:cs="Arial"/>
                <w:color w:val="033636"/>
                <w:sz w:val="14"/>
                <w:szCs w:val="14"/>
              </w:rPr>
              <w:br/>
              <w:t xml:space="preserve"> (</w:t>
            </w:r>
            <w:r w:rsidR="00A155EE" w:rsidRPr="00A155EE">
              <w:rPr>
                <w:rFonts w:eastAsia="Arial" w:cs="Arial"/>
                <w:color w:val="033636"/>
                <w:sz w:val="14"/>
                <w:szCs w:val="14"/>
              </w:rPr>
              <w:t>3</w:t>
            </w:r>
            <w:r w:rsidR="00AB1BF4" w:rsidRPr="00A155EE">
              <w:rPr>
                <w:rFonts w:eastAsia="Arial" w:cs="Arial"/>
                <w:color w:val="033636"/>
                <w:sz w:val="14"/>
                <w:szCs w:val="14"/>
              </w:rPr>
              <w:t>.</w:t>
            </w:r>
            <w:r w:rsidR="00A155EE" w:rsidRPr="00A155EE">
              <w:rPr>
                <w:rFonts w:eastAsia="Arial" w:cs="Arial"/>
                <w:color w:val="033636"/>
                <w:sz w:val="14"/>
                <w:szCs w:val="14"/>
              </w:rPr>
              <w:t>6</w:t>
            </w:r>
            <w:r w:rsidR="00AB1BF4" w:rsidRPr="00A155EE">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7B428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2E21E" w14:textId="6D19A503" w:rsidR="001536FC" w:rsidRPr="00F33851" w:rsidRDefault="00F3385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highlight w:val="yellow"/>
              </w:rPr>
            </w:pPr>
            <w:r w:rsidRPr="00A155EE">
              <w:rPr>
                <w:rFonts w:eastAsia="Arial" w:cs="Arial"/>
                <w:color w:val="033636"/>
                <w:sz w:val="14"/>
                <w:szCs w:val="14"/>
              </w:rPr>
              <w:t>2</w:t>
            </w:r>
            <w:r w:rsidR="00AB1BF4" w:rsidRPr="00A155EE">
              <w:rPr>
                <w:rFonts w:eastAsia="Arial" w:cs="Arial"/>
                <w:color w:val="033636"/>
                <w:sz w:val="14"/>
                <w:szCs w:val="14"/>
              </w:rPr>
              <w:br/>
              <w:t xml:space="preserve"> (</w:t>
            </w:r>
            <w:r w:rsidR="00A155EE" w:rsidRPr="00A155EE">
              <w:rPr>
                <w:rFonts w:eastAsia="Arial" w:cs="Arial"/>
                <w:color w:val="033636"/>
                <w:sz w:val="14"/>
                <w:szCs w:val="14"/>
              </w:rPr>
              <w:t>18</w:t>
            </w:r>
            <w:r w:rsidR="00AB1BF4" w:rsidRPr="00A155EE">
              <w:rPr>
                <w:rFonts w:eastAsia="Arial" w:cs="Arial"/>
                <w:color w:val="033636"/>
                <w:sz w:val="14"/>
                <w:szCs w:val="14"/>
              </w:rPr>
              <w:t>.</w:t>
            </w:r>
            <w:r w:rsidR="00A155EE" w:rsidRPr="00A155EE">
              <w:rPr>
                <w:rFonts w:eastAsia="Arial" w:cs="Arial"/>
                <w:color w:val="033636"/>
                <w:sz w:val="14"/>
                <w:szCs w:val="14"/>
              </w:rPr>
              <w:t>2</w:t>
            </w:r>
            <w:r w:rsidR="00AB1BF4" w:rsidRPr="00A155EE">
              <w:rPr>
                <w:rFonts w:eastAsia="Arial" w:cs="Arial"/>
                <w:color w:val="033636"/>
                <w:sz w:val="14"/>
                <w:szCs w:val="14"/>
              </w:rPr>
              <w:t>%)</w:t>
            </w:r>
          </w:p>
        </w:tc>
      </w:tr>
    </w:tbl>
    <w:p w14:paraId="169E20AF" w14:textId="02D164E2" w:rsidR="001536FC" w:rsidRDefault="00AB1BF4">
      <w:pPr>
        <w:pStyle w:val="Smalltext"/>
      </w:pPr>
      <w:r>
        <w:t>Source: Short Period Incidence Study of Severe Acute Respiratory Infection (SPRINT-SARI) Australia</w:t>
      </w:r>
      <w:r>
        <w:br/>
        <w:t>Note: Multiple patients had co-infections of respiratory pathogens; therefore, the sum of pathogen-specific totals above may not equal the total number of severe acute respiratory infection patients.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r>
      <w:r w:rsidR="00F33851" w:rsidRPr="00F33851">
        <w:t>†</w:t>
      </w:r>
      <w:r>
        <w:t xml:space="preserve"> Patients who have no outcome entered or have been admitted for more than 90 days with no discharge information have been treated as missing.</w:t>
      </w:r>
    </w:p>
    <w:p w14:paraId="4B589AFC" w14:textId="77777777" w:rsidR="001536FC" w:rsidRDefault="00AB1BF4">
      <w:r>
        <w:br w:type="page"/>
      </w:r>
    </w:p>
    <w:p w14:paraId="213EA558" w14:textId="568C0F4B" w:rsidR="001536FC" w:rsidRDefault="00AB1BF4" w:rsidP="00851DDA">
      <w:pPr>
        <w:numPr>
          <w:ilvl w:val="0"/>
          <w:numId w:val="26"/>
        </w:numPr>
      </w:pPr>
      <w:r>
        <w:lastRenderedPageBreak/>
        <w:t>This month, there has been fewer COVID-19 cases in intensive care across Australia than in the previous month (Figure 13).</w:t>
      </w:r>
    </w:p>
    <w:p w14:paraId="7B59D4BE" w14:textId="410B3F7A" w:rsidR="001536FC" w:rsidRDefault="00AB1BF4" w:rsidP="00851DDA">
      <w:pPr>
        <w:numPr>
          <w:ilvl w:val="0"/>
          <w:numId w:val="26"/>
        </w:numPr>
      </w:pPr>
      <w:r>
        <w:t>This month, there have been fewer intensive care staff unavailable to work due to COVID-19 exposure or illness across Australia than in the previous month (Figure 13).</w:t>
      </w:r>
      <w:r w:rsidR="00E5028F">
        <w:br/>
      </w:r>
    </w:p>
    <w:p w14:paraId="40436A92" w14:textId="7F6ADBDE" w:rsidR="001536FC" w:rsidRDefault="00AB1BF4">
      <w:r>
        <w:rPr>
          <w:b/>
          <w:bCs/>
        </w:rPr>
        <w:t xml:space="preserve">Figure 13: </w:t>
      </w:r>
      <w:r w:rsidR="00E072D1">
        <w:rPr>
          <w:b/>
          <w:bCs/>
        </w:rPr>
        <w:t xml:space="preserve">Average </w:t>
      </w:r>
      <w:r>
        <w:rPr>
          <w:b/>
          <w:bCs/>
        </w:rPr>
        <w:t xml:space="preserve">number of COVID-19 cases in intensive care and the </w:t>
      </w:r>
      <w:r w:rsidR="00E072D1">
        <w:rPr>
          <w:b/>
          <w:bCs/>
        </w:rPr>
        <w:t xml:space="preserve">average </w:t>
      </w:r>
      <w:r>
        <w:rPr>
          <w:b/>
          <w:bCs/>
        </w:rPr>
        <w:t>number of intensive care staff unavailable to work due to COVID-19 exposure or illness by week of report*</w:t>
      </w:r>
      <w:r>
        <w:rPr>
          <w:b/>
          <w:bCs/>
          <w:vertAlign w:val="superscript"/>
        </w:rPr>
        <w:t>†</w:t>
      </w:r>
      <w:r>
        <w:rPr>
          <w:b/>
          <w:bCs/>
        </w:rPr>
        <w:t>, Australia, 1 January to 23 February 2025</w:t>
      </w:r>
      <w:r>
        <w:t xml:space="preserve"> </w:t>
      </w:r>
      <w:r>
        <w:rPr>
          <w:noProof/>
        </w:rPr>
        <w:drawing>
          <wp:inline distT="0" distB="0" distL="0" distR="0" wp14:anchorId="7DA841FB" wp14:editId="315B8171">
            <wp:extent cx="6184900" cy="2650671"/>
            <wp:effectExtent l="0" t="0" r="0" b="0"/>
            <wp:docPr id="73" name="Picture" descr="A stacked bar chart showing the average number of ventilated and non-ventilated COVID-19 cases in intensive care, with a line graph plotted on the same y-axis (left) showing the average number of intensive care staff unavailable to work from 1 January to 23 February 2025. The y-axis (left) shows the average number of COVID-19 cases and the average number of staff unavailable, and the x-axis (horizontal) shows the week of report. In the year to date, the average number of COVID-19 cases in intensive care per week has fluctuated, with the average number of COVID-19 cases in intensive care with between 20–35 cases per week. The number of ventilated COVID-19 cases has remained low and stable, not exceeding an average of 10 ventilated cases per week. The number of non-ventilated COVID-19 cases fluctuated between 15–30 non-ventilated cases per week. In the year to date, the average number of intensive care staff unavailable to work due to COVID-19 exposure or illness has remained relatively stable, between 55–70 unavailable staff per week. In the reporting period (27 January to 23 February 2025), the average number of COVID-19 cases in intensive care per week was approximately 25 cases per week in the second week of the reporting period and approximately 20 cases in intensive care in the week in the remaining weeks of the reporting period. Non-ventilated COVID-19 cases accounted for a greater proportion of cases in intensive care compared with ventilated COVID-19 cases. In the reporting period, there was approximately 60 intensive care staff unavailable per week. "/>
            <wp:cNvGraphicFramePr/>
            <a:graphic xmlns:a="http://schemas.openxmlformats.org/drawingml/2006/main">
              <a:graphicData uri="http://schemas.openxmlformats.org/drawingml/2006/picture">
                <pic:pic xmlns:pic="http://schemas.openxmlformats.org/drawingml/2006/picture">
                  <pic:nvPicPr>
                    <pic:cNvPr id="73" name="Picture" descr="A stacked bar chart showing the average number of ventilated and non-ventilated COVID-19 cases in intensive care, with a line graph plotted on the same y-axis (left) showing the average number of intensive care staff unavailable to work from 1 January to 23 February 2025. The y-axis (left) shows the average number of COVID-19 cases and the average number of staff unavailable, and the x-axis (horizontal) shows the week of report. In the year to date, the average number of COVID-19 cases in intensive care per week has fluctuated, with the average number of COVID-19 cases in intensive care with between 20–35 cases per week. The number of ventilated COVID-19 cases has remained low and stable, not exceeding an average of 10 ventilated cases per week. The number of non-ventilated COVID-19 cases fluctuated between 15–30 non-ventilated cases per week. In the year to date, the average number of intensive care staff unavailable to work due to COVID-19 exposure or illness has remained relatively stable, between 55–70 unavailable staff per week. In the reporting period (27 January to 23 February 2025), the average number of COVID-19 cases in intensive care per week was approximately 25 cases per week in the second week of the reporting period and approximately 20 cases in intensive care in the week in the remaining weeks of the reporting period. Non-ventilated COVID-19 cases accounted for a greater proportion of cases in intensive care compared with ventilated COVID-19 cases. In the reporting period, there was approximately 60 intensive care staff unavailable per week.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55C2C17" w14:textId="793503C4" w:rsidR="001536FC" w:rsidRDefault="00AB1BF4">
      <w:pPr>
        <w:pStyle w:val="Smalltext"/>
      </w:pPr>
      <w:r>
        <w:t>Source: Critical Health Resource Information System (CHRIS)</w:t>
      </w:r>
      <w:r>
        <w:br/>
        <w:t xml:space="preserve">* </w:t>
      </w:r>
      <w:r w:rsidR="00914C71">
        <w:t xml:space="preserve">Average </w:t>
      </w:r>
      <w:r>
        <w:t>number of ventilated and non-ventilated COVID-19 cases in intensive care includes only active COVID-19 cases (those in isolation) and does not include cleared COVID-19 cases.</w:t>
      </w:r>
      <w:r>
        <w:br/>
        <w:t>† Intensive care staff include both medical and nursing staff.</w:t>
      </w:r>
      <w:r>
        <w:br/>
      </w:r>
    </w:p>
    <w:p w14:paraId="6C147260" w14:textId="5E91B5DD" w:rsidR="001536FC" w:rsidRDefault="00AB1BF4" w:rsidP="00851DDA">
      <w:pPr>
        <w:numPr>
          <w:ilvl w:val="0"/>
          <w:numId w:val="27"/>
        </w:numPr>
      </w:pPr>
      <w:r>
        <w:t>This month</w:t>
      </w:r>
      <w:r w:rsidR="00D87FE6">
        <w:t>,</w:t>
      </w:r>
      <w:r>
        <w:t xml:space="preserve"> COVID-19 cases in intensive care decreased in Queensland</w:t>
      </w:r>
      <w:r w:rsidR="00D10372">
        <w:t xml:space="preserve"> and Victoria</w:t>
      </w:r>
      <w:r>
        <w:t xml:space="preserve"> compared with the previous month</w:t>
      </w:r>
      <w:r w:rsidR="00360D75">
        <w:t xml:space="preserve">, </w:t>
      </w:r>
      <w:r w:rsidR="00D10372">
        <w:t xml:space="preserve">while the number of cases in intensive care have </w:t>
      </w:r>
      <w:r w:rsidR="00360D75">
        <w:t>remained stable across all other jurisdictions</w:t>
      </w:r>
      <w:r>
        <w:t xml:space="preserve"> (Figure 14).</w:t>
      </w:r>
    </w:p>
    <w:p w14:paraId="6774CF2C" w14:textId="2E7562BE" w:rsidR="001536FC" w:rsidRDefault="00AB1BF4" w:rsidP="00851DDA">
      <w:pPr>
        <w:numPr>
          <w:ilvl w:val="0"/>
          <w:numId w:val="27"/>
        </w:numPr>
      </w:pPr>
      <w:r>
        <w:t>This month</w:t>
      </w:r>
      <w:r w:rsidR="00D87FE6">
        <w:t>,</w:t>
      </w:r>
      <w:r>
        <w:t xml:space="preserve"> the number of intensive care staff unavailable to work due to COVID-19 exposure or illness decreased in New South Wales and Queensland</w:t>
      </w:r>
      <w:r w:rsidR="002F2768">
        <w:t>;</w:t>
      </w:r>
      <w:r w:rsidR="00C30660">
        <w:t xml:space="preserve"> however</w:t>
      </w:r>
      <w:r>
        <w:t xml:space="preserve">, increased in </w:t>
      </w:r>
      <w:r w:rsidR="00DA341F">
        <w:t xml:space="preserve">the Australian Capital Territory and </w:t>
      </w:r>
      <w:r>
        <w:t>Victoria compared with the previous month</w:t>
      </w:r>
      <w:r w:rsidR="00C30660">
        <w:t xml:space="preserve">. The number of intensive care staff unavailable to work due to COVID-19 exposure or illness has remained stable in the Northern Territory, South Australia, </w:t>
      </w:r>
      <w:r w:rsidR="00A41038">
        <w:t xml:space="preserve">Tasmania, </w:t>
      </w:r>
      <w:r w:rsidR="00C30660">
        <w:t>and Western Australia</w:t>
      </w:r>
      <w:r>
        <w:t xml:space="preserve"> (Figure 14).</w:t>
      </w:r>
    </w:p>
    <w:p w14:paraId="073CC665" w14:textId="77777777" w:rsidR="001536FC" w:rsidRDefault="00AB1BF4">
      <w:r>
        <w:br w:type="page"/>
      </w:r>
    </w:p>
    <w:p w14:paraId="4193CA63" w14:textId="2AC63426" w:rsidR="001536FC" w:rsidRDefault="00AB1BF4">
      <w:r>
        <w:rPr>
          <w:b/>
          <w:bCs/>
        </w:rPr>
        <w:lastRenderedPageBreak/>
        <w:t xml:space="preserve">Figure 14: </w:t>
      </w:r>
      <w:r w:rsidR="00914C71">
        <w:rPr>
          <w:b/>
          <w:bCs/>
        </w:rPr>
        <w:t xml:space="preserve">Average </w:t>
      </w:r>
      <w:r>
        <w:rPr>
          <w:b/>
          <w:bCs/>
        </w:rPr>
        <w:t xml:space="preserve">number of COVID-19 cases in intensive care and the </w:t>
      </w:r>
      <w:r w:rsidR="00914C71">
        <w:rPr>
          <w:b/>
          <w:bCs/>
        </w:rPr>
        <w:t xml:space="preserve">average </w:t>
      </w:r>
      <w:r>
        <w:rPr>
          <w:b/>
          <w:bCs/>
        </w:rPr>
        <w:t>number of intensive care staff unavailable to work due to COVID-19 exposure or illness by jurisdiction and week of report*</w:t>
      </w:r>
      <w:r>
        <w:rPr>
          <w:b/>
          <w:bCs/>
          <w:vertAlign w:val="superscript"/>
        </w:rPr>
        <w:t>†‡</w:t>
      </w:r>
      <w:r>
        <w:rPr>
          <w:b/>
          <w:bCs/>
        </w:rPr>
        <w:t>, Australia, 1 January to 23 February 2025</w:t>
      </w:r>
    </w:p>
    <w:p w14:paraId="5DC80C8F" w14:textId="77777777" w:rsidR="001536FC" w:rsidRDefault="00AB1BF4">
      <w:pPr>
        <w:pStyle w:val="BodyText"/>
      </w:pPr>
      <w:r>
        <w:rPr>
          <w:noProof/>
        </w:rPr>
        <w:drawing>
          <wp:inline distT="0" distB="0" distL="0" distR="0" wp14:anchorId="5CF67B8A" wp14:editId="6E7B8BCB">
            <wp:extent cx="6184900" cy="7068457"/>
            <wp:effectExtent l="0" t="0" r="0" b="0"/>
            <wp:docPr id="76" name="Picture" descr="A set of eight stacked bar charts, one for each Australian state or territory, showing the mean number of ventilated and non-ventilated COVID-19 cases in intensive care from 1 January to 23 February 2025. A line graph plotted on the same axis (left) shows the average number of intensive care staff unavailable to work due to COVID-19 exposure or illness from 1 January to 23 Februar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In the year to date, the average number of COVID-19 cases in intensive care has been highest in New South Wales (approximately 3–20 cases in intensive care per week) and lowest in the Australian Capital Territory and the Northern Territory (1 case in intensive care per week). The average number of ventilated COVID-19 cases has remained low and stable across each jurisdiction, compared with the average number of non-ventilated COVID-19 cases which showed more variability. In the year to date, the average number of intensive care staff unavailable to work due to COVID-19 exposure or illness has fluctuated across all jurisdictions and was highest in Victoria (approximately 30 unavailable staff per week). In the reporting period (27 January to 23 February 2025), the average number of COVID-19 cases in intensive care decreased in Queensland and Victoria, and remained stable across all other jurisdictions. In the reporting period, the number of intensive care staff unavailable per week has decreased in New South Wales and Queensland; however, increased in the Australian Capital Territory and Victoria compared with the previous reporting period. The number of intensive care staff unavailable per week has remained stable across most other jurisdictions."/>
            <wp:cNvGraphicFramePr/>
            <a:graphic xmlns:a="http://schemas.openxmlformats.org/drawingml/2006/main">
              <a:graphicData uri="http://schemas.openxmlformats.org/drawingml/2006/picture">
                <pic:pic xmlns:pic="http://schemas.openxmlformats.org/drawingml/2006/picture">
                  <pic:nvPicPr>
                    <pic:cNvPr id="76" name="Picture" descr="A set of eight stacked bar charts, one for each Australian state or territory, showing the mean number of ventilated and non-ventilated COVID-19 cases in intensive care from 1 January to 23 February 2025. A line graph plotted on the same axis (left) shows the average number of intensive care staff unavailable to work due to COVID-19 exposure or illness from 1 January to 23 Februar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In the year to date, the average number of COVID-19 cases in intensive care has been highest in New South Wales (approximately 3–20 cases in intensive care per week) and lowest in the Australian Capital Territory and the Northern Territory (1 case in intensive care per week). The average number of ventilated COVID-19 cases has remained low and stable across each jurisdiction, compared with the average number of non-ventilated COVID-19 cases which showed more variability. In the year to date, the average number of intensive care staff unavailable to work due to COVID-19 exposure or illness has fluctuated across all jurisdictions and was highest in Victoria (approximately 30 unavailable staff per week). In the reporting period (27 January to 23 February 2025), the average number of COVID-19 cases in intensive care decreased in Queensland and Victoria, and remained stable across all other jurisdictions. In the reporting period, the number of intensive care staff unavailable per week has decreased in New South Wales and Queensland; however, increased in the Australian Capital Territory and Victoria compared with the previous reporting period. The number of intensive care staff unavailable per week has remained stable across most other jurisdictions."/>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5E96A68F" w14:textId="53F16DBA" w:rsidR="001536FC" w:rsidRDefault="00AB1BF4">
      <w:pPr>
        <w:pStyle w:val="Smalltext"/>
      </w:pPr>
      <w:r>
        <w:t>Source: Critical Health Resource Information System (CHRIS)</w:t>
      </w:r>
      <w:r>
        <w:br/>
        <w:t>* Axis varies between jurisdictions.</w:t>
      </w:r>
      <w:r>
        <w:br/>
        <w:t xml:space="preserve">† </w:t>
      </w:r>
      <w:r w:rsidR="00914C71">
        <w:t xml:space="preserve">Average </w:t>
      </w:r>
      <w:r>
        <w:t>number of ventilated and non-ventilated COVID-19 cases in intensive care includes only active COVID-19 cases (those in isolation) and does not include cleared COVID-19 cases.</w:t>
      </w:r>
      <w:r>
        <w:br/>
        <w:t>‡ Intensive care staff include both medical and nursing staff.</w:t>
      </w:r>
      <w:r>
        <w:br/>
      </w:r>
    </w:p>
    <w:p w14:paraId="5480A945" w14:textId="77777777" w:rsidR="001536FC" w:rsidRDefault="00AB1BF4">
      <w:r>
        <w:br w:type="page"/>
      </w:r>
    </w:p>
    <w:p w14:paraId="66EA966E" w14:textId="2CBD1D67" w:rsidR="001536FC" w:rsidRPr="00F81CD1" w:rsidRDefault="00AB1BF4">
      <w:pPr>
        <w:pStyle w:val="Heading1"/>
      </w:pPr>
      <w:bookmarkStart w:id="5" w:name="mortality-surveillance"/>
      <w:bookmarkEnd w:id="4"/>
      <w:r w:rsidRPr="00F81CD1">
        <w:lastRenderedPageBreak/>
        <w:t>Mortality surveillance</w:t>
      </w:r>
    </w:p>
    <w:p w14:paraId="5099D60C" w14:textId="6859DACD" w:rsidR="001536FC" w:rsidRPr="00F81CD1" w:rsidRDefault="00AB1BF4">
      <w:r w:rsidRPr="00F81CD1">
        <w:t xml:space="preserve">Death registrations can provide information on the scale and severity of disease associated with acute respiratory infections. For more information on death registrations, including completeness and timeliness, refer to the </w:t>
      </w:r>
      <w:hyperlink r:id="rId55">
        <w:r w:rsidRPr="00F81CD1">
          <w:rPr>
            <w:rStyle w:val="Hyperlink"/>
          </w:rPr>
          <w:t>Technical Supplement</w:t>
        </w:r>
      </w:hyperlink>
      <w:r w:rsidRPr="00F81CD1">
        <w:t>.</w:t>
      </w:r>
    </w:p>
    <w:p w14:paraId="38B56D44" w14:textId="5E227510" w:rsidR="001536FC" w:rsidRPr="00B91B2B" w:rsidRDefault="00AB1BF4" w:rsidP="00851DDA">
      <w:pPr>
        <w:numPr>
          <w:ilvl w:val="0"/>
          <w:numId w:val="28"/>
        </w:numPr>
      </w:pPr>
      <w:r w:rsidRPr="00B91B2B">
        <w:t>COVID-19 has been the leading cause of acute respiratory infection mortality across 202</w:t>
      </w:r>
      <w:r w:rsidR="00B91B2B" w:rsidRPr="00B91B2B">
        <w:t>3</w:t>
      </w:r>
      <w:r w:rsidR="00702B22" w:rsidRPr="00B91B2B">
        <w:t>–</w:t>
      </w:r>
      <w:r w:rsidRPr="00B91B2B">
        <w:t>202</w:t>
      </w:r>
      <w:r w:rsidR="00B91B2B" w:rsidRPr="00B91B2B">
        <w:t>5</w:t>
      </w:r>
      <w:r w:rsidRPr="00B91B2B">
        <w:t>.</w:t>
      </w:r>
    </w:p>
    <w:p w14:paraId="232D9A8E" w14:textId="4A1E1877" w:rsidR="001536FC" w:rsidRPr="00716CE3" w:rsidRDefault="00AB1BF4" w:rsidP="00851DDA">
      <w:pPr>
        <w:numPr>
          <w:ilvl w:val="0"/>
          <w:numId w:val="28"/>
        </w:numPr>
      </w:pPr>
      <w:r w:rsidRPr="00716CE3">
        <w:t>Deaths involving</w:t>
      </w:r>
      <w:r w:rsidR="00921825">
        <w:t xml:space="preserve"> COVID-19</w:t>
      </w:r>
      <w:r w:rsidRPr="00716CE3">
        <w:t xml:space="preserve"> </w:t>
      </w:r>
      <w:r w:rsidR="00716CE3" w:rsidRPr="00716CE3">
        <w:t>have increased slightly in November and December 2024 but remain lower than deaths at the same point in 2023</w:t>
      </w:r>
      <w:r w:rsidRPr="00716CE3">
        <w:t xml:space="preserve">. </w:t>
      </w:r>
    </w:p>
    <w:p w14:paraId="311AF122" w14:textId="0429FC68" w:rsidR="001536FC" w:rsidRDefault="00F430D6" w:rsidP="00851DDA">
      <w:pPr>
        <w:numPr>
          <w:ilvl w:val="0"/>
          <w:numId w:val="28"/>
        </w:numPr>
      </w:pPr>
      <w:r w:rsidRPr="00E019F5">
        <w:t xml:space="preserve">Deaths involving influenza remained low in November and December 2024. Influenza-related mortality in 2024 was 67.3% higher than those recorded in 2023 (1,002 deaths compared to 599). </w:t>
      </w:r>
    </w:p>
    <w:p w14:paraId="093AF9D6" w14:textId="77777777" w:rsidR="008A5B06" w:rsidRPr="008A5B06" w:rsidRDefault="008A5B06" w:rsidP="008A5B06">
      <w:pPr>
        <w:numPr>
          <w:ilvl w:val="0"/>
          <w:numId w:val="28"/>
        </w:numPr>
        <w:shd w:val="clear" w:color="auto" w:fill="FFFFFF"/>
        <w:spacing w:before="100" w:beforeAutospacing="1" w:line="240" w:lineRule="auto"/>
      </w:pPr>
      <w:r w:rsidRPr="008A5B06">
        <w:t>Deaths involving RSV have been at comparable levels to those recorded in 2023 since July.</w:t>
      </w:r>
    </w:p>
    <w:p w14:paraId="71A16CFB" w14:textId="77777777" w:rsidR="001536FC" w:rsidRPr="00E019F5" w:rsidRDefault="00AB1BF4" w:rsidP="00851DDA">
      <w:pPr>
        <w:numPr>
          <w:ilvl w:val="0"/>
          <w:numId w:val="28"/>
        </w:numPr>
      </w:pPr>
      <w:r w:rsidRPr="00E019F5">
        <w:t>All three of these acute respiratory infections are more likely to cause death in older age groups than younger age groups.</w:t>
      </w:r>
    </w:p>
    <w:p w14:paraId="58DECBE6" w14:textId="295BDA07" w:rsidR="001536FC" w:rsidRPr="00A37CF8" w:rsidRDefault="00AB1BF4">
      <w:r w:rsidRPr="00A37CF8">
        <w:rPr>
          <w:b/>
          <w:bCs/>
        </w:rPr>
        <w:t>Figure 15: Provisional numbers of acute respiratory infection associated deaths*†‡ by month, year and respiratory infection, Australia, 202</w:t>
      </w:r>
      <w:r w:rsidR="006E0F52">
        <w:rPr>
          <w:b/>
          <w:bCs/>
        </w:rPr>
        <w:t>3</w:t>
      </w:r>
      <w:r w:rsidRPr="00A37CF8">
        <w:rPr>
          <w:b/>
          <w:bCs/>
        </w:rPr>
        <w:t xml:space="preserve"> – </w:t>
      </w:r>
      <w:r w:rsidR="00A37CF8" w:rsidRPr="00A37CF8">
        <w:rPr>
          <w:b/>
          <w:bCs/>
        </w:rPr>
        <w:t>January 2025</w:t>
      </w:r>
    </w:p>
    <w:p w14:paraId="764113FD" w14:textId="3B9E559A" w:rsidR="001536FC" w:rsidRPr="009C5E9E" w:rsidRDefault="00864A72">
      <w:pPr>
        <w:pStyle w:val="BodyText"/>
      </w:pPr>
      <w:r>
        <w:rPr>
          <w:noProof/>
        </w:rPr>
        <w:drawing>
          <wp:inline distT="0" distB="0" distL="0" distR="0" wp14:anchorId="4446C7AB" wp14:editId="0169FD11">
            <wp:extent cx="6184900" cy="5148000"/>
            <wp:effectExtent l="0" t="0" r="6350" b="0"/>
            <wp:docPr id="35" name="Picture" descr="A set of three line graphs comparing the provisional number of acute respiratory infection associated deaths reported on a medical certificate of cause of death by month, year and respiratory infection in Australia, from January 2023 to January 2025. The y-axis (left) for each graph represents the number of deaths, and the x-axis (horizontal) for each graph represents month of death from January to December.&#10;The first line graph shows the provisional number of COVID-19 associated deaths reported on a medical certificate by month and year of death. The red dotted line, representing provisional deaths in 2023, shows the number of provisional deaths declined following a peak in January of 985 provisional deaths, then gradually increased to 829 provisional deaths in May, followed by a decline in the number of provisional deaths each month for the remainder of 2023. The light blue dashed line, representing provisional deaths in 2024, shows the number of provisional deaths declining from January to April, before increasing to a peak of 861 provisional deaths in June, and then declining again from July to December. The dark blue dashed line, representing provisional deaths in 2025, shows a decrease in the number of provisional deaths from December 2024 to January 2025. The number of provisional deaths in January 2025, is significantly lower than the number of provisional deaths reported in the same period in 2023 and 2024. However, caution should be taken when interpreting this trend as the most recent months provisional death data are considered to be incomplete.  &#10;The second line graph shows the provisional number of influenza associated deaths reported on a medical certificate by month and year of death. The red dotted line, representing provisional deaths in 2023, shows a low number of provisional deaths across January to May, before the number of provisional number of deaths increased to a peak of 148 provisional deaths in July, followed by a decline and low number of provisional deaths each month from August to December. The light blue dashed line, representing provisional deaths in 2024, shows the number of provisional deaths from January to April were low and stable not exceeding 50 provisional deaths per month, from May, there was a steady increase in the provisional number of influenza associated deaths peaking at 267 provisional deaths per month in both July and August, followed by a decrease in the provisional number of deaths in the latter part of 2024. The dark blue dashed line, representing provisional deaths in 2025, shows a low number of provisional deaths over January 2025, with the provisional number of deaths similar to that reported in January 2023. However, caution should be taken when interpreting this trend as the most recent months provisional death data are considered to be incomplete.  &#10;The third line graph shows the provisional number of RSV associated deaths reported on a medical certificate by month and year of death. The red dotted line, representing provisional deaths in 2023, shows an increase in the number of provisional deaths per month from February to a peak of 69 provisional deaths in July, followed by a slow decline from August to December. There were no published deaths in January 2023. The light blue dashed line, representing provisional deaths in 2024, an increase in the number of provisional deaths per month from January to a peak of 87 provisional deaths in June, followed by a sharp decline in the number of deaths until September and then a gradual decline until December. The dark blue dashed line, representing provisional deaths in 2025, shows a low number of provisional deaths in January 2025, with the provisional number of deaths similar to that reported in January 2024. However, caution should be taken when interpreting this trend as the most recent months provisional death data are considered to be incomplete.  &#10;"/>
            <wp:cNvGraphicFramePr/>
            <a:graphic xmlns:a="http://schemas.openxmlformats.org/drawingml/2006/main">
              <a:graphicData uri="http://schemas.openxmlformats.org/drawingml/2006/picture">
                <pic:pic xmlns:pic="http://schemas.openxmlformats.org/drawingml/2006/picture">
                  <pic:nvPicPr>
                    <pic:cNvPr id="35" name="Picture" descr="A set of three line graphs comparing the provisional number of acute respiratory infection associated deaths reported on a medical certificate of cause of death by month, year and respiratory infection in Australia, from January 2023 to January 2025. The y-axis (left) for each graph represents the number of deaths, and the x-axis (horizontal) for each graph represents month of death from January to December.&#10;The first line graph shows the provisional number of COVID-19 associated deaths reported on a medical certificate by month and year of death. The red dotted line, representing provisional deaths in 2023, shows the number of provisional deaths declined following a peak in January of 985 provisional deaths, then gradually increased to 829 provisional deaths in May, followed by a decline in the number of provisional deaths each month for the remainder of 2023. The light blue dashed line, representing provisional deaths in 2024, shows the number of provisional deaths declining from January to April, before increasing to a peak of 861 provisional deaths in June, and then declining again from July to December. The dark blue dashed line, representing provisional deaths in 2025, shows a decrease in the number of provisional deaths from December 2024 to January 2025. The number of provisional deaths in January 2025, is significantly lower than the number of provisional deaths reported in the same period in 2023 and 2024. However, caution should be taken when interpreting this trend as the most recent months provisional death data are considered to be incomplete.  &#10;The second line graph shows the provisional number of influenza associated deaths reported on a medical certificate by month and year of death. The red dotted line, representing provisional deaths in 2023, shows a low number of provisional deaths across January to May, before the number of provisional number of deaths increased to a peak of 148 provisional deaths in July, followed by a decline and low number of provisional deaths each month from August to December. The light blue dashed line, representing provisional deaths in 2024, shows the number of provisional deaths from January to April were low and stable not exceeding 50 provisional deaths per month, from May, there was a steady increase in the provisional number of influenza associated deaths peaking at 267 provisional deaths per month in both July and August, followed by a decrease in the provisional number of deaths in the latter part of 2024. The dark blue dashed line, representing provisional deaths in 2025, shows a low number of provisional deaths over January 2025, with the provisional number of deaths similar to that reported in January 2023. However, caution should be taken when interpreting this trend as the most recent months provisional death data are considered to be incomplete.  &#10;The third line graph shows the provisional number of RSV associated deaths reported on a medical certificate by month and year of death. The red dotted line, representing provisional deaths in 2023, shows an increase in the number of provisional deaths per month from February to a peak of 69 provisional deaths in July, followed by a slow decline from August to December. There were no published deaths in January 2023. The light blue dashed line, representing provisional deaths in 2024, an increase in the number of provisional deaths per month from January to a peak of 87 provisional deaths in June, followed by a sharp decline in the number of deaths until September and then a gradual decline until December. The dark blue dashed line, representing provisional deaths in 2025, shows a low number of provisional deaths in January 2025, with the provisional number of deaths similar to that reported in January 2024. However, caution should be taken when interpreting this trend as the most recent months provisional death data are considered to be incomplete.  &#10;"/>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5148000"/>
                    </a:xfrm>
                    <a:prstGeom prst="rect">
                      <a:avLst/>
                    </a:prstGeom>
                    <a:noFill/>
                    <a:ln w="9525">
                      <a:noFill/>
                      <a:headEnd/>
                      <a:tailEnd/>
                    </a:ln>
                  </pic:spPr>
                </pic:pic>
              </a:graphicData>
            </a:graphic>
          </wp:inline>
        </w:drawing>
      </w:r>
    </w:p>
    <w:p w14:paraId="1993D814" w14:textId="16276676" w:rsidR="001536FC" w:rsidRDefault="00AB1BF4" w:rsidP="00375504">
      <w:pPr>
        <w:pStyle w:val="Smalltext"/>
      </w:pPr>
      <w:r w:rsidRPr="00432207">
        <w:t xml:space="preserve">Source: Australian Bureau of Statistics, </w:t>
      </w:r>
      <w:hyperlink r:id="rId58">
        <w:r w:rsidR="00432207" w:rsidRPr="00432207">
          <w:rPr>
            <w:rStyle w:val="Hyperlink"/>
          </w:rPr>
          <w:t>Provisional Mortality Statistics, Jan - Nov 2024</w:t>
        </w:r>
      </w:hyperlink>
      <w:r w:rsidRPr="00432207">
        <w:t xml:space="preserve">, released </w:t>
      </w:r>
      <w:r w:rsidR="00F7358E" w:rsidRPr="00432207">
        <w:t>28 February</w:t>
      </w:r>
      <w:r w:rsidRPr="00432207">
        <w:t xml:space="preserve"> 202</w:t>
      </w:r>
      <w:r w:rsidR="00F7358E" w:rsidRPr="00432207">
        <w:t>5</w:t>
      </w:r>
      <w:r w:rsidRPr="00432207">
        <w:t>.</w:t>
      </w:r>
      <w:r w:rsidRPr="00432207">
        <w:br/>
        <w:t xml:space="preserve">* Axis varies between acute respiratory associated deaths. An acute respiratory associated death is one where the disease has either directly caused the death or the person has died with the virus (a person has died from another cause but the disease still contributed significantly to death). </w:t>
      </w:r>
      <w:r w:rsidRPr="00432207">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w:t>
      </w:r>
      <w:r w:rsidR="00E228C9">
        <w:t>31 January 2025</w:t>
      </w:r>
      <w:r w:rsidRPr="00432207">
        <w:t xml:space="preserve">. Please refer to the </w:t>
      </w:r>
      <w:hyperlink r:id="rId59">
        <w:r w:rsidRPr="00432207">
          <w:rPr>
            <w:rStyle w:val="Hyperlink"/>
          </w:rPr>
          <w:t>Technical Supplement</w:t>
        </w:r>
      </w:hyperlink>
      <w:r w:rsidRPr="00432207">
        <w:t xml:space="preserve"> for more information.</w:t>
      </w:r>
      <w:r w:rsidRPr="00432207">
        <w:br/>
        <w:t>‡ All deaths involving COVID-19 in this report have been coded to ICD-10 codes U07.1-U07.2, U10.9 or U09.9. All deaths involving influenza have been coded to J09-J11. All deaths involving RSV have been coded to J12.1, J20.5, J21.0, B97.4.</w:t>
      </w:r>
      <w:r w:rsidR="000D3A0F">
        <w:t xml:space="preserve"> </w:t>
      </w:r>
      <w:r>
        <w:br w:type="page"/>
      </w:r>
    </w:p>
    <w:p w14:paraId="57D53F0C" w14:textId="77777777" w:rsidR="001536FC" w:rsidRDefault="00AB1BF4">
      <w:pPr>
        <w:pStyle w:val="Heading1"/>
      </w:pPr>
      <w:bookmarkStart w:id="6" w:name="laboratory-surveillance"/>
      <w:bookmarkEnd w:id="5"/>
      <w:r>
        <w:lastRenderedPageBreak/>
        <w:t>Laboratory surveillance</w:t>
      </w:r>
    </w:p>
    <w:p w14:paraId="2AE089A6" w14:textId="77777777" w:rsidR="001536FC" w:rsidRDefault="00AB1BF4">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030D7A6D" w14:textId="4732FCC5" w:rsidR="001536FC" w:rsidRDefault="00AB1BF4" w:rsidP="00851DDA">
      <w:pPr>
        <w:numPr>
          <w:ilvl w:val="0"/>
          <w:numId w:val="29"/>
        </w:numPr>
      </w:pPr>
      <w:r>
        <w:t xml:space="preserve">This month (27 January to 23 February 2025), SARS-CoV-2 test positivity has decreased to 3.5% (733/20,872), influenza </w:t>
      </w:r>
      <w:r w:rsidR="00566287">
        <w:t xml:space="preserve">test </w:t>
      </w:r>
      <w:r>
        <w:t xml:space="preserve">positivity has </w:t>
      </w:r>
      <w:r w:rsidR="00AB3B7A">
        <w:t>increased slightly to 4.3% (1,117/26,066)</w:t>
      </w:r>
      <w:r>
        <w:t xml:space="preserve">, and RSV </w:t>
      </w:r>
      <w:r w:rsidR="2AE0F296">
        <w:t>test</w:t>
      </w:r>
      <w:r>
        <w:t xml:space="preserve"> positivity has increased</w:t>
      </w:r>
      <w:r w:rsidR="00566287">
        <w:t xml:space="preserve"> </w:t>
      </w:r>
      <w:r>
        <w:t>to 0.9% (188/20,872) (Figure 16).</w:t>
      </w:r>
    </w:p>
    <w:p w14:paraId="371E6843" w14:textId="77777777" w:rsidR="001536FC" w:rsidRDefault="001536FC"/>
    <w:p w14:paraId="2492A2D1" w14:textId="77777777" w:rsidR="001536FC" w:rsidRDefault="00AB1BF4">
      <w:pPr>
        <w:pStyle w:val="BodyText"/>
      </w:pPr>
      <w:r>
        <w:rPr>
          <w:b/>
          <w:bCs/>
        </w:rPr>
        <w:t>Figure 16: Number of tests positive (bars) and test positivity (line) for SARS-CoV-2, influenza or RSV of those specimens tested by sentinel laboratories by week of report*</w:t>
      </w:r>
      <w:r>
        <w:rPr>
          <w:b/>
          <w:bCs/>
          <w:vertAlign w:val="superscript"/>
        </w:rPr>
        <w:t>†</w:t>
      </w:r>
      <w:r>
        <w:rPr>
          <w:b/>
          <w:bCs/>
        </w:rPr>
        <w:t>, Australia, 1 January to 23 February 2025</w:t>
      </w:r>
    </w:p>
    <w:p w14:paraId="287CF98E" w14:textId="6BEB62C0" w:rsidR="001536FC" w:rsidRDefault="00A13CF0">
      <w:pPr>
        <w:pStyle w:val="BodyText"/>
      </w:pPr>
      <w:r>
        <w:rPr>
          <w:noProof/>
        </w:rPr>
        <w:drawing>
          <wp:inline distT="0" distB="0" distL="0" distR="0" wp14:anchorId="40383F6F" wp14:editId="6EF04137">
            <wp:extent cx="6184900" cy="5301342"/>
            <wp:effectExtent l="0" t="0" r="0" b="0"/>
            <wp:docPr id="85" name="Picture" descr="A set of three bar charts with overlaying line graphs, one for each pathogen (SARS-CoV-2, influenza or RSV),  comparing the number of tests (bars) and test positivity (line) from specimens tested by sentinel laboratories by week, from 1 January to 23 February 2025. The left y-axis shows the number of positive tests, the right y-axis shows positivity (percentage of positive tests), and the x-axis shows the week of report. &#10;For SARS-CoV-2, the number of positive tests per week followed an overall decreasing trend. In the reporting period (27 January to 23 February 2025), there have been approximately 225–250 positive tests per week. For SARS-CoV-2, test positivity followed a similar overall decreasing trend to the number of SARS-CoV-2 positive tests per week. In the reporting period, SARS-CoV-2 test positivity was approximately 3.5–4% per week.  &#10;For influenza, the number of positive tests per week followed an overall increasing trend, with some week-on- week decreases observed. In the reporting period (27 January to 23 February 2025), there have been approximately 200–325 positive tests per week. For influenza, test positivity has followed a similar overall increasing trend, with some week-on-week decreases observed. In the reporting period, test positivity increased from 3.5% to 4.5% per week. &#10;For RSV, the number of positive tests per week fluctuated. In the reporting period (27 January to 23 February 2025), there have been approximately 50–80 positive tests per week. For RSV, test positivity has remained relatively stable between 0.75–1.25% per week. In the reporting period, test positivity increased from 0.75 per week to 1.25% per week. &#10;"/>
            <wp:cNvGraphicFramePr/>
            <a:graphic xmlns:a="http://schemas.openxmlformats.org/drawingml/2006/main">
              <a:graphicData uri="http://schemas.openxmlformats.org/drawingml/2006/picture">
                <pic:pic xmlns:pic="http://schemas.openxmlformats.org/drawingml/2006/picture">
                  <pic:nvPicPr>
                    <pic:cNvPr id="85" name="Picture" descr="A set of three bar charts with overlaying line graphs, one for each pathogen (SARS-CoV-2, influenza or RSV),  comparing the number of tests (bars) and test positivity (line) from specimens tested by sentinel laboratories by week, from 1 January to 23 February 2025. The left y-axis shows the number of positive tests, the right y-axis shows positivity (percentage of positive tests), and the x-axis shows the week of report. &#10;For SARS-CoV-2, the number of positive tests per week followed an overall decreasing trend. In the reporting period (27 January to 23 February 2025), there have been approximately 225–250 positive tests per week. For SARS-CoV-2, test positivity followed a similar overall decreasing trend to the number of SARS-CoV-2 positive tests per week. In the reporting period, SARS-CoV-2 test positivity was approximately 3.5–4% per week.  &#10;For influenza, the number of positive tests per week followed an overall increasing trend, with some week-on- week decreases observed. In the reporting period (27 January to 23 February 2025), there have been approximately 200–325 positive tests per week. For influenza, test positivity has followed a similar overall increasing trend, with some week-on-week decreases observed. In the reporting period, test positivity increased from 3.5% to 4.5% per week. &#10;For RSV, the number of positive tests per week fluctuated. In the reporting period (27 January to 23 February 2025), there have been approximately 50–80 positive tests per week. For RSV, test positivity has remained relatively stable between 0.75–1.25% per week. In the reporting period, test positivity increased from 0.75 per week to 1.25% per week. &#10;"/>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D7E76F4" w14:textId="59C2D219" w:rsidR="00E27521" w:rsidRDefault="00AB1BF4">
      <w:pPr>
        <w:pStyle w:val="Smalltext"/>
      </w:pPr>
      <w:r>
        <w:t>Source: Sentinel laboratories, including National Influenza Centres</w:t>
      </w:r>
      <w:r>
        <w:br/>
      </w:r>
      <w:r w:rsidR="00BA7220">
        <w:t>* Number of specimens tested excludes data from Western Australia as testing denominator data are different for the three pathogens in Western Australia.</w:t>
      </w:r>
      <w:r w:rsidR="00BA7220">
        <w:br/>
      </w:r>
      <w: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202DE47" w14:textId="77777777" w:rsidR="00E27521" w:rsidRDefault="00E27521">
      <w:pPr>
        <w:spacing w:before="0" w:after="0" w:line="240" w:lineRule="auto"/>
        <w:rPr>
          <w:sz w:val="14"/>
        </w:rPr>
      </w:pPr>
      <w:r>
        <w:br w:type="page"/>
      </w:r>
    </w:p>
    <w:p w14:paraId="57A65B96" w14:textId="77777777" w:rsidR="001536FC" w:rsidRDefault="00AB1BF4" w:rsidP="00851DDA">
      <w:pPr>
        <w:numPr>
          <w:ilvl w:val="0"/>
          <w:numId w:val="30"/>
        </w:numPr>
      </w:pPr>
      <w:r>
        <w:lastRenderedPageBreak/>
        <w:t>There were 233 sequences uploaded to AusTrakka with dates of collection in the past 28 days (27 January to 23 February 2025). These sequences were from New South Wales, Queensland, South Australia, Tasmania, and Western Australia, with the most recent collection date 6 February 2025.</w:t>
      </w:r>
    </w:p>
    <w:p w14:paraId="24146761" w14:textId="77777777" w:rsidR="001536FC" w:rsidRDefault="00AB1BF4" w:rsidP="00851DDA">
      <w:pPr>
        <w:numPr>
          <w:ilvl w:val="0"/>
          <w:numId w:val="30"/>
        </w:numPr>
      </w:pPr>
      <w:r>
        <w:t>All sequences were assigned to the BA.2.86 sub-lineage within B.1.1.529 (Omicron) or recombinants consisting of one or more Omicron sub-lineages (Figure 17). There were no BA.1, BA.3, BA.4, BA.5 or other BA.2 sub-sub-lineage sequences. In the past 28 days:</w:t>
      </w:r>
    </w:p>
    <w:p w14:paraId="3DCEBE91" w14:textId="77777777" w:rsidR="001536FC" w:rsidRDefault="00AB1BF4" w:rsidP="00851DDA">
      <w:pPr>
        <w:numPr>
          <w:ilvl w:val="1"/>
          <w:numId w:val="31"/>
        </w:numPr>
      </w:pPr>
      <w:r>
        <w:t>37.3% (87/233) of sequences were from the sub-sub-lineages JN.1 (BA.2.86.1.1), including from KP.3 (45/87)</w:t>
      </w:r>
    </w:p>
    <w:p w14:paraId="3F71A1B5" w14:textId="77777777" w:rsidR="001536FC" w:rsidRDefault="00AB1BF4" w:rsidP="00851DDA">
      <w:pPr>
        <w:numPr>
          <w:ilvl w:val="1"/>
          <w:numId w:val="31"/>
        </w:numPr>
      </w:pPr>
      <w:r>
        <w:t>62.7% (146/233) of sequences were recombinant or recombinant sub-lineages, including XEC, a recombinant between KS.1.1 (JN.1.13.1.1.1) and KP.3.3</w:t>
      </w:r>
    </w:p>
    <w:p w14:paraId="05557F37" w14:textId="77777777" w:rsidR="001536FC" w:rsidRDefault="00AB1BF4" w:rsidP="00851DDA">
      <w:pPr>
        <w:numPr>
          <w:ilvl w:val="0"/>
          <w:numId w:val="30"/>
        </w:numPr>
      </w:pPr>
      <w:r>
        <w:t>XEC is now the dominant circulating variant, followed by JN.1 and associated sub-lineages (Figure 17).</w:t>
      </w:r>
    </w:p>
    <w:p w14:paraId="3BFE0805" w14:textId="77777777" w:rsidR="001536FC" w:rsidRDefault="00AB1BF4" w:rsidP="00851DDA">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B8673A5" w14:textId="77777777" w:rsidR="001536FC" w:rsidRDefault="00AB1BF4" w:rsidP="00851DDA">
      <w:pPr>
        <w:numPr>
          <w:ilvl w:val="1"/>
          <w:numId w:val="32"/>
        </w:numPr>
      </w:pPr>
      <w:r>
        <w:t>There are 169 LP.8.1 sequences in AusTrakka, with 24 collected in the past 28 days. LP.8.1 was designated as a VUM as of 24 January 2025.</w:t>
      </w:r>
    </w:p>
    <w:p w14:paraId="100F53E4" w14:textId="77777777" w:rsidR="001536FC" w:rsidRDefault="00AB1BF4" w:rsidP="00851DDA">
      <w:pPr>
        <w:numPr>
          <w:ilvl w:val="1"/>
          <w:numId w:val="32"/>
        </w:numPr>
      </w:pPr>
      <w:r>
        <w:t>There are 1,841 XEC sequences in AusTrakka, including 139 collected in past 28 days.</w:t>
      </w:r>
    </w:p>
    <w:p w14:paraId="3712083A" w14:textId="77777777" w:rsidR="001536FC" w:rsidRDefault="00AB1BF4" w:rsidP="00851DDA">
      <w:pPr>
        <w:numPr>
          <w:ilvl w:val="1"/>
          <w:numId w:val="32"/>
        </w:numPr>
      </w:pPr>
      <w:r>
        <w:t>There are 320 LB.1 sequences in AusTrakka, with eight sequences identified in the past 28 days.</w:t>
      </w:r>
    </w:p>
    <w:p w14:paraId="49D26DF7" w14:textId="77777777" w:rsidR="001536FC" w:rsidRDefault="00AB1BF4" w:rsidP="00851DDA">
      <w:pPr>
        <w:numPr>
          <w:ilvl w:val="1"/>
          <w:numId w:val="32"/>
        </w:numPr>
      </w:pPr>
      <w:r>
        <w:t>There are 2,315 KP.3.1.1 sequences in AusTrakka, with 43 sequences identified in the past 28 days.</w:t>
      </w:r>
    </w:p>
    <w:p w14:paraId="28D16EDB" w14:textId="77777777" w:rsidR="001536FC" w:rsidRDefault="00AB1BF4">
      <w:r>
        <w:rPr>
          <w:b/>
          <w:bCs/>
        </w:rPr>
        <w:t>Figure 17a: Omicron sub-lineage* sequences by sample collection date, showing the proportions of sequences per week^</w:t>
      </w:r>
      <w:r>
        <w:rPr>
          <w:b/>
          <w:bCs/>
          <w:vertAlign w:val="superscript"/>
        </w:rPr>
        <w:t>†</w:t>
      </w:r>
      <w:r>
        <w:rPr>
          <w:b/>
          <w:bCs/>
        </w:rPr>
        <w:t>, Australia, 1 January to 23 February 2025</w:t>
      </w:r>
    </w:p>
    <w:p w14:paraId="1FA35ECF" w14:textId="2C622436" w:rsidR="007B0F97" w:rsidRDefault="00D23764">
      <w:pPr>
        <w:pStyle w:val="Smalltext"/>
      </w:pPr>
      <w:r w:rsidRPr="00D23764">
        <w:rPr>
          <w:noProof/>
        </w:rPr>
        <w:drawing>
          <wp:inline distT="0" distB="0" distL="0" distR="0" wp14:anchorId="48CF4507" wp14:editId="33CAAA64">
            <wp:extent cx="6192520" cy="3096260"/>
            <wp:effectExtent l="0" t="0" r="0" b="8890"/>
            <wp:docPr id="31165952" name="Graphic 1" descr="A 100% stacked bar chart showing the proportions of SARS-CoV-2 Omicron sub-lineage sequences per week by sample collection date from 1 January 2025 to 23 February 2025. The y-axis (left) shows the proportion of SARS-CoV-2 Omicron sub-lineage sequences, and the x-axis shows the week of sample collection. In the year to date, the recombinant sub-lineage XEC had the highest proportion of sequences each week with approximately 50% (or greater) of sequences per week being the recombinant sub-lineage XEC. In the reporting period (27 January to 23 February 2025), the recombinant sub-lineage XEC had the highest proportion of sequences in each week of the reporting period, followed by KP.3.3.1.1 and then smaller proportions of LP.8.1, LB.1 and JN.1. Due to delays in submission of sequences to AusTrakka, there are no sequences available in the last two weeks of the reporting period (10 February to 23 Febr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5952" name="Graphic 1" descr="A 100% stacked bar chart showing the proportions of SARS-CoV-2 Omicron sub-lineage sequences per week by sample collection date from 1 January 2025 to 23 February 2025. The y-axis (left) shows the proportion of SARS-CoV-2 Omicron sub-lineage sequences, and the x-axis shows the week of sample collection. In the year to date, the recombinant sub-lineage XEC had the highest proportion of sequences each week with approximately 50% (or greater) of sequences per week being the recombinant sub-lineage XEC. In the reporting period (27 January to 23 February 2025), the recombinant sub-lineage XEC had the highest proportion of sequences in each week of the reporting period, followed by KP.3.3.1.1 and then smaller proportions of LP.8.1, LB.1 and JN.1. Due to delays in submission of sequences to AusTrakka, there are no sequences available in the last two weeks of the reporting period (10 February to 23 February 2025). "/>
                    <pic:cNvPicPr/>
                  </pic:nvPicPr>
                  <pic:blipFill>
                    <a:blip r:embed="rId62">
                      <a:extLst>
                        <a:ext uri="{96DAC541-7B7A-43D3-8B79-37D633B846F1}">
                          <asvg:svgBlip xmlns:asvg="http://schemas.microsoft.com/office/drawing/2016/SVG/main" r:embed="rId63"/>
                        </a:ext>
                      </a:extLst>
                    </a:blip>
                    <a:stretch>
                      <a:fillRect/>
                    </a:stretch>
                  </pic:blipFill>
                  <pic:spPr>
                    <a:xfrm>
                      <a:off x="0" y="0"/>
                      <a:ext cx="6192520" cy="3096260"/>
                    </a:xfrm>
                    <a:prstGeom prst="rect">
                      <a:avLst/>
                    </a:prstGeom>
                  </pic:spPr>
                </pic:pic>
              </a:graphicData>
            </a:graphic>
          </wp:inline>
        </w:drawing>
      </w:r>
    </w:p>
    <w:p w14:paraId="05967E09" w14:textId="3168E198" w:rsidR="001536FC" w:rsidRDefault="00AB1BF4">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17a may not be representative when sequence numbers are small; refer to Figure 17b.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796DD4C4" w14:textId="77777777" w:rsidR="001536FC" w:rsidRDefault="00AB1BF4">
      <w:pPr>
        <w:pStyle w:val="BodyText"/>
      </w:pPr>
      <w:r>
        <w:rPr>
          <w:b/>
          <w:bCs/>
        </w:rPr>
        <w:lastRenderedPageBreak/>
        <w:t>Figure 17b: Omicron sub-lineage* sequences by sample collection date, showing the count of sequences per week^</w:t>
      </w:r>
      <w:r>
        <w:rPr>
          <w:b/>
          <w:bCs/>
          <w:vertAlign w:val="superscript"/>
        </w:rPr>
        <w:t>†</w:t>
      </w:r>
      <w:r>
        <w:rPr>
          <w:b/>
          <w:bCs/>
        </w:rPr>
        <w:t>, Australia, 1 January to 23 February 2025</w:t>
      </w:r>
    </w:p>
    <w:p w14:paraId="05885792" w14:textId="476642C1" w:rsidR="001536FC" w:rsidRDefault="000D2D91">
      <w:pPr>
        <w:pStyle w:val="Smalltext"/>
      </w:pPr>
      <w:r w:rsidRPr="000D2D91">
        <w:rPr>
          <w:noProof/>
        </w:rPr>
        <w:drawing>
          <wp:inline distT="0" distB="0" distL="0" distR="0" wp14:anchorId="391BC6C6" wp14:editId="1AA83C9F">
            <wp:extent cx="6192520" cy="3096260"/>
            <wp:effectExtent l="0" t="0" r="0" b="8890"/>
            <wp:docPr id="686512388" name="Graphic 1" descr="A bar chart showing the number of SARS-CoV-2 Omicron sub-lineage sequences per week by sample collection date from 1 January 2025 to 23 February 2025. The y-axis (left) shows the count of SARS-CoV-2 Omicron sub-lineage sequences, and the x-axis shows the week of sample collection. In the year to date, the recombinant sub-lineage XEC had the highest number of sequences each week, followed by KP.3.1.1. In the reporting period (27 January to 23 February 2025), the recombinant sub-lineage XEC had the highest number of sequences each week with approximately 55–75 sequences per week, followed by approximately 20–25 KP.3.1.1 sequences per week. There were small numbers of LP.8.1, LB.1, and JN.1 sequences. Due to delays in submission of sequences to AusTrakka, there are no sequences available in the last two weeks of the reporting period (10 February to 23 Febr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12388" name="Graphic 1" descr="A bar chart showing the number of SARS-CoV-2 Omicron sub-lineage sequences per week by sample collection date from 1 January 2025 to 23 February 2025. The y-axis (left) shows the count of SARS-CoV-2 Omicron sub-lineage sequences, and the x-axis shows the week of sample collection. In the year to date, the recombinant sub-lineage XEC had the highest number of sequences each week, followed by KP.3.1.1. In the reporting period (27 January to 23 February 2025), the recombinant sub-lineage XEC had the highest number of sequences each week with approximately 55–75 sequences per week, followed by approximately 20–25 KP.3.1.1 sequences per week. There were small numbers of LP.8.1, LB.1, and JN.1 sequences. Due to delays in submission of sequences to AusTrakka, there are no sequences available in the last two weeks of the reporting period (10 February to 23 February 2025)."/>
                    <pic:cNvPicPr/>
                  </pic:nvPicPr>
                  <pic:blipFill>
                    <a:blip r:embed="rId64">
                      <a:extLst>
                        <a:ext uri="{96DAC541-7B7A-43D3-8B79-37D633B846F1}">
                          <asvg:svgBlip xmlns:asvg="http://schemas.microsoft.com/office/drawing/2016/SVG/main" r:embed="rId65"/>
                        </a:ext>
                      </a:extLst>
                    </a:blip>
                    <a:stretch>
                      <a:fillRect/>
                    </a:stretch>
                  </pic:blipFill>
                  <pic:spPr>
                    <a:xfrm>
                      <a:off x="0" y="0"/>
                      <a:ext cx="6192520" cy="3096260"/>
                    </a:xfrm>
                    <a:prstGeom prst="rect">
                      <a:avLst/>
                    </a:prstGeom>
                  </pic:spPr>
                </pic:pic>
              </a:graphicData>
            </a:graphic>
          </wp:inline>
        </w:drawing>
      </w:r>
      <w:r w:rsidR="00AB1BF4">
        <w:t>Source: AusTrakka</w:t>
      </w:r>
      <w:r w:rsidR="00AB1BF4">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00AB1BF4">
        <w:br/>
        <w:t>^ Sequences in AusTrakka aggregated by week and reported based on date of sample collection, not date of sequencing.</w:t>
      </w:r>
      <w:r w:rsidR="00AB1BF4">
        <w:br/>
        <w:t>† Proportions in Figure 17a may not be representative when sequence numbers are small; refer to Figure 17b.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00AB1BF4">
        <w:br/>
      </w:r>
    </w:p>
    <w:p w14:paraId="51B3B282" w14:textId="17A8C584" w:rsidR="001536FC" w:rsidRDefault="00AB1BF4" w:rsidP="00375504">
      <w:pPr>
        <w:numPr>
          <w:ilvl w:val="0"/>
          <w:numId w:val="33"/>
        </w:numPr>
      </w:pPr>
      <w:r>
        <w:t xml:space="preserve">In the year to date, </w:t>
      </w:r>
      <w:r w:rsidR="00D515F4">
        <w:t>51.7% (121/234)</w:t>
      </w:r>
      <w:r w:rsidR="00927262">
        <w:t xml:space="preserve"> of influenza viruses </w:t>
      </w:r>
      <w:r w:rsidR="00D02A7F">
        <w:t xml:space="preserve">characterised by the </w:t>
      </w:r>
      <w:r w:rsidR="00D02A7F" w:rsidRPr="00833187">
        <w:t>WHO Collaborating Centre for Reference and Research on Influenza</w:t>
      </w:r>
      <w:r w:rsidR="00D02A7F">
        <w:t xml:space="preserve"> have been influenza A(H1N1), </w:t>
      </w:r>
      <w:r w:rsidR="00A11892">
        <w:t>26.5% (62/234) have been influenza A(H3N2) and 21.8% (51/234) have been influenza B/Victoria</w:t>
      </w:r>
      <w:r>
        <w:t xml:space="preserve"> (Table 4)</w:t>
      </w:r>
      <w:r w:rsidR="00A11892">
        <w:t>.</w:t>
      </w:r>
    </w:p>
    <w:p w14:paraId="75D3FF70" w14:textId="40AE27A1" w:rsidR="001536FC" w:rsidRDefault="00AB1BF4" w:rsidP="00851DDA">
      <w:pPr>
        <w:numPr>
          <w:ilvl w:val="0"/>
          <w:numId w:val="33"/>
        </w:numPr>
      </w:pPr>
      <w:r>
        <w:t xml:space="preserve">In the year to date, there have been no influenza B/Yamagata viruses characterised by the </w:t>
      </w:r>
      <w:r w:rsidR="00A11892" w:rsidRPr="00833187">
        <w:t>WHO Collaborating Centre</w:t>
      </w:r>
      <w:r>
        <w:t xml:space="preserve"> (Table 4).</w:t>
      </w:r>
    </w:p>
    <w:p w14:paraId="204DD8EE" w14:textId="77777777" w:rsidR="000A1013" w:rsidRPr="000A1013" w:rsidRDefault="000A1013" w:rsidP="000A1013">
      <w:pPr>
        <w:pStyle w:val="ListParagraph"/>
        <w:numPr>
          <w:ilvl w:val="0"/>
          <w:numId w:val="33"/>
        </w:numPr>
      </w:pPr>
      <w:r w:rsidRPr="000A1013">
        <w:t>Currently, no samples have been tested yet for neuraminidase inhibitor resistance to Oseltamivir or Zanamivir.</w:t>
      </w:r>
    </w:p>
    <w:p w14:paraId="26A66FC0" w14:textId="6793AB8D" w:rsidR="001536FC" w:rsidRDefault="001536FC" w:rsidP="00375504"/>
    <w:p w14:paraId="5A19EFD1" w14:textId="77777777" w:rsidR="001536FC" w:rsidRDefault="00AB1BF4">
      <w:r>
        <w:rPr>
          <w:b/>
          <w:bCs/>
        </w:rPr>
        <w:t>Table 4: Australian influenza viruses typed by haemagglutination inhibition assay and jurisdiction*</w:t>
      </w:r>
      <w:r>
        <w:rPr>
          <w:b/>
          <w:bCs/>
          <w:vertAlign w:val="superscript"/>
        </w:rPr>
        <w:t>†</w:t>
      </w:r>
      <w:r>
        <w:rPr>
          <w:b/>
          <w:bCs/>
        </w:rPr>
        <w:t>, 1 January to 23 February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3 February 2025. In the year to date, there have been 234 influenza virus samples typed including 121 influenza A(H1N1) viruses, 62 influenza A(H3N2) viruses, 51 B/Victoria viruses, and no influenza B/Yamagata viruses. In the year to date, the greatest number of samples typed was from  Victoria (n= 70), followed by the Australian Capital Territory (n=65) and the Northern Territory (n=59). "/>
      </w:tblPr>
      <w:tblGrid>
        <w:gridCol w:w="2686"/>
        <w:gridCol w:w="840"/>
        <w:gridCol w:w="914"/>
        <w:gridCol w:w="649"/>
        <w:gridCol w:w="737"/>
        <w:gridCol w:w="665"/>
        <w:gridCol w:w="827"/>
        <w:gridCol w:w="768"/>
        <w:gridCol w:w="737"/>
        <w:gridCol w:w="929"/>
      </w:tblGrid>
      <w:tr w:rsidR="001536FC" w14:paraId="0670EA5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12015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C9327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A2590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3EFC5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62C34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E9A35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2C8E82" w14:textId="70FCD99B"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A430B0">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63F0C4" w14:textId="1FBEB2F9"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A430B0">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18330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6A19E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1536FC" w14:paraId="0297BE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AFE9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6ECA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0D8A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D40AF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52AC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5E81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6444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623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FBD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64D6F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121</w:t>
            </w:r>
          </w:p>
        </w:tc>
      </w:tr>
      <w:tr w:rsidR="001536FC" w14:paraId="686A89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1E4C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334F0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AFB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0C5F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8489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6706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1D55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2228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275D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ED3A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w:t>
            </w:r>
          </w:p>
        </w:tc>
      </w:tr>
      <w:tr w:rsidR="001536FC" w14:paraId="6CC78C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953D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2085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5E1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7979D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414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DC2BD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8BA6B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75D6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6DE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9596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w:t>
            </w:r>
          </w:p>
        </w:tc>
      </w:tr>
      <w:tr w:rsidR="001536FC" w14:paraId="7ECF84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68BA2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BAEAA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8B2C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7F594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90E29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1A6F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FA2C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4A3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2A4A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277E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1536FC" w14:paraId="61471B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8A38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15F6C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881C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6F76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DCA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0CD3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E1EE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3A4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48C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D202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234</w:t>
            </w:r>
          </w:p>
        </w:tc>
      </w:tr>
    </w:tbl>
    <w:p w14:paraId="0000C609" w14:textId="77777777" w:rsidR="001536FC" w:rsidRDefault="00AB1BF4">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507692D6" w14:textId="77777777" w:rsidR="001536FC" w:rsidRDefault="00AB1BF4">
      <w:r>
        <w:br w:type="page"/>
      </w:r>
    </w:p>
    <w:p w14:paraId="6FEC06F6" w14:textId="77777777" w:rsidR="001536FC" w:rsidRDefault="00AB1BF4">
      <w:pPr>
        <w:pStyle w:val="Heading1"/>
      </w:pPr>
      <w:bookmarkStart w:id="7" w:name="vaccine-coverage-effectiveness-and-match"/>
      <w:bookmarkEnd w:id="6"/>
      <w:r>
        <w:lastRenderedPageBreak/>
        <w:t>Vaccine coverage, effectiveness and match</w:t>
      </w:r>
    </w:p>
    <w:p w14:paraId="4CD408CC" w14:textId="77777777" w:rsidR="001536FC" w:rsidRDefault="00AB1BF4">
      <w:r>
        <w:t xml:space="preserve">Vaccine coverage, effectiveness and match for acute respiratory infections are monitored from several data sources in Australia. Refer to the </w:t>
      </w:r>
      <w:hyperlink r:id="rId66">
        <w:r>
          <w:rPr>
            <w:rStyle w:val="Hyperlink"/>
          </w:rPr>
          <w:t>Technical Supplement</w:t>
        </w:r>
      </w:hyperlink>
      <w:r>
        <w:t xml:space="preserve"> for more information.</w:t>
      </w:r>
    </w:p>
    <w:p w14:paraId="7D6256A4" w14:textId="77777777" w:rsidR="001536FC" w:rsidRDefault="00AB1BF4">
      <w:pPr>
        <w:pStyle w:val="Heading3"/>
      </w:pPr>
      <w:bookmarkStart w:id="8" w:name="vaccine-coverage"/>
      <w:r>
        <w:t>Vaccine coverage</w:t>
      </w:r>
    </w:p>
    <w:p w14:paraId="40A2DE4B" w14:textId="77777777" w:rsidR="001536FC" w:rsidRDefault="00AB1BF4" w:rsidP="00851DDA">
      <w:pPr>
        <w:numPr>
          <w:ilvl w:val="0"/>
          <w:numId w:val="35"/>
        </w:numPr>
      </w:pPr>
      <w:r>
        <w:t>Data on vaccine coverage is currently unavailable, but will be included in future reports.</w:t>
      </w:r>
    </w:p>
    <w:p w14:paraId="4336C1E1" w14:textId="77777777" w:rsidR="001536FC" w:rsidRDefault="00AB1BF4">
      <w:pPr>
        <w:pStyle w:val="Heading3"/>
      </w:pPr>
      <w:bookmarkStart w:id="9" w:name="vaccine-effectiveness"/>
      <w:bookmarkEnd w:id="8"/>
      <w:r>
        <w:t>Vaccine effectiveness</w:t>
      </w:r>
    </w:p>
    <w:p w14:paraId="26B8BE64" w14:textId="77777777" w:rsidR="001536FC" w:rsidRDefault="00AB1BF4" w:rsidP="00851DDA">
      <w:pPr>
        <w:numPr>
          <w:ilvl w:val="0"/>
          <w:numId w:val="36"/>
        </w:numPr>
      </w:pPr>
      <w:r>
        <w:t>It is too early to assess vaccine effectiveness for the 2025 influenza season.</w:t>
      </w:r>
    </w:p>
    <w:p w14:paraId="186CBA27" w14:textId="77777777" w:rsidR="001536FC" w:rsidRDefault="00AB1BF4">
      <w:pPr>
        <w:pStyle w:val="Heading3"/>
      </w:pPr>
      <w:bookmarkStart w:id="10" w:name="vaccine-match"/>
      <w:bookmarkEnd w:id="9"/>
      <w:r>
        <w:t>Vaccine match</w:t>
      </w:r>
    </w:p>
    <w:p w14:paraId="1E2E2A02" w14:textId="77777777" w:rsidR="001536FC" w:rsidRDefault="00AB1BF4" w:rsidP="00851DDA">
      <w:pPr>
        <w:numPr>
          <w:ilvl w:val="0"/>
          <w:numId w:val="37"/>
        </w:numPr>
      </w:pPr>
      <w:r>
        <w:t xml:space="preserve">Refer to the </w:t>
      </w:r>
      <w:hyperlink r:id="rId67">
        <w:r>
          <w:rPr>
            <w:rStyle w:val="Hyperlink"/>
          </w:rPr>
          <w:t>Technical Supplement</w:t>
        </w:r>
      </w:hyperlink>
      <w:r>
        <w:t xml:space="preserve"> for information on the 2025 southern hemisphere influenza vaccines composition.</w:t>
      </w:r>
    </w:p>
    <w:p w14:paraId="6C0E5F46" w14:textId="77777777" w:rsidR="001536FC" w:rsidRDefault="00AB1BF4" w:rsidP="00851DDA">
      <w:pPr>
        <w:numPr>
          <w:ilvl w:val="0"/>
          <w:numId w:val="37"/>
        </w:numPr>
      </w:pPr>
      <w:r>
        <w:t>In the year to date, 98.3% (119/121) of influenza A(H1N1) isolates, 100% (62/62) of influenza A(H3N2) isolates and 100% (51/51) of influenza B/Victoria lineage isolates characterised have been antigenically similar to the corresponding 2025 vaccine components.</w:t>
      </w:r>
    </w:p>
    <w:bookmarkEnd w:id="7"/>
    <w:bookmarkEnd w:id="10"/>
    <w:p w14:paraId="240063BF" w14:textId="77777777" w:rsidR="00AB1BF4" w:rsidRDefault="00AB1BF4" w:rsidP="00D93B39"/>
    <w:sectPr w:rsidR="00AB1BF4">
      <w:footerReference w:type="default" r:id="rId68"/>
      <w:headerReference w:type="first" r:id="rId69"/>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8E6BF" w14:textId="77777777" w:rsidR="003530A1" w:rsidRDefault="003530A1">
      <w:pPr>
        <w:spacing w:before="0" w:after="0" w:line="240" w:lineRule="auto"/>
      </w:pPr>
      <w:r>
        <w:separator/>
      </w:r>
    </w:p>
  </w:endnote>
  <w:endnote w:type="continuationSeparator" w:id="0">
    <w:p w14:paraId="07A0914F" w14:textId="77777777" w:rsidR="003530A1" w:rsidRDefault="003530A1">
      <w:pPr>
        <w:spacing w:before="0" w:after="0" w:line="240" w:lineRule="auto"/>
      </w:pPr>
      <w:r>
        <w:continuationSeparator/>
      </w:r>
    </w:p>
  </w:endnote>
  <w:endnote w:type="continuationNotice" w:id="1">
    <w:p w14:paraId="51A667D8" w14:textId="77777777" w:rsidR="003530A1" w:rsidRDefault="003530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5340CA1F" w14:textId="77777777" w:rsidR="00AB1BF4" w:rsidRPr="00847FAC" w:rsidRDefault="00AB1BF4">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1E67E" w14:textId="77777777" w:rsidR="003530A1" w:rsidRDefault="003530A1">
      <w:r>
        <w:separator/>
      </w:r>
    </w:p>
  </w:footnote>
  <w:footnote w:type="continuationSeparator" w:id="0">
    <w:p w14:paraId="15A1A2AE" w14:textId="77777777" w:rsidR="003530A1" w:rsidRDefault="003530A1">
      <w:r>
        <w:continuationSeparator/>
      </w:r>
    </w:p>
  </w:footnote>
  <w:footnote w:type="continuationNotice" w:id="1">
    <w:p w14:paraId="6B39CE0B" w14:textId="77777777" w:rsidR="003530A1" w:rsidRDefault="003530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2676" w14:textId="77777777" w:rsidR="00AB1BF4" w:rsidRDefault="00AB1BF4">
    <w:pPr>
      <w:pStyle w:val="Header"/>
    </w:pPr>
    <w:r>
      <w:rPr>
        <w:noProof/>
        <w:lang w:eastAsia="en-AU"/>
      </w:rPr>
      <w:drawing>
        <wp:anchor distT="0" distB="0" distL="114300" distR="114300" simplePos="0" relativeHeight="251658240" behindDoc="1" locked="1" layoutInCell="1" allowOverlap="1" wp14:anchorId="2965CDF1" wp14:editId="419A6E24">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2F69E2"/>
    <w:multiLevelType w:val="multilevel"/>
    <w:tmpl w:val="8E6E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121851818">
    <w:abstractNumId w:val="0"/>
  </w:num>
  <w:num w:numId="8" w16cid:durableId="1412778573">
    <w:abstractNumId w:val="0"/>
  </w:num>
  <w:num w:numId="9" w16cid:durableId="639042849">
    <w:abstractNumId w:val="0"/>
  </w:num>
  <w:num w:numId="10" w16cid:durableId="1629126063">
    <w:abstractNumId w:val="0"/>
  </w:num>
  <w:num w:numId="11" w16cid:durableId="145707717">
    <w:abstractNumId w:val="0"/>
  </w:num>
  <w:num w:numId="12" w16cid:durableId="1532063012">
    <w:abstractNumId w:val="0"/>
  </w:num>
  <w:num w:numId="13" w16cid:durableId="1705865218">
    <w:abstractNumId w:val="0"/>
  </w:num>
  <w:num w:numId="14" w16cid:durableId="204947645">
    <w:abstractNumId w:val="0"/>
  </w:num>
  <w:num w:numId="15" w16cid:durableId="2061711249">
    <w:abstractNumId w:val="0"/>
  </w:num>
  <w:num w:numId="16" w16cid:durableId="1121916652">
    <w:abstractNumId w:val="0"/>
  </w:num>
  <w:num w:numId="17" w16cid:durableId="1817188169">
    <w:abstractNumId w:val="0"/>
  </w:num>
  <w:num w:numId="18" w16cid:durableId="1855265177">
    <w:abstractNumId w:val="0"/>
  </w:num>
  <w:num w:numId="19" w16cid:durableId="460998407">
    <w:abstractNumId w:val="0"/>
  </w:num>
  <w:num w:numId="20" w16cid:durableId="1438326451">
    <w:abstractNumId w:val="0"/>
  </w:num>
  <w:num w:numId="21" w16cid:durableId="524825154">
    <w:abstractNumId w:val="0"/>
  </w:num>
  <w:num w:numId="22" w16cid:durableId="2014720572">
    <w:abstractNumId w:val="0"/>
  </w:num>
  <w:num w:numId="23" w16cid:durableId="1515608680">
    <w:abstractNumId w:val="0"/>
  </w:num>
  <w:num w:numId="24" w16cid:durableId="513493469">
    <w:abstractNumId w:val="0"/>
  </w:num>
  <w:num w:numId="25" w16cid:durableId="24789233">
    <w:abstractNumId w:val="0"/>
  </w:num>
  <w:num w:numId="26" w16cid:durableId="979387508">
    <w:abstractNumId w:val="0"/>
  </w:num>
  <w:num w:numId="27" w16cid:durableId="1805269224">
    <w:abstractNumId w:val="0"/>
  </w:num>
  <w:num w:numId="28" w16cid:durableId="591593754">
    <w:abstractNumId w:val="0"/>
  </w:num>
  <w:num w:numId="29" w16cid:durableId="1331593083">
    <w:abstractNumId w:val="0"/>
  </w:num>
  <w:num w:numId="30" w16cid:durableId="1576279338">
    <w:abstractNumId w:val="0"/>
  </w:num>
  <w:num w:numId="31" w16cid:durableId="1791977318">
    <w:abstractNumId w:val="0"/>
  </w:num>
  <w:num w:numId="32" w16cid:durableId="1429738636">
    <w:abstractNumId w:val="0"/>
  </w:num>
  <w:num w:numId="33" w16cid:durableId="462696977">
    <w:abstractNumId w:val="0"/>
  </w:num>
  <w:num w:numId="34" w16cid:durableId="1868908708">
    <w:abstractNumId w:val="0"/>
  </w:num>
  <w:num w:numId="35" w16cid:durableId="1471552287">
    <w:abstractNumId w:val="0"/>
  </w:num>
  <w:num w:numId="36" w16cid:durableId="1159348992">
    <w:abstractNumId w:val="0"/>
  </w:num>
  <w:num w:numId="37" w16cid:durableId="1394306480">
    <w:abstractNumId w:val="0"/>
  </w:num>
  <w:num w:numId="38" w16cid:durableId="1907915061">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FC"/>
    <w:rsid w:val="00002F80"/>
    <w:rsid w:val="00003503"/>
    <w:rsid w:val="00024870"/>
    <w:rsid w:val="000448F6"/>
    <w:rsid w:val="0005022A"/>
    <w:rsid w:val="000628A4"/>
    <w:rsid w:val="00064625"/>
    <w:rsid w:val="00065DA1"/>
    <w:rsid w:val="0007263D"/>
    <w:rsid w:val="000738D0"/>
    <w:rsid w:val="00083869"/>
    <w:rsid w:val="00090600"/>
    <w:rsid w:val="000908C5"/>
    <w:rsid w:val="00091AE6"/>
    <w:rsid w:val="00092517"/>
    <w:rsid w:val="000978A4"/>
    <w:rsid w:val="000A1013"/>
    <w:rsid w:val="000A2BCF"/>
    <w:rsid w:val="000B2EB9"/>
    <w:rsid w:val="000C02C1"/>
    <w:rsid w:val="000C04C2"/>
    <w:rsid w:val="000C2199"/>
    <w:rsid w:val="000C7871"/>
    <w:rsid w:val="000D121F"/>
    <w:rsid w:val="000D2D91"/>
    <w:rsid w:val="000D3A0F"/>
    <w:rsid w:val="000D695E"/>
    <w:rsid w:val="000E475A"/>
    <w:rsid w:val="000F21DC"/>
    <w:rsid w:val="001026E6"/>
    <w:rsid w:val="0010352B"/>
    <w:rsid w:val="001152D9"/>
    <w:rsid w:val="00142FAC"/>
    <w:rsid w:val="00144665"/>
    <w:rsid w:val="00144BDA"/>
    <w:rsid w:val="00146176"/>
    <w:rsid w:val="001472C6"/>
    <w:rsid w:val="001536FC"/>
    <w:rsid w:val="00162640"/>
    <w:rsid w:val="001652AF"/>
    <w:rsid w:val="00184020"/>
    <w:rsid w:val="0019412C"/>
    <w:rsid w:val="00196BD5"/>
    <w:rsid w:val="001A0FC5"/>
    <w:rsid w:val="001A2495"/>
    <w:rsid w:val="001A3AEA"/>
    <w:rsid w:val="001B1494"/>
    <w:rsid w:val="001B22F9"/>
    <w:rsid w:val="001C0558"/>
    <w:rsid w:val="001E4BFC"/>
    <w:rsid w:val="001E5829"/>
    <w:rsid w:val="001E7F45"/>
    <w:rsid w:val="001F5705"/>
    <w:rsid w:val="001F7AA6"/>
    <w:rsid w:val="00201CEF"/>
    <w:rsid w:val="002037BD"/>
    <w:rsid w:val="00204CF6"/>
    <w:rsid w:val="00215302"/>
    <w:rsid w:val="00227E81"/>
    <w:rsid w:val="00240760"/>
    <w:rsid w:val="00244BC2"/>
    <w:rsid w:val="0025289A"/>
    <w:rsid w:val="002564F2"/>
    <w:rsid w:val="002566D0"/>
    <w:rsid w:val="00261EFB"/>
    <w:rsid w:val="0026258D"/>
    <w:rsid w:val="00266397"/>
    <w:rsid w:val="0027188B"/>
    <w:rsid w:val="002791E9"/>
    <w:rsid w:val="00292AE7"/>
    <w:rsid w:val="00293D9A"/>
    <w:rsid w:val="00295593"/>
    <w:rsid w:val="00297206"/>
    <w:rsid w:val="00297ABB"/>
    <w:rsid w:val="002A10AB"/>
    <w:rsid w:val="002A2F62"/>
    <w:rsid w:val="002A426C"/>
    <w:rsid w:val="002A48CB"/>
    <w:rsid w:val="002A508D"/>
    <w:rsid w:val="002B04C2"/>
    <w:rsid w:val="002B3ADB"/>
    <w:rsid w:val="002C27D3"/>
    <w:rsid w:val="002C3158"/>
    <w:rsid w:val="002C44BE"/>
    <w:rsid w:val="002D2D58"/>
    <w:rsid w:val="002D69D1"/>
    <w:rsid w:val="002E2297"/>
    <w:rsid w:val="002E5660"/>
    <w:rsid w:val="002E5DAF"/>
    <w:rsid w:val="002E7461"/>
    <w:rsid w:val="002E7AFE"/>
    <w:rsid w:val="002F2768"/>
    <w:rsid w:val="002F4359"/>
    <w:rsid w:val="002F5374"/>
    <w:rsid w:val="002F7AF7"/>
    <w:rsid w:val="003020DF"/>
    <w:rsid w:val="00303D9F"/>
    <w:rsid w:val="00306F29"/>
    <w:rsid w:val="00320D5A"/>
    <w:rsid w:val="0032301D"/>
    <w:rsid w:val="003250F1"/>
    <w:rsid w:val="00334CCD"/>
    <w:rsid w:val="00345108"/>
    <w:rsid w:val="003516E5"/>
    <w:rsid w:val="00352012"/>
    <w:rsid w:val="003530A1"/>
    <w:rsid w:val="00360D75"/>
    <w:rsid w:val="00362649"/>
    <w:rsid w:val="003657B6"/>
    <w:rsid w:val="00373D46"/>
    <w:rsid w:val="00375504"/>
    <w:rsid w:val="00376DA7"/>
    <w:rsid w:val="00386C8C"/>
    <w:rsid w:val="00394026"/>
    <w:rsid w:val="003979E0"/>
    <w:rsid w:val="003A52A8"/>
    <w:rsid w:val="003B0A9F"/>
    <w:rsid w:val="003B713B"/>
    <w:rsid w:val="003D73FE"/>
    <w:rsid w:val="003D799C"/>
    <w:rsid w:val="003E3CDE"/>
    <w:rsid w:val="003F1C5B"/>
    <w:rsid w:val="004030DC"/>
    <w:rsid w:val="00416E81"/>
    <w:rsid w:val="0042468B"/>
    <w:rsid w:val="00427F62"/>
    <w:rsid w:val="004311F5"/>
    <w:rsid w:val="00432207"/>
    <w:rsid w:val="004323B9"/>
    <w:rsid w:val="00433520"/>
    <w:rsid w:val="004345F8"/>
    <w:rsid w:val="004411D1"/>
    <w:rsid w:val="00453567"/>
    <w:rsid w:val="00454B9D"/>
    <w:rsid w:val="0046068E"/>
    <w:rsid w:val="004632F1"/>
    <w:rsid w:val="00480B13"/>
    <w:rsid w:val="0048134F"/>
    <w:rsid w:val="0049351C"/>
    <w:rsid w:val="004A292D"/>
    <w:rsid w:val="004A4427"/>
    <w:rsid w:val="004A51B1"/>
    <w:rsid w:val="004A536C"/>
    <w:rsid w:val="004A56B5"/>
    <w:rsid w:val="004A5A59"/>
    <w:rsid w:val="004C2DA8"/>
    <w:rsid w:val="004C3EF5"/>
    <w:rsid w:val="004C69DE"/>
    <w:rsid w:val="004C6E95"/>
    <w:rsid w:val="004D57A6"/>
    <w:rsid w:val="004D6F45"/>
    <w:rsid w:val="004E5D36"/>
    <w:rsid w:val="004E6EEE"/>
    <w:rsid w:val="004F39C0"/>
    <w:rsid w:val="004F5CFA"/>
    <w:rsid w:val="004F6A40"/>
    <w:rsid w:val="00500A3A"/>
    <w:rsid w:val="00505355"/>
    <w:rsid w:val="005102F1"/>
    <w:rsid w:val="0051169D"/>
    <w:rsid w:val="00517843"/>
    <w:rsid w:val="00521D89"/>
    <w:rsid w:val="00524FCC"/>
    <w:rsid w:val="00531C53"/>
    <w:rsid w:val="00531C71"/>
    <w:rsid w:val="0053273C"/>
    <w:rsid w:val="00533A54"/>
    <w:rsid w:val="00536088"/>
    <w:rsid w:val="00536EB9"/>
    <w:rsid w:val="00547379"/>
    <w:rsid w:val="005519B9"/>
    <w:rsid w:val="00552D42"/>
    <w:rsid w:val="00554059"/>
    <w:rsid w:val="00554490"/>
    <w:rsid w:val="00560ECE"/>
    <w:rsid w:val="00566287"/>
    <w:rsid w:val="00582CC1"/>
    <w:rsid w:val="00592012"/>
    <w:rsid w:val="00594984"/>
    <w:rsid w:val="0059647A"/>
    <w:rsid w:val="005A0F82"/>
    <w:rsid w:val="005B0BF9"/>
    <w:rsid w:val="005C52BF"/>
    <w:rsid w:val="005E3D5A"/>
    <w:rsid w:val="005E68CD"/>
    <w:rsid w:val="00603F71"/>
    <w:rsid w:val="00605892"/>
    <w:rsid w:val="006069DD"/>
    <w:rsid w:val="00606D76"/>
    <w:rsid w:val="006108CA"/>
    <w:rsid w:val="0061323A"/>
    <w:rsid w:val="006133C7"/>
    <w:rsid w:val="00614DFD"/>
    <w:rsid w:val="006170EC"/>
    <w:rsid w:val="0062113D"/>
    <w:rsid w:val="006214ED"/>
    <w:rsid w:val="00624736"/>
    <w:rsid w:val="00625FDC"/>
    <w:rsid w:val="00630DAD"/>
    <w:rsid w:val="00635B5D"/>
    <w:rsid w:val="00644EC0"/>
    <w:rsid w:val="00645F55"/>
    <w:rsid w:val="00645F6B"/>
    <w:rsid w:val="00650E6D"/>
    <w:rsid w:val="00654DF4"/>
    <w:rsid w:val="00656634"/>
    <w:rsid w:val="00661C79"/>
    <w:rsid w:val="006638BE"/>
    <w:rsid w:val="006639F2"/>
    <w:rsid w:val="00664CD4"/>
    <w:rsid w:val="00666EAB"/>
    <w:rsid w:val="00667D7B"/>
    <w:rsid w:val="00675116"/>
    <w:rsid w:val="0069289F"/>
    <w:rsid w:val="006A10F2"/>
    <w:rsid w:val="006A3250"/>
    <w:rsid w:val="006A4C7E"/>
    <w:rsid w:val="006A5A4F"/>
    <w:rsid w:val="006A760D"/>
    <w:rsid w:val="006B6A93"/>
    <w:rsid w:val="006B7314"/>
    <w:rsid w:val="006C67F8"/>
    <w:rsid w:val="006D1957"/>
    <w:rsid w:val="006E0F52"/>
    <w:rsid w:val="00702B22"/>
    <w:rsid w:val="007036C9"/>
    <w:rsid w:val="00703E01"/>
    <w:rsid w:val="007054CE"/>
    <w:rsid w:val="007140B6"/>
    <w:rsid w:val="00716CE3"/>
    <w:rsid w:val="00717160"/>
    <w:rsid w:val="00721505"/>
    <w:rsid w:val="00731546"/>
    <w:rsid w:val="00737631"/>
    <w:rsid w:val="00741924"/>
    <w:rsid w:val="00745548"/>
    <w:rsid w:val="0076471B"/>
    <w:rsid w:val="00765143"/>
    <w:rsid w:val="007709F3"/>
    <w:rsid w:val="00780124"/>
    <w:rsid w:val="00791D29"/>
    <w:rsid w:val="0079203D"/>
    <w:rsid w:val="0079382A"/>
    <w:rsid w:val="00795066"/>
    <w:rsid w:val="007A0528"/>
    <w:rsid w:val="007A4C07"/>
    <w:rsid w:val="007B002A"/>
    <w:rsid w:val="007B0F97"/>
    <w:rsid w:val="007B6195"/>
    <w:rsid w:val="007D75BA"/>
    <w:rsid w:val="007E044A"/>
    <w:rsid w:val="007E5267"/>
    <w:rsid w:val="007F228E"/>
    <w:rsid w:val="007F37B6"/>
    <w:rsid w:val="00801541"/>
    <w:rsid w:val="00811656"/>
    <w:rsid w:val="00811D49"/>
    <w:rsid w:val="0082001A"/>
    <w:rsid w:val="00821882"/>
    <w:rsid w:val="0083514F"/>
    <w:rsid w:val="0083695F"/>
    <w:rsid w:val="008443ED"/>
    <w:rsid w:val="00851DDA"/>
    <w:rsid w:val="0086100D"/>
    <w:rsid w:val="00864A72"/>
    <w:rsid w:val="00875882"/>
    <w:rsid w:val="008764DA"/>
    <w:rsid w:val="008A5B06"/>
    <w:rsid w:val="008B122E"/>
    <w:rsid w:val="008B71F1"/>
    <w:rsid w:val="008C29A4"/>
    <w:rsid w:val="008D1FC6"/>
    <w:rsid w:val="008D2C7A"/>
    <w:rsid w:val="008D4620"/>
    <w:rsid w:val="008F19C7"/>
    <w:rsid w:val="008F218A"/>
    <w:rsid w:val="00903445"/>
    <w:rsid w:val="009066A3"/>
    <w:rsid w:val="0091234E"/>
    <w:rsid w:val="009142A1"/>
    <w:rsid w:val="00914C71"/>
    <w:rsid w:val="0091503E"/>
    <w:rsid w:val="00916DB2"/>
    <w:rsid w:val="00921825"/>
    <w:rsid w:val="00923751"/>
    <w:rsid w:val="00925569"/>
    <w:rsid w:val="00927262"/>
    <w:rsid w:val="00927B7A"/>
    <w:rsid w:val="00930212"/>
    <w:rsid w:val="009410A6"/>
    <w:rsid w:val="00943E84"/>
    <w:rsid w:val="00944F8F"/>
    <w:rsid w:val="009456AA"/>
    <w:rsid w:val="00945C63"/>
    <w:rsid w:val="00947891"/>
    <w:rsid w:val="00962E07"/>
    <w:rsid w:val="00974D91"/>
    <w:rsid w:val="009854AA"/>
    <w:rsid w:val="0098587E"/>
    <w:rsid w:val="0098591D"/>
    <w:rsid w:val="009963DB"/>
    <w:rsid w:val="009A01D8"/>
    <w:rsid w:val="009B0BE3"/>
    <w:rsid w:val="009B54D1"/>
    <w:rsid w:val="009C2652"/>
    <w:rsid w:val="009C5001"/>
    <w:rsid w:val="009C5E9E"/>
    <w:rsid w:val="009D144E"/>
    <w:rsid w:val="009E442C"/>
    <w:rsid w:val="009E7155"/>
    <w:rsid w:val="009F3428"/>
    <w:rsid w:val="009F5D75"/>
    <w:rsid w:val="009F6605"/>
    <w:rsid w:val="00A00FC6"/>
    <w:rsid w:val="00A03792"/>
    <w:rsid w:val="00A03D66"/>
    <w:rsid w:val="00A04F50"/>
    <w:rsid w:val="00A0701E"/>
    <w:rsid w:val="00A07C76"/>
    <w:rsid w:val="00A10BA0"/>
    <w:rsid w:val="00A11212"/>
    <w:rsid w:val="00A11892"/>
    <w:rsid w:val="00A13671"/>
    <w:rsid w:val="00A13CF0"/>
    <w:rsid w:val="00A1555C"/>
    <w:rsid w:val="00A155EE"/>
    <w:rsid w:val="00A308F6"/>
    <w:rsid w:val="00A35E54"/>
    <w:rsid w:val="00A37CF8"/>
    <w:rsid w:val="00A41038"/>
    <w:rsid w:val="00A41FCE"/>
    <w:rsid w:val="00A4285E"/>
    <w:rsid w:val="00A430B0"/>
    <w:rsid w:val="00A528D5"/>
    <w:rsid w:val="00A567B7"/>
    <w:rsid w:val="00A60546"/>
    <w:rsid w:val="00A6081E"/>
    <w:rsid w:val="00A64827"/>
    <w:rsid w:val="00AA127D"/>
    <w:rsid w:val="00AA63A6"/>
    <w:rsid w:val="00AA699D"/>
    <w:rsid w:val="00AA700A"/>
    <w:rsid w:val="00AB0C36"/>
    <w:rsid w:val="00AB1BF4"/>
    <w:rsid w:val="00AB3B7A"/>
    <w:rsid w:val="00AB53DD"/>
    <w:rsid w:val="00AD44F1"/>
    <w:rsid w:val="00AE1378"/>
    <w:rsid w:val="00AE2F22"/>
    <w:rsid w:val="00AE56D2"/>
    <w:rsid w:val="00AF2740"/>
    <w:rsid w:val="00AF2BB2"/>
    <w:rsid w:val="00AF39F4"/>
    <w:rsid w:val="00B06D30"/>
    <w:rsid w:val="00B102F3"/>
    <w:rsid w:val="00B10812"/>
    <w:rsid w:val="00B12AB5"/>
    <w:rsid w:val="00B20DDC"/>
    <w:rsid w:val="00B32429"/>
    <w:rsid w:val="00B32EDD"/>
    <w:rsid w:val="00B33287"/>
    <w:rsid w:val="00B351C8"/>
    <w:rsid w:val="00B403E9"/>
    <w:rsid w:val="00B40427"/>
    <w:rsid w:val="00B514B5"/>
    <w:rsid w:val="00B55216"/>
    <w:rsid w:val="00B63777"/>
    <w:rsid w:val="00B647DE"/>
    <w:rsid w:val="00B65854"/>
    <w:rsid w:val="00B70C74"/>
    <w:rsid w:val="00B732CF"/>
    <w:rsid w:val="00B84F5C"/>
    <w:rsid w:val="00B91B2B"/>
    <w:rsid w:val="00B97F05"/>
    <w:rsid w:val="00BA7220"/>
    <w:rsid w:val="00BB5E62"/>
    <w:rsid w:val="00BD5C7A"/>
    <w:rsid w:val="00BD78C0"/>
    <w:rsid w:val="00BE5E38"/>
    <w:rsid w:val="00BE6359"/>
    <w:rsid w:val="00BF1159"/>
    <w:rsid w:val="00BF7D69"/>
    <w:rsid w:val="00C00A7C"/>
    <w:rsid w:val="00C06384"/>
    <w:rsid w:val="00C12352"/>
    <w:rsid w:val="00C24080"/>
    <w:rsid w:val="00C30660"/>
    <w:rsid w:val="00C308B2"/>
    <w:rsid w:val="00C47962"/>
    <w:rsid w:val="00C479EB"/>
    <w:rsid w:val="00C51768"/>
    <w:rsid w:val="00C55AE0"/>
    <w:rsid w:val="00C71F6A"/>
    <w:rsid w:val="00C93E65"/>
    <w:rsid w:val="00C95AF7"/>
    <w:rsid w:val="00CA3A58"/>
    <w:rsid w:val="00CA3E9F"/>
    <w:rsid w:val="00CA5311"/>
    <w:rsid w:val="00CB6920"/>
    <w:rsid w:val="00CC096B"/>
    <w:rsid w:val="00CC2E2B"/>
    <w:rsid w:val="00CC612A"/>
    <w:rsid w:val="00CC6AB8"/>
    <w:rsid w:val="00CD5A8B"/>
    <w:rsid w:val="00CE29D4"/>
    <w:rsid w:val="00CF56E4"/>
    <w:rsid w:val="00D02A7F"/>
    <w:rsid w:val="00D07CDC"/>
    <w:rsid w:val="00D10372"/>
    <w:rsid w:val="00D11715"/>
    <w:rsid w:val="00D11CBB"/>
    <w:rsid w:val="00D21B2A"/>
    <w:rsid w:val="00D21E52"/>
    <w:rsid w:val="00D22559"/>
    <w:rsid w:val="00D23764"/>
    <w:rsid w:val="00D2440E"/>
    <w:rsid w:val="00D26167"/>
    <w:rsid w:val="00D26325"/>
    <w:rsid w:val="00D31E45"/>
    <w:rsid w:val="00D3617F"/>
    <w:rsid w:val="00D41A4F"/>
    <w:rsid w:val="00D42D1F"/>
    <w:rsid w:val="00D515F4"/>
    <w:rsid w:val="00D531D0"/>
    <w:rsid w:val="00D532A3"/>
    <w:rsid w:val="00D55543"/>
    <w:rsid w:val="00D6121E"/>
    <w:rsid w:val="00D739DE"/>
    <w:rsid w:val="00D767C7"/>
    <w:rsid w:val="00D80BA9"/>
    <w:rsid w:val="00D87DDE"/>
    <w:rsid w:val="00D87FE6"/>
    <w:rsid w:val="00D93B39"/>
    <w:rsid w:val="00DA09CA"/>
    <w:rsid w:val="00DA0B9E"/>
    <w:rsid w:val="00DA341F"/>
    <w:rsid w:val="00DB39BE"/>
    <w:rsid w:val="00DB3F4E"/>
    <w:rsid w:val="00DC54AF"/>
    <w:rsid w:val="00DD09EC"/>
    <w:rsid w:val="00DD1FAE"/>
    <w:rsid w:val="00DD5BF2"/>
    <w:rsid w:val="00DF0BD0"/>
    <w:rsid w:val="00DF16F2"/>
    <w:rsid w:val="00DF1ADB"/>
    <w:rsid w:val="00E019F5"/>
    <w:rsid w:val="00E02F4A"/>
    <w:rsid w:val="00E072D1"/>
    <w:rsid w:val="00E170E9"/>
    <w:rsid w:val="00E228C9"/>
    <w:rsid w:val="00E2355F"/>
    <w:rsid w:val="00E2501E"/>
    <w:rsid w:val="00E25EAB"/>
    <w:rsid w:val="00E26F60"/>
    <w:rsid w:val="00E27521"/>
    <w:rsid w:val="00E27CD1"/>
    <w:rsid w:val="00E308A0"/>
    <w:rsid w:val="00E31A45"/>
    <w:rsid w:val="00E32EC5"/>
    <w:rsid w:val="00E35160"/>
    <w:rsid w:val="00E433FF"/>
    <w:rsid w:val="00E474F1"/>
    <w:rsid w:val="00E5028F"/>
    <w:rsid w:val="00E51AFF"/>
    <w:rsid w:val="00E52FD4"/>
    <w:rsid w:val="00E541B9"/>
    <w:rsid w:val="00E60104"/>
    <w:rsid w:val="00E903CD"/>
    <w:rsid w:val="00E961C6"/>
    <w:rsid w:val="00EA3155"/>
    <w:rsid w:val="00EA333E"/>
    <w:rsid w:val="00EB6315"/>
    <w:rsid w:val="00EC22D6"/>
    <w:rsid w:val="00EC6FD0"/>
    <w:rsid w:val="00EC7B51"/>
    <w:rsid w:val="00ED085E"/>
    <w:rsid w:val="00ED2E67"/>
    <w:rsid w:val="00ED3B3F"/>
    <w:rsid w:val="00ED4A0E"/>
    <w:rsid w:val="00ED7A4E"/>
    <w:rsid w:val="00ED7AAD"/>
    <w:rsid w:val="00EE24E2"/>
    <w:rsid w:val="00EE4B9D"/>
    <w:rsid w:val="00EF1FCC"/>
    <w:rsid w:val="00EF32C5"/>
    <w:rsid w:val="00F05024"/>
    <w:rsid w:val="00F143BC"/>
    <w:rsid w:val="00F23CC1"/>
    <w:rsid w:val="00F23EC6"/>
    <w:rsid w:val="00F243F9"/>
    <w:rsid w:val="00F24738"/>
    <w:rsid w:val="00F26BBE"/>
    <w:rsid w:val="00F33851"/>
    <w:rsid w:val="00F3453F"/>
    <w:rsid w:val="00F414D8"/>
    <w:rsid w:val="00F430D6"/>
    <w:rsid w:val="00F50D49"/>
    <w:rsid w:val="00F71DA9"/>
    <w:rsid w:val="00F725FA"/>
    <w:rsid w:val="00F7358E"/>
    <w:rsid w:val="00F81CD1"/>
    <w:rsid w:val="00F83628"/>
    <w:rsid w:val="00F8750B"/>
    <w:rsid w:val="00F915C2"/>
    <w:rsid w:val="00F957BA"/>
    <w:rsid w:val="00FA5970"/>
    <w:rsid w:val="00FB0094"/>
    <w:rsid w:val="00FB70DE"/>
    <w:rsid w:val="00FB79BF"/>
    <w:rsid w:val="00FB7F1E"/>
    <w:rsid w:val="00FC1624"/>
    <w:rsid w:val="00FC24CC"/>
    <w:rsid w:val="00FC78C0"/>
    <w:rsid w:val="00FD22DC"/>
    <w:rsid w:val="00FD6357"/>
    <w:rsid w:val="00FE11CC"/>
    <w:rsid w:val="00FF1AAD"/>
    <w:rsid w:val="24F6969C"/>
    <w:rsid w:val="2AE0F296"/>
    <w:rsid w:val="343F57E1"/>
    <w:rsid w:val="3B5088E1"/>
    <w:rsid w:val="42F7D918"/>
    <w:rsid w:val="4AEA2770"/>
    <w:rsid w:val="4D4E883A"/>
    <w:rsid w:val="527D60D5"/>
    <w:rsid w:val="614E2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C36AB"/>
  <w15:docId w15:val="{D6319B0A-15FA-44B0-B3D0-B1182B05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E85B95"/>
    <w:rPr>
      <w:sz w:val="14"/>
    </w:rPr>
  </w:style>
  <w:style w:type="character" w:customStyle="1" w:styleId="SmalltextChar">
    <w:name w:val="Smalltext Char"/>
    <w:basedOn w:val="DefaultParagraphFont"/>
    <w:link w:val="Smalltext"/>
    <w:rsid w:val="00E85B95"/>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6B7314"/>
    <w:rPr>
      <w:sz w:val="16"/>
      <w:szCs w:val="16"/>
    </w:rPr>
  </w:style>
  <w:style w:type="paragraph" w:styleId="CommentSubject">
    <w:name w:val="annotation subject"/>
    <w:basedOn w:val="CommentText"/>
    <w:next w:val="CommentText"/>
    <w:link w:val="CommentSubjectChar"/>
    <w:semiHidden/>
    <w:unhideWhenUsed/>
    <w:rsid w:val="006B7314"/>
    <w:rPr>
      <w:b/>
      <w:bCs/>
      <w:szCs w:val="20"/>
    </w:rPr>
  </w:style>
  <w:style w:type="character" w:customStyle="1" w:styleId="CommentSubjectChar">
    <w:name w:val="Comment Subject Char"/>
    <w:basedOn w:val="CommentTextChar"/>
    <w:link w:val="CommentSubject"/>
    <w:semiHidden/>
    <w:rsid w:val="006B7314"/>
    <w:rPr>
      <w:rFonts w:ascii="Arial" w:hAnsi="Arial"/>
      <w:b/>
      <w:bCs/>
      <w:color w:val="033636" w:themeColor="text1"/>
      <w:sz w:val="22"/>
      <w:szCs w:val="22"/>
      <w:lang w:eastAsia="en-US"/>
    </w:rPr>
  </w:style>
  <w:style w:type="paragraph" w:styleId="Revision">
    <w:name w:val="Revision"/>
    <w:hidden/>
    <w:uiPriority w:val="99"/>
    <w:semiHidden/>
    <w:rsid w:val="00B514B5"/>
    <w:rPr>
      <w:rFonts w:ascii="Arial" w:hAnsi="Arial"/>
      <w:color w:val="033636" w:themeColor="text1"/>
      <w:szCs w:val="24"/>
      <w:lang w:eastAsia="en-US"/>
    </w:rPr>
  </w:style>
  <w:style w:type="character" w:styleId="UnresolvedMention">
    <w:name w:val="Unresolved Mention"/>
    <w:basedOn w:val="DefaultParagraphFont"/>
    <w:uiPriority w:val="99"/>
    <w:semiHidden/>
    <w:unhideWhenUsed/>
    <w:rsid w:val="004A56B5"/>
    <w:rPr>
      <w:color w:val="605E5C"/>
      <w:shd w:val="clear" w:color="auto" w:fill="E1DFDD"/>
    </w:rPr>
  </w:style>
  <w:style w:type="character" w:styleId="Mention">
    <w:name w:val="Mention"/>
    <w:basedOn w:val="DefaultParagraphFont"/>
    <w:uiPriority w:val="99"/>
    <w:unhideWhenUsed/>
    <w:rsid w:val="00AA69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165941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svgz"/><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4.png"/><Relationship Id="rId42" Type="http://schemas.openxmlformats.org/officeDocument/2006/relationships/image" Target="media/image19.svgz"/><Relationship Id="rId47" Type="http://schemas.openxmlformats.org/officeDocument/2006/relationships/hyperlink" Target="https://paeds.org.au/influenza/paediatric-influenza-australia" TargetMode="External"/><Relationship Id="rId50" Type="http://schemas.openxmlformats.org/officeDocument/2006/relationships/image" Target="media/image23.svgz"/><Relationship Id="rId55" Type="http://schemas.openxmlformats.org/officeDocument/2006/relationships/hyperlink" Target="https://www.health.gov.au/resources/publications/technical-supplement-australian-respiratory-surveillance-report" TargetMode="External"/><Relationship Id="rId63" Type="http://schemas.openxmlformats.org/officeDocument/2006/relationships/image" Target="media/image33.sv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svgz"/><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hyperlink" Target="https://www.abs.gov.au/statistics/people/population/national-state-and-territory-population/jun-2024" TargetMode="External"/><Relationship Id="rId37" Type="http://schemas.openxmlformats.org/officeDocument/2006/relationships/image" Target="media/image16.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hyperlink" Target="https://paeds.org.au/covid-19/paediatric-covid-19-australia" TargetMode="External"/><Relationship Id="rId53" Type="http://schemas.openxmlformats.org/officeDocument/2006/relationships/image" Target="media/image26.png"/><Relationship Id="rId58" Type="http://schemas.openxmlformats.org/officeDocument/2006/relationships/hyperlink" Target="https://www.abs.gov.au/statistics/health/causes-death/provisional-mortality-statistics/jan-nov-2024" TargetMode="External"/><Relationship Id="rId66"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image" Target="media/image22.png"/><Relationship Id="rId57" Type="http://schemas.openxmlformats.org/officeDocument/2006/relationships/image" Target="media/image29.svgz"/><Relationship Id="rId61" Type="http://schemas.openxmlformats.org/officeDocument/2006/relationships/image" Target="media/image31.svgz"/><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3.png"/><Relationship Id="rId31" Type="http://schemas.openxmlformats.org/officeDocument/2006/relationships/image" Target="media/image12.svgz"/><Relationship Id="rId44" Type="http://schemas.openxmlformats.org/officeDocument/2006/relationships/image" Target="media/image21.svgz"/><Relationship Id="rId52" Type="http://schemas.openxmlformats.org/officeDocument/2006/relationships/image" Target="media/image25.svgz"/><Relationship Id="rId60" Type="http://schemas.openxmlformats.org/officeDocument/2006/relationships/image" Target="media/image30.png"/><Relationship Id="rId65" Type="http://schemas.openxmlformats.org/officeDocument/2006/relationships/image" Target="media/image35.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hyperlink" Target="https://www.health.gov.au/resources/publications/technical-supplement-australian-respiratory-surveillance-report" TargetMode="External"/><Relationship Id="rId30" Type="http://schemas.openxmlformats.org/officeDocument/2006/relationships/image" Target="media/image11.png"/><Relationship Id="rId35" Type="http://schemas.openxmlformats.org/officeDocument/2006/relationships/image" Target="media/image15.svgz"/><Relationship Id="rId43" Type="http://schemas.openxmlformats.org/officeDocument/2006/relationships/image" Target="media/image20.png"/><Relationship Id="rId48" Type="http://schemas.openxmlformats.org/officeDocument/2006/relationships/hyperlink" Target="https://paeds.org.au/" TargetMode="External"/><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svgz"/><Relationship Id="rId46" Type="http://schemas.openxmlformats.org/officeDocument/2006/relationships/hyperlink" Target="https://paeds.org.au/pims-ts/paeds-pims-ts-case-data" TargetMode="External"/><Relationship Id="rId59" Type="http://schemas.openxmlformats.org/officeDocument/2006/relationships/hyperlink" Target="https://www.health.gov.au/resources/publications/technical-supplement-australian-respiratory-surveillance-report" TargetMode="External"/><Relationship Id="rId67" Type="http://schemas.openxmlformats.org/officeDocument/2006/relationships/hyperlink" Target="https://www.health.gov.au/resources/publications/technical-supplement-australian-respiratory-surveillance-report" TargetMode="Externa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7.svgz"/><Relationship Id="rId62" Type="http://schemas.openxmlformats.org/officeDocument/2006/relationships/image" Target="media/image32.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91D154A5-6D79-43E5-98F3-78055486BAA8}">
  <ds:schemaRefs>
    <ds:schemaRef ds:uri="http://schemas.microsoft.com/sharepoint/v3/contenttype/forms"/>
  </ds:schemaRefs>
</ds:datastoreItem>
</file>

<file path=customXml/itemProps2.xml><?xml version="1.0" encoding="utf-8"?>
<ds:datastoreItem xmlns:ds="http://schemas.openxmlformats.org/officeDocument/2006/customXml" ds:itemID="{CBD4E0C8-1041-4260-8AED-23FF7BB47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3820EE-8FE4-446A-BFC2-8A7CB89340D4}">
  <ds:schemaRefs>
    <ds:schemaRef ds:uri="084f2b4f-2535-46c8-ae12-341bccf6b9a4"/>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e7d54a9e-4aca-451b-99db-b94fe438e98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7284</Words>
  <Characters>41523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Australian Respiratory Surveillance Report – 27 January to 23 February 2025</vt:lpstr>
    </vt:vector>
  </TitlesOfParts>
  <Manager/>
  <Company/>
  <LinksUpToDate>false</LinksUpToDate>
  <CharactersWithSpaces>48710</CharactersWithSpaces>
  <SharedDoc>false</SharedDoc>
  <HyperlinkBase/>
  <HLinks>
    <vt:vector size="138" baseType="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6684734</vt:i4>
      </vt:variant>
      <vt:variant>
        <vt:i4>57</vt:i4>
      </vt:variant>
      <vt:variant>
        <vt:i4>0</vt:i4>
      </vt:variant>
      <vt:variant>
        <vt:i4>5</vt:i4>
      </vt:variant>
      <vt:variant>
        <vt:lpwstr>https://www.abs.gov.au/statistics/health/causes-death/provisional-mortality-statistics/jan-sep-2024</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1245278</vt:i4>
      </vt:variant>
      <vt:variant>
        <vt:i4>48</vt:i4>
      </vt:variant>
      <vt:variant>
        <vt:i4>0</vt:i4>
      </vt:variant>
      <vt:variant>
        <vt:i4>5</vt:i4>
      </vt:variant>
      <vt:variant>
        <vt:lpwstr>https://paeds.org.au/influenza/paediatric-influenza-australia</vt:lpwstr>
      </vt:variant>
      <vt:variant>
        <vt:lpwstr/>
      </vt:variant>
      <vt:variant>
        <vt:i4>4718686</vt:i4>
      </vt:variant>
      <vt:variant>
        <vt:i4>45</vt:i4>
      </vt:variant>
      <vt:variant>
        <vt:i4>0</vt:i4>
      </vt:variant>
      <vt:variant>
        <vt:i4>5</vt:i4>
      </vt:variant>
      <vt:variant>
        <vt:lpwstr>https://paeds.org.au/pims-ts/paeds-pims-ts-case-data</vt:lpwstr>
      </vt:variant>
      <vt:variant>
        <vt:lpwstr/>
      </vt:variant>
      <vt:variant>
        <vt:i4>7143456</vt:i4>
      </vt:variant>
      <vt:variant>
        <vt:i4>42</vt:i4>
      </vt:variant>
      <vt:variant>
        <vt:i4>0</vt:i4>
      </vt:variant>
      <vt:variant>
        <vt:i4>5</vt:i4>
      </vt:variant>
      <vt:variant>
        <vt:lpwstr>https://paeds.org.au/covid-19/paediatric-covid-19-australia</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4194393</vt:i4>
      </vt:variant>
      <vt:variant>
        <vt:i4>27</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27 January to 23 February 2025</dc:title>
  <dc:subject>Communicable diseases</dc:subject>
  <dc:creator>Australian Government Department of Health and Aged Care</dc:creator>
  <cp:keywords>Respiratory syncytial virus (RSV) infection; Influenza (flu); COVID-19, Coronavirus; Influenza surveillance program</cp:keywords>
  <dc:description/>
  <cp:lastModifiedBy>WILSON, Lisa</cp:lastModifiedBy>
  <cp:revision>2</cp:revision>
  <dcterms:created xsi:type="dcterms:W3CDTF">2025-04-23T22:50:00Z</dcterms:created>
  <dcterms:modified xsi:type="dcterms:W3CDTF">2025-04-23T22:50:00Z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