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3170F" w14:textId="2DFBE1E9" w:rsidR="00A715E6" w:rsidRPr="00240704" w:rsidRDefault="0019761A" w:rsidP="00240704">
      <w:pPr>
        <w:pStyle w:val="Title"/>
        <w:rPr>
          <w:sz w:val="68"/>
          <w:szCs w:val="68"/>
        </w:rPr>
      </w:pPr>
      <w:r w:rsidRPr="00240704">
        <w:rPr>
          <w:sz w:val="68"/>
          <w:szCs w:val="68"/>
        </w:rPr>
        <w:t xml:space="preserve">2024 Annual </w:t>
      </w:r>
      <w:r w:rsidR="00240704">
        <w:rPr>
          <w:sz w:val="68"/>
          <w:szCs w:val="68"/>
        </w:rPr>
        <w:br/>
      </w:r>
      <w:r w:rsidRPr="00240704">
        <w:rPr>
          <w:sz w:val="68"/>
          <w:szCs w:val="68"/>
        </w:rPr>
        <w:t>Australian Respiratory Surveillance Report</w:t>
      </w:r>
    </w:p>
    <w:p w14:paraId="16A31710" w14:textId="77777777" w:rsidR="00A715E6" w:rsidRDefault="0019761A">
      <w:r>
        <w:br w:type="page"/>
      </w:r>
    </w:p>
    <w:p w14:paraId="5A18DE93" w14:textId="51128EB8" w:rsidR="00CF38C5" w:rsidRPr="00CB2AE0" w:rsidRDefault="00CF38C5" w:rsidP="00CF38C5">
      <w:pPr>
        <w:pStyle w:val="NormalWeb"/>
        <w:rPr>
          <w:rFonts w:ascii="Arial" w:hAnsi="Arial" w:cs="Arial"/>
          <w:sz w:val="16"/>
          <w:szCs w:val="16"/>
        </w:rPr>
      </w:pPr>
      <w:bookmarkStart w:id="0" w:name="key-messages"/>
      <w:r w:rsidRPr="00CB2AE0">
        <w:rPr>
          <w:rFonts w:ascii="Arial" w:hAnsi="Arial" w:cs="Arial"/>
          <w:sz w:val="16"/>
          <w:szCs w:val="16"/>
        </w:rPr>
        <w:lastRenderedPageBreak/>
        <w:t xml:space="preserve">© Commonwealth of Australia as represented by the </w:t>
      </w:r>
      <w:r w:rsidR="005B7D03" w:rsidRPr="00CB2AE0">
        <w:rPr>
          <w:rFonts w:ascii="Arial" w:hAnsi="Arial" w:cs="Arial"/>
          <w:sz w:val="16"/>
          <w:szCs w:val="16"/>
        </w:rPr>
        <w:t xml:space="preserve">interim </w:t>
      </w:r>
      <w:r w:rsidRPr="00CB2AE0">
        <w:rPr>
          <w:rFonts w:ascii="Arial" w:hAnsi="Arial" w:cs="Arial"/>
          <w:sz w:val="16"/>
          <w:szCs w:val="16"/>
        </w:rPr>
        <w:t>Australian Centre for Disease Control</w:t>
      </w:r>
    </w:p>
    <w:p w14:paraId="071FA3DE" w14:textId="09CDCADE" w:rsidR="00CF38C5" w:rsidRPr="00CB2AE0" w:rsidRDefault="00CF38C5" w:rsidP="00CF38C5">
      <w:pPr>
        <w:pStyle w:val="NormalWeb"/>
        <w:rPr>
          <w:rFonts w:ascii="Arial" w:hAnsi="Arial" w:cs="Arial"/>
          <w:sz w:val="16"/>
          <w:szCs w:val="16"/>
        </w:rPr>
      </w:pPr>
      <w:r w:rsidRPr="00CB2AE0">
        <w:rPr>
          <w:rFonts w:ascii="Arial" w:hAnsi="Arial" w:cs="Arial"/>
          <w:sz w:val="16"/>
          <w:szCs w:val="16"/>
        </w:rPr>
        <w:t>Title: 2024 Annual Australian Respiratory Surveillance Report</w:t>
      </w:r>
    </w:p>
    <w:p w14:paraId="6926DFAA" w14:textId="77777777" w:rsidR="0029179A" w:rsidRPr="00CB2AE0" w:rsidRDefault="0029179A" w:rsidP="0029179A">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Acknowledgements</w:t>
      </w:r>
    </w:p>
    <w:p w14:paraId="135F6AAE" w14:textId="2D7869D0" w:rsidR="0029179A" w:rsidRPr="00CB2AE0" w:rsidRDefault="0029179A" w:rsidP="0029179A">
      <w:pPr>
        <w:pStyle w:val="NormalWeb"/>
        <w:spacing w:before="0" w:beforeAutospacing="0" w:after="120" w:afterAutospacing="0"/>
        <w:rPr>
          <w:rFonts w:ascii="Arial" w:hAnsi="Arial" w:cs="Arial"/>
          <w:sz w:val="16"/>
          <w:szCs w:val="16"/>
        </w:rPr>
      </w:pPr>
      <w:r w:rsidRPr="00CB2AE0">
        <w:rPr>
          <w:rFonts w:ascii="Arial" w:hAnsi="Arial" w:cs="Arial"/>
          <w:sz w:val="16"/>
          <w:szCs w:val="16"/>
        </w:rPr>
        <w:t xml:space="preserve">This annual report was prepared by Jenna Hassall, </w:t>
      </w:r>
      <w:r w:rsidR="00B96A97" w:rsidRPr="00CB2AE0">
        <w:rPr>
          <w:rFonts w:ascii="Arial" w:hAnsi="Arial" w:cs="Arial"/>
          <w:sz w:val="16"/>
          <w:szCs w:val="16"/>
        </w:rPr>
        <w:t xml:space="preserve">Suzie Whitehead, </w:t>
      </w:r>
      <w:r w:rsidRPr="00CB2AE0">
        <w:rPr>
          <w:rFonts w:ascii="Arial" w:hAnsi="Arial" w:cs="Arial"/>
          <w:sz w:val="16"/>
          <w:szCs w:val="16"/>
        </w:rPr>
        <w:t>Lauren Welsh,</w:t>
      </w:r>
      <w:r w:rsidR="00B96A97" w:rsidRPr="00CB2AE0">
        <w:rPr>
          <w:rFonts w:ascii="Arial" w:hAnsi="Arial" w:cs="Arial"/>
          <w:sz w:val="16"/>
          <w:szCs w:val="16"/>
        </w:rPr>
        <w:t xml:space="preserve"> Ash Donovan, Gizem Bilgin, </w:t>
      </w:r>
      <w:r w:rsidRPr="00CB2AE0">
        <w:rPr>
          <w:rFonts w:ascii="Arial" w:hAnsi="Arial" w:cs="Arial"/>
          <w:sz w:val="16"/>
          <w:szCs w:val="16"/>
        </w:rPr>
        <w:t xml:space="preserve">Nga Nguyen, Caitlin </w:t>
      </w:r>
      <w:proofErr w:type="spellStart"/>
      <w:r w:rsidRPr="00CB2AE0">
        <w:rPr>
          <w:rFonts w:ascii="Arial" w:hAnsi="Arial" w:cs="Arial"/>
          <w:sz w:val="16"/>
          <w:szCs w:val="16"/>
        </w:rPr>
        <w:t>Trenorden</w:t>
      </w:r>
      <w:proofErr w:type="spellEnd"/>
      <w:r w:rsidRPr="00CB2AE0">
        <w:rPr>
          <w:rFonts w:ascii="Arial" w:hAnsi="Arial" w:cs="Arial"/>
          <w:sz w:val="16"/>
          <w:szCs w:val="16"/>
        </w:rPr>
        <w:t xml:space="preserve"> and Siobhan St George on behalf of the interim Australian Centre for Disease Control. </w:t>
      </w:r>
    </w:p>
    <w:p w14:paraId="2E705581" w14:textId="357EC39A" w:rsidR="0029179A" w:rsidRPr="00CB2AE0" w:rsidRDefault="0029179A" w:rsidP="00CA2071">
      <w:pPr>
        <w:pStyle w:val="NormalWeb"/>
        <w:spacing w:before="0" w:beforeAutospacing="0" w:after="120" w:afterAutospacing="0"/>
        <w:rPr>
          <w:rFonts w:ascii="Arial" w:hAnsi="Arial" w:cs="Arial"/>
          <w:b/>
          <w:bCs/>
          <w:sz w:val="16"/>
          <w:szCs w:val="16"/>
        </w:rPr>
      </w:pPr>
      <w:r w:rsidRPr="00CB2AE0">
        <w:rPr>
          <w:rFonts w:ascii="Arial" w:hAnsi="Arial" w:cs="Arial"/>
          <w:sz w:val="16"/>
          <w:szCs w:val="16"/>
        </w:rPr>
        <w:t xml:space="preserve">The interim Australian Centre for Disease Control thanks the staff, patients, and participants from </w:t>
      </w:r>
      <w:proofErr w:type="gramStart"/>
      <w:r w:rsidRPr="00CB2AE0">
        <w:rPr>
          <w:rFonts w:ascii="Arial" w:hAnsi="Arial" w:cs="Arial"/>
          <w:sz w:val="16"/>
          <w:szCs w:val="16"/>
        </w:rPr>
        <w:t>all of</w:t>
      </w:r>
      <w:proofErr w:type="gramEnd"/>
      <w:r w:rsidRPr="00CB2AE0">
        <w:rPr>
          <w:rFonts w:ascii="Arial" w:hAnsi="Arial" w:cs="Arial"/>
          <w:sz w:val="16"/>
          <w:szCs w:val="16"/>
        </w:rPr>
        <w:t xml:space="preserve"> the surveillance systems who contribute data for acute respiratory illness surveillance across Australia.</w:t>
      </w:r>
      <w:r w:rsidR="00D169D3" w:rsidRPr="00CB2AE0">
        <w:rPr>
          <w:rFonts w:ascii="Arial" w:hAnsi="Arial" w:cs="Arial"/>
          <w:sz w:val="16"/>
          <w:szCs w:val="16"/>
        </w:rPr>
        <w:t xml:space="preserve"> The interim Australian Centre for Disease Control thanks the National Respiratory Infections Surveillance Committee for their contributions to this annual report.</w:t>
      </w:r>
    </w:p>
    <w:p w14:paraId="5EC284C9" w14:textId="5A426358"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Creative Commons Licence</w:t>
      </w:r>
    </w:p>
    <w:p w14:paraId="505E1E94" w14:textId="77777777" w:rsidR="000E02DC" w:rsidRDefault="00CF38C5" w:rsidP="000E02DC">
      <w:pPr>
        <w:pStyle w:val="Copyrightversotext"/>
        <w:spacing w:before="0"/>
        <w:rPr>
          <w:color w:val="033636" w:themeColor="text1"/>
          <w:sz w:val="16"/>
          <w:szCs w:val="16"/>
        </w:rPr>
      </w:pPr>
      <w:r w:rsidRPr="00CB2AE0">
        <w:rPr>
          <w:color w:val="033636" w:themeColor="text1"/>
          <w:sz w:val="16"/>
          <w:szCs w:val="16"/>
        </w:rPr>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B3D0945" w14:textId="53932E25" w:rsidR="00CF38C5" w:rsidRPr="00CB2AE0" w:rsidRDefault="00CF38C5" w:rsidP="000E02DC">
      <w:pPr>
        <w:pStyle w:val="Copyrightversotext"/>
        <w:spacing w:before="0"/>
        <w:rPr>
          <w:b/>
          <w:bCs/>
          <w:sz w:val="16"/>
          <w:szCs w:val="16"/>
        </w:rPr>
      </w:pPr>
      <w:r w:rsidRPr="00CB2AE0">
        <w:rPr>
          <w:b/>
          <w:bCs/>
          <w:sz w:val="16"/>
          <w:szCs w:val="16"/>
        </w:rPr>
        <w:t>Restrictions</w:t>
      </w:r>
    </w:p>
    <w:p w14:paraId="4FF6584D" w14:textId="3611FCF1" w:rsidR="00CF38C5" w:rsidRPr="00CB2AE0" w:rsidRDefault="00CF38C5" w:rsidP="00CA2071">
      <w:pPr>
        <w:pStyle w:val="Copyrightversotext"/>
        <w:spacing w:before="0"/>
        <w:rPr>
          <w:color w:val="033636" w:themeColor="text1"/>
          <w:sz w:val="16"/>
          <w:szCs w:val="16"/>
        </w:rPr>
      </w:pPr>
      <w:r w:rsidRPr="00CB2AE0">
        <w:rPr>
          <w:color w:val="033636" w:themeColor="text1"/>
          <w:sz w:val="16"/>
          <w:szCs w:val="16"/>
        </w:rPr>
        <w:t>The Licence may not give you all the permissions necessary for your intended use. For example, other rights (such as publicity, privacy and moral rights) may limit how you use the material found in this publication.</w:t>
      </w:r>
      <w:r w:rsidR="00CA2071" w:rsidRPr="00CB2AE0">
        <w:rPr>
          <w:color w:val="033636" w:themeColor="text1"/>
          <w:sz w:val="16"/>
          <w:szCs w:val="16"/>
        </w:rPr>
        <w:t xml:space="preserve"> </w:t>
      </w:r>
      <w:r w:rsidRPr="00CB2AE0">
        <w:rPr>
          <w:color w:val="033636" w:themeColor="text1"/>
          <w:sz w:val="16"/>
          <w:szCs w:val="16"/>
        </w:rPr>
        <w:t>The Licence does not cover, and there is no permission given for, use of any of the following material found in this publication:</w:t>
      </w:r>
    </w:p>
    <w:p w14:paraId="38A6701E"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the Commonwealth Coat of Arms. (</w:t>
      </w:r>
      <w:proofErr w:type="gramStart"/>
      <w:r w:rsidRPr="00CB2AE0">
        <w:rPr>
          <w:rFonts w:ascii="Arial" w:hAnsi="Arial" w:cs="Arial"/>
          <w:sz w:val="16"/>
          <w:szCs w:val="16"/>
        </w:rPr>
        <w:t>by</w:t>
      </w:r>
      <w:proofErr w:type="gramEnd"/>
      <w:r w:rsidRPr="00CB2AE0">
        <w:rPr>
          <w:rFonts w:ascii="Arial" w:hAnsi="Arial" w:cs="Arial"/>
          <w:sz w:val="16"/>
          <w:szCs w:val="16"/>
        </w:rPr>
        <w:t xml:space="preserve"> way of information, the terms under which the Coat of Arms may be used can be found on the Department of Prime Minister and Cabinet website</w:t>
      </w:r>
    </w:p>
    <w:p w14:paraId="6428092F"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logos and </w:t>
      </w:r>
      <w:proofErr w:type="gramStart"/>
      <w:r w:rsidRPr="00CB2AE0">
        <w:rPr>
          <w:rFonts w:ascii="Arial" w:hAnsi="Arial" w:cs="Arial"/>
          <w:sz w:val="16"/>
          <w:szCs w:val="16"/>
        </w:rPr>
        <w:t>trademarks;</w:t>
      </w:r>
      <w:proofErr w:type="gramEnd"/>
    </w:p>
    <w:p w14:paraId="6EF54B8E"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photographs and </w:t>
      </w:r>
      <w:proofErr w:type="gramStart"/>
      <w:r w:rsidRPr="00CB2AE0">
        <w:rPr>
          <w:rFonts w:ascii="Arial" w:hAnsi="Arial" w:cs="Arial"/>
          <w:sz w:val="16"/>
          <w:szCs w:val="16"/>
        </w:rPr>
        <w:t>images;</w:t>
      </w:r>
      <w:proofErr w:type="gramEnd"/>
    </w:p>
    <w:p w14:paraId="53606D9D"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any signatures; and</w:t>
      </w:r>
    </w:p>
    <w:p w14:paraId="3559F096" w14:textId="77777777" w:rsidR="00CF38C5" w:rsidRPr="00CB2AE0" w:rsidRDefault="00CF38C5" w:rsidP="00CA2071">
      <w:pPr>
        <w:pStyle w:val="NormalWeb"/>
        <w:numPr>
          <w:ilvl w:val="0"/>
          <w:numId w:val="59"/>
        </w:numPr>
        <w:spacing w:before="0" w:beforeAutospacing="0" w:after="120" w:afterAutospacing="0" w:line="240" w:lineRule="auto"/>
        <w:rPr>
          <w:rFonts w:ascii="Arial" w:hAnsi="Arial" w:cs="Arial"/>
          <w:sz w:val="16"/>
          <w:szCs w:val="16"/>
        </w:rPr>
      </w:pPr>
      <w:r w:rsidRPr="00CB2AE0">
        <w:rPr>
          <w:rFonts w:ascii="Arial" w:hAnsi="Arial" w:cs="Arial"/>
          <w:sz w:val="16"/>
          <w:szCs w:val="16"/>
        </w:rPr>
        <w:t xml:space="preserve">any material belonging to third parties. The </w:t>
      </w:r>
      <w:proofErr w:type="gramStart"/>
      <w:r w:rsidRPr="00CB2AE0">
        <w:rPr>
          <w:rFonts w:ascii="Arial" w:hAnsi="Arial" w:cs="Arial"/>
          <w:sz w:val="16"/>
          <w:szCs w:val="16"/>
        </w:rPr>
        <w:t>third party</w:t>
      </w:r>
      <w:proofErr w:type="gramEnd"/>
      <w:r w:rsidRPr="00CB2AE0">
        <w:rPr>
          <w:rFonts w:ascii="Arial" w:hAnsi="Arial" w:cs="Arial"/>
          <w:sz w:val="16"/>
          <w:szCs w:val="16"/>
        </w:rPr>
        <w:t xml:space="preserve"> elements must be included here or have a footnote reference throughout the document showing where they are</w:t>
      </w:r>
    </w:p>
    <w:p w14:paraId="566F6815" w14:textId="45C7E523"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Attribution</w:t>
      </w:r>
    </w:p>
    <w:p w14:paraId="0AF8D34F" w14:textId="77777777" w:rsidR="00CF38C5" w:rsidRPr="00CB2AE0" w:rsidRDefault="00CF38C5" w:rsidP="00CA2071">
      <w:pPr>
        <w:pStyle w:val="Copyrightversotext"/>
        <w:spacing w:before="0"/>
        <w:rPr>
          <w:color w:val="033636" w:themeColor="text1"/>
          <w:sz w:val="16"/>
          <w:szCs w:val="16"/>
        </w:rPr>
      </w:pPr>
      <w:r w:rsidRPr="00CB2AE0">
        <w:rPr>
          <w:color w:val="033636" w:themeColor="text1"/>
          <w:sz w:val="16"/>
          <w:szCs w:val="16"/>
        </w:rPr>
        <w:t xml:space="preserve">Without limiting your obligations under the Licence, the Department of Health and Aged Care requests that you attribute this publication in your work. Any reasonable form of words may be used </w:t>
      </w:r>
      <w:proofErr w:type="gramStart"/>
      <w:r w:rsidRPr="00CB2AE0">
        <w:rPr>
          <w:color w:val="033636" w:themeColor="text1"/>
          <w:sz w:val="16"/>
          <w:szCs w:val="16"/>
        </w:rPr>
        <w:t>provided that</w:t>
      </w:r>
      <w:proofErr w:type="gramEnd"/>
      <w:r w:rsidRPr="00CB2AE0">
        <w:rPr>
          <w:color w:val="033636" w:themeColor="text1"/>
          <w:sz w:val="16"/>
          <w:szCs w:val="16"/>
        </w:rPr>
        <w:t xml:space="preserve"> you:</w:t>
      </w:r>
    </w:p>
    <w:p w14:paraId="06CF43D6"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include a reference to this publication and </w:t>
      </w:r>
      <w:proofErr w:type="gramStart"/>
      <w:r w:rsidRPr="00CB2AE0">
        <w:rPr>
          <w:color w:val="033636" w:themeColor="text1"/>
          <w:sz w:val="16"/>
          <w:szCs w:val="16"/>
        </w:rPr>
        <w:t>where</w:t>
      </w:r>
      <w:proofErr w:type="gramEnd"/>
      <w:r w:rsidRPr="00CB2AE0">
        <w:rPr>
          <w:color w:val="033636" w:themeColor="text1"/>
          <w:sz w:val="16"/>
          <w:szCs w:val="16"/>
        </w:rPr>
        <w:t>, practicable, the relevant page numbers;</w:t>
      </w:r>
    </w:p>
    <w:p w14:paraId="586A1CD1"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make it clear that you have permission to use the material under the Creative Commons Attribution 4.0 International Public </w:t>
      </w:r>
      <w:proofErr w:type="gramStart"/>
      <w:r w:rsidRPr="00CB2AE0">
        <w:rPr>
          <w:color w:val="033636" w:themeColor="text1"/>
          <w:sz w:val="16"/>
          <w:szCs w:val="16"/>
        </w:rPr>
        <w:t>License;</w:t>
      </w:r>
      <w:proofErr w:type="gramEnd"/>
    </w:p>
    <w:p w14:paraId="79E060FA"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make it clear whether or not you have changed the material used from this </w:t>
      </w:r>
      <w:proofErr w:type="gramStart"/>
      <w:r w:rsidRPr="00CB2AE0">
        <w:rPr>
          <w:color w:val="033636" w:themeColor="text1"/>
          <w:sz w:val="16"/>
          <w:szCs w:val="16"/>
        </w:rPr>
        <w:t>publication;</w:t>
      </w:r>
      <w:proofErr w:type="gramEnd"/>
    </w:p>
    <w:p w14:paraId="2FF55BF8" w14:textId="77777777"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72D60A63" w14:textId="50B5EB3C" w:rsidR="00CF38C5" w:rsidRPr="00CB2AE0" w:rsidRDefault="00CF38C5" w:rsidP="00CA2071">
      <w:pPr>
        <w:pStyle w:val="Copyrightversotext"/>
        <w:numPr>
          <w:ilvl w:val="0"/>
          <w:numId w:val="60"/>
        </w:numPr>
        <w:spacing w:before="0"/>
        <w:rPr>
          <w:color w:val="033636" w:themeColor="text1"/>
          <w:sz w:val="16"/>
          <w:szCs w:val="16"/>
        </w:rPr>
      </w:pPr>
      <w:r w:rsidRPr="00CB2AE0">
        <w:rPr>
          <w:color w:val="033636" w:themeColor="text1"/>
          <w:sz w:val="16"/>
          <w:szCs w:val="16"/>
        </w:rPr>
        <w:t xml:space="preserve">do not suggest that the </w:t>
      </w:r>
      <w:r w:rsidR="00FF115A" w:rsidRPr="00CB2AE0">
        <w:rPr>
          <w:color w:val="033636" w:themeColor="text1"/>
          <w:sz w:val="16"/>
          <w:szCs w:val="16"/>
        </w:rPr>
        <w:t xml:space="preserve">interim </w:t>
      </w:r>
      <w:r w:rsidRPr="00CB2AE0">
        <w:rPr>
          <w:color w:val="033636" w:themeColor="text1"/>
          <w:sz w:val="16"/>
          <w:szCs w:val="16"/>
        </w:rPr>
        <w:t>Australian Centre for Disease Control endorses you or your use of the material.</w:t>
      </w:r>
    </w:p>
    <w:p w14:paraId="6DA2FF85" w14:textId="20AE5399" w:rsidR="00407527" w:rsidRPr="00CB2AE0" w:rsidRDefault="00407527"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Disclaimer</w:t>
      </w:r>
    </w:p>
    <w:p w14:paraId="469BE4E0" w14:textId="77777777" w:rsidR="00A54DF2" w:rsidRPr="00CB2AE0" w:rsidRDefault="00407527" w:rsidP="00CA2071">
      <w:pPr>
        <w:pStyle w:val="NormalWeb"/>
        <w:spacing w:before="0" w:beforeAutospacing="0" w:after="120" w:afterAutospacing="0"/>
        <w:rPr>
          <w:rFonts w:ascii="Arial" w:hAnsi="Arial" w:cs="Arial"/>
          <w:sz w:val="16"/>
          <w:szCs w:val="16"/>
        </w:rPr>
      </w:pPr>
      <w:r w:rsidRPr="00CB2AE0">
        <w:rPr>
          <w:rFonts w:ascii="Arial" w:hAnsi="Arial" w:cs="Arial"/>
          <w:sz w:val="16"/>
          <w:szCs w:val="16"/>
        </w:rPr>
        <w:t>While every care has been taken in preparing this report, the Australian Government Department of Health and Aged Care</w:t>
      </w:r>
      <w:r w:rsidR="00F165A0" w:rsidRPr="00CB2AE0">
        <w:rPr>
          <w:rFonts w:ascii="Arial" w:hAnsi="Arial" w:cs="Arial"/>
          <w:sz w:val="16"/>
          <w:szCs w:val="16"/>
        </w:rPr>
        <w:t xml:space="preserve"> as represented by the interim Australian Centre for Disease Control</w:t>
      </w:r>
      <w:r w:rsidRPr="00CB2AE0">
        <w:rPr>
          <w:rFonts w:ascii="Arial" w:hAnsi="Arial" w:cs="Arial"/>
          <w:sz w:val="16"/>
          <w:szCs w:val="16"/>
        </w:rPr>
        <w:t xml:space="preserve"> does not accept liability for any injury or loss or damage arising from the use of, or reliance upon, the content of th</w:t>
      </w:r>
      <w:r w:rsidR="00F165A0" w:rsidRPr="00CB2AE0">
        <w:rPr>
          <w:rFonts w:ascii="Arial" w:hAnsi="Arial" w:cs="Arial"/>
          <w:sz w:val="16"/>
          <w:szCs w:val="16"/>
        </w:rPr>
        <w:t>is annual</w:t>
      </w:r>
      <w:r w:rsidRPr="00CB2AE0">
        <w:rPr>
          <w:rFonts w:ascii="Arial" w:hAnsi="Arial" w:cs="Arial"/>
          <w:sz w:val="16"/>
          <w:szCs w:val="16"/>
        </w:rPr>
        <w:t xml:space="preserve"> report.</w:t>
      </w:r>
      <w:r w:rsidR="007D7093" w:rsidRPr="00CB2AE0">
        <w:rPr>
          <w:rFonts w:ascii="Arial" w:hAnsi="Arial" w:cs="Arial"/>
          <w:sz w:val="16"/>
          <w:szCs w:val="16"/>
        </w:rPr>
        <w:t xml:space="preserve"> </w:t>
      </w:r>
    </w:p>
    <w:p w14:paraId="7AB5AD44" w14:textId="36A081AF" w:rsidR="00407527" w:rsidRPr="00CB2AE0" w:rsidRDefault="007D7093" w:rsidP="00CA2071">
      <w:pPr>
        <w:pStyle w:val="NormalWeb"/>
        <w:spacing w:before="0" w:beforeAutospacing="0" w:after="120" w:afterAutospacing="0"/>
        <w:rPr>
          <w:rFonts w:ascii="Arial" w:hAnsi="Arial" w:cs="Arial"/>
          <w:sz w:val="16"/>
          <w:szCs w:val="16"/>
        </w:rPr>
      </w:pPr>
      <w:r w:rsidRPr="00CB2AE0">
        <w:rPr>
          <w:rFonts w:ascii="Arial" w:hAnsi="Arial" w:cs="Arial"/>
          <w:sz w:val="16"/>
          <w:szCs w:val="16"/>
        </w:rPr>
        <w:t>Analysis and reporting outputs were produced using R Statistical Software v4.3.1.</w:t>
      </w:r>
    </w:p>
    <w:p w14:paraId="18597B3E" w14:textId="0EC55AEF" w:rsidR="00CF38C5" w:rsidRPr="00CB2AE0" w:rsidRDefault="00CF38C5" w:rsidP="00CA2071">
      <w:pPr>
        <w:pStyle w:val="NormalWeb"/>
        <w:spacing w:before="0" w:beforeAutospacing="0" w:after="120" w:afterAutospacing="0"/>
        <w:rPr>
          <w:rFonts w:ascii="Arial" w:hAnsi="Arial" w:cs="Arial"/>
          <w:b/>
          <w:bCs/>
          <w:sz w:val="16"/>
          <w:szCs w:val="16"/>
        </w:rPr>
      </w:pPr>
      <w:r w:rsidRPr="00CB2AE0">
        <w:rPr>
          <w:rFonts w:ascii="Arial" w:hAnsi="Arial" w:cs="Arial"/>
          <w:b/>
          <w:bCs/>
          <w:sz w:val="16"/>
          <w:szCs w:val="16"/>
        </w:rPr>
        <w:t>Enquiries</w:t>
      </w:r>
    </w:p>
    <w:p w14:paraId="759768F2" w14:textId="2257584D" w:rsidR="00D232BE" w:rsidRPr="00CB2AE0" w:rsidRDefault="00D232BE" w:rsidP="00CA2071">
      <w:pPr>
        <w:pStyle w:val="Copyrightversotext"/>
        <w:spacing w:before="0"/>
        <w:rPr>
          <w:color w:val="033636" w:themeColor="text1"/>
          <w:sz w:val="16"/>
          <w:szCs w:val="16"/>
        </w:rPr>
      </w:pPr>
      <w:r w:rsidRPr="00CB2AE0">
        <w:rPr>
          <w:color w:val="033636" w:themeColor="text1"/>
          <w:sz w:val="16"/>
          <w:szCs w:val="16"/>
        </w:rPr>
        <w:t>Enquires rega</w:t>
      </w:r>
      <w:r w:rsidR="005C718C" w:rsidRPr="00CB2AE0">
        <w:rPr>
          <w:color w:val="033636" w:themeColor="text1"/>
          <w:sz w:val="16"/>
          <w:szCs w:val="16"/>
        </w:rPr>
        <w:t>rding any content or feedbac</w:t>
      </w:r>
      <w:r w:rsidR="006E7DFB" w:rsidRPr="00CB2AE0">
        <w:rPr>
          <w:color w:val="033636" w:themeColor="text1"/>
          <w:sz w:val="16"/>
          <w:szCs w:val="16"/>
        </w:rPr>
        <w:t>k for this publication should be addressed to the Viral Respiratory Diseases Epidemiology and Surveillance Section</w:t>
      </w:r>
      <w:r w:rsidR="008909DB" w:rsidRPr="00CB2AE0">
        <w:rPr>
          <w:color w:val="033636" w:themeColor="text1"/>
          <w:sz w:val="16"/>
          <w:szCs w:val="16"/>
        </w:rPr>
        <w:t>, Public Health Surveillance Branch</w:t>
      </w:r>
      <w:r w:rsidR="00B57F56" w:rsidRPr="00CB2AE0">
        <w:rPr>
          <w:color w:val="033636" w:themeColor="text1"/>
          <w:sz w:val="16"/>
          <w:szCs w:val="16"/>
        </w:rPr>
        <w:t>, interim Australian Centre for Disease Control</w:t>
      </w:r>
      <w:r w:rsidR="00B64EFB" w:rsidRPr="00CB2AE0">
        <w:rPr>
          <w:color w:val="033636" w:themeColor="text1"/>
          <w:sz w:val="16"/>
          <w:szCs w:val="16"/>
        </w:rPr>
        <w:t xml:space="preserve"> via email</w:t>
      </w:r>
      <w:r w:rsidR="009B339B" w:rsidRPr="00CB2AE0">
        <w:rPr>
          <w:color w:val="033636" w:themeColor="text1"/>
          <w:sz w:val="16"/>
          <w:szCs w:val="16"/>
        </w:rPr>
        <w:t xml:space="preserve"> to</w:t>
      </w:r>
      <w:r w:rsidR="006E7DFB" w:rsidRPr="00CB2AE0">
        <w:rPr>
          <w:color w:val="033636" w:themeColor="text1"/>
          <w:sz w:val="16"/>
          <w:szCs w:val="16"/>
        </w:rPr>
        <w:t xml:space="preserve"> </w:t>
      </w:r>
      <w:hyperlink r:id="rId11" w:history="1">
        <w:r w:rsidR="00FF115A" w:rsidRPr="00CB2AE0">
          <w:rPr>
            <w:rStyle w:val="Hyperlink"/>
            <w:color w:val="033636" w:themeColor="text1"/>
            <w:sz w:val="16"/>
            <w:szCs w:val="16"/>
          </w:rPr>
          <w:t>respiratory.surveillance@health.gov.au</w:t>
        </w:r>
      </w:hyperlink>
      <w:r w:rsidR="00FF115A" w:rsidRPr="00CB2AE0">
        <w:rPr>
          <w:color w:val="033636" w:themeColor="text1"/>
          <w:sz w:val="16"/>
          <w:szCs w:val="16"/>
        </w:rPr>
        <w:t xml:space="preserve"> </w:t>
      </w:r>
    </w:p>
    <w:p w14:paraId="0ACEAD06" w14:textId="4B674E34" w:rsidR="00C943BE" w:rsidRDefault="00CF38C5" w:rsidP="001E59AD">
      <w:pPr>
        <w:pStyle w:val="Copyrightversotext"/>
        <w:spacing w:before="0"/>
        <w:rPr>
          <w:b/>
          <w:bCs/>
          <w:kern w:val="28"/>
          <w:sz w:val="44"/>
          <w:szCs w:val="36"/>
        </w:rPr>
      </w:pPr>
      <w:r w:rsidRPr="00CB2AE0">
        <w:rPr>
          <w:color w:val="033636" w:themeColor="text1"/>
          <w:sz w:val="16"/>
          <w:szCs w:val="16"/>
        </w:rPr>
        <w:t xml:space="preserve">Enquiries regarding any other use of this publication should be addressed to the Branch Manager, Communication Branch, </w:t>
      </w:r>
      <w:r w:rsidR="00B57F56" w:rsidRPr="00CB2AE0">
        <w:rPr>
          <w:color w:val="033636" w:themeColor="text1"/>
          <w:sz w:val="16"/>
          <w:szCs w:val="16"/>
        </w:rPr>
        <w:t xml:space="preserve">interim </w:t>
      </w:r>
      <w:r w:rsidRPr="00CB2AE0">
        <w:rPr>
          <w:color w:val="033636" w:themeColor="text1"/>
          <w:sz w:val="16"/>
          <w:szCs w:val="16"/>
        </w:rPr>
        <w:t xml:space="preserve">Australian Centre for Disease Control, GPO Box 9848, Canberra ACT 2601, or via e-mail to </w:t>
      </w:r>
      <w:hyperlink r:id="rId12" w:history="1">
        <w:r w:rsidRPr="00CB2AE0">
          <w:rPr>
            <w:rStyle w:val="Hyperlink"/>
            <w:color w:val="033636" w:themeColor="text1"/>
            <w:sz w:val="16"/>
            <w:szCs w:val="16"/>
          </w:rPr>
          <w:t>copyright@health.gov.au</w:t>
        </w:r>
      </w:hyperlink>
      <w:r w:rsidR="00C943BE">
        <w:br w:type="page"/>
      </w:r>
    </w:p>
    <w:p w14:paraId="1F6FBC70" w14:textId="77777777" w:rsidR="00EE789B" w:rsidRDefault="00EE789B" w:rsidP="00EE789B">
      <w:pPr>
        <w:pStyle w:val="Heading1"/>
      </w:pPr>
      <w:bookmarkStart w:id="1" w:name="_Toc194074604"/>
      <w:r>
        <w:lastRenderedPageBreak/>
        <w:t>Table of contents</w:t>
      </w:r>
      <w:bookmarkEnd w:id="1"/>
      <w:r>
        <w:t xml:space="preserve"> </w:t>
      </w:r>
    </w:p>
    <w:sdt>
      <w:sdtPr>
        <w:rPr>
          <w:rFonts w:ascii="Arial" w:hAnsi="Arial"/>
          <w:color w:val="033636" w:themeColor="text1"/>
          <w:sz w:val="20"/>
        </w:rPr>
        <w:id w:val="-1462503314"/>
        <w:docPartObj>
          <w:docPartGallery w:val="Table of Contents"/>
          <w:docPartUnique/>
        </w:docPartObj>
      </w:sdtPr>
      <w:sdtEndPr>
        <w:rPr>
          <w:b/>
          <w:bCs/>
          <w:noProof/>
          <w:szCs w:val="20"/>
        </w:rPr>
      </w:sdtEndPr>
      <w:sdtContent>
        <w:p w14:paraId="1DAD3F04" w14:textId="142FD9B5" w:rsidR="007719D3" w:rsidRPr="00437C64" w:rsidRDefault="007719D3" w:rsidP="000E02DC">
          <w:pPr>
            <w:pStyle w:val="NoSpacing"/>
            <w:rPr>
              <w:noProof/>
            </w:rPr>
          </w:pPr>
          <w:r>
            <w:rPr>
              <w:rFonts w:asciiTheme="majorHAnsi" w:eastAsiaTheme="majorEastAsia" w:hAnsiTheme="majorHAnsi" w:cstheme="majorBidi"/>
              <w:color w:val="062E74"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062E74" w:themeColor="accent1" w:themeShade="BF"/>
              <w:sz w:val="32"/>
              <w:szCs w:val="32"/>
              <w:lang w:val="en-US"/>
            </w:rPr>
            <w:fldChar w:fldCharType="separate"/>
          </w:r>
        </w:p>
        <w:p w14:paraId="1A574A3B" w14:textId="34F26BF7" w:rsidR="007719D3" w:rsidRPr="00437C64" w:rsidRDefault="007719D3">
          <w:pPr>
            <w:pStyle w:val="TOC1"/>
            <w:tabs>
              <w:tab w:val="right" w:leader="dot" w:pos="9742"/>
            </w:tabs>
            <w:rPr>
              <w:b/>
              <w:bCs/>
              <w:noProof/>
            </w:rPr>
          </w:pPr>
          <w:hyperlink w:anchor="_Toc194074605" w:history="1">
            <w:r w:rsidRPr="00437C64">
              <w:rPr>
                <w:rStyle w:val="Hyperlink"/>
                <w:b/>
                <w:bCs/>
                <w:noProof/>
              </w:rPr>
              <w:t>Key messages</w:t>
            </w:r>
            <w:r w:rsidRPr="00437C64">
              <w:rPr>
                <w:b/>
                <w:bCs/>
                <w:noProof/>
                <w:webHidden/>
              </w:rPr>
              <w:tab/>
            </w:r>
            <w:r w:rsidRPr="00437C64">
              <w:rPr>
                <w:b/>
                <w:bCs/>
                <w:noProof/>
                <w:webHidden/>
              </w:rPr>
              <w:fldChar w:fldCharType="begin"/>
            </w:r>
            <w:r w:rsidRPr="00437C64">
              <w:rPr>
                <w:b/>
                <w:bCs/>
                <w:noProof/>
                <w:webHidden/>
              </w:rPr>
              <w:instrText xml:space="preserve"> PAGEREF _Toc194074605 \h </w:instrText>
            </w:r>
            <w:r w:rsidRPr="00437C64">
              <w:rPr>
                <w:b/>
                <w:bCs/>
                <w:noProof/>
                <w:webHidden/>
              </w:rPr>
            </w:r>
            <w:r w:rsidRPr="00437C64">
              <w:rPr>
                <w:b/>
                <w:bCs/>
                <w:noProof/>
                <w:webHidden/>
              </w:rPr>
              <w:fldChar w:fldCharType="separate"/>
            </w:r>
            <w:r w:rsidRPr="00437C64">
              <w:rPr>
                <w:b/>
                <w:bCs/>
                <w:noProof/>
                <w:webHidden/>
              </w:rPr>
              <w:t>3</w:t>
            </w:r>
            <w:r w:rsidRPr="00437C64">
              <w:rPr>
                <w:b/>
                <w:bCs/>
                <w:noProof/>
                <w:webHidden/>
              </w:rPr>
              <w:fldChar w:fldCharType="end"/>
            </w:r>
          </w:hyperlink>
        </w:p>
        <w:p w14:paraId="21C781BE" w14:textId="4406D757" w:rsidR="007719D3" w:rsidRPr="00437C64" w:rsidRDefault="007719D3">
          <w:pPr>
            <w:pStyle w:val="TOC1"/>
            <w:tabs>
              <w:tab w:val="right" w:leader="dot" w:pos="9742"/>
            </w:tabs>
            <w:rPr>
              <w:b/>
              <w:bCs/>
              <w:noProof/>
            </w:rPr>
          </w:pPr>
          <w:hyperlink w:anchor="_Toc194074606" w:history="1">
            <w:r w:rsidRPr="00437C64">
              <w:rPr>
                <w:rStyle w:val="Hyperlink"/>
                <w:b/>
                <w:bCs/>
                <w:noProof/>
              </w:rPr>
              <w:t>Introduction</w:t>
            </w:r>
            <w:r w:rsidRPr="00437C64">
              <w:rPr>
                <w:b/>
                <w:bCs/>
                <w:noProof/>
                <w:webHidden/>
              </w:rPr>
              <w:tab/>
            </w:r>
            <w:r w:rsidRPr="00437C64">
              <w:rPr>
                <w:b/>
                <w:bCs/>
                <w:noProof/>
                <w:webHidden/>
              </w:rPr>
              <w:fldChar w:fldCharType="begin"/>
            </w:r>
            <w:r w:rsidRPr="00437C64">
              <w:rPr>
                <w:b/>
                <w:bCs/>
                <w:noProof/>
                <w:webHidden/>
              </w:rPr>
              <w:instrText xml:space="preserve"> PAGEREF _Toc194074606 \h </w:instrText>
            </w:r>
            <w:r w:rsidRPr="00437C64">
              <w:rPr>
                <w:b/>
                <w:bCs/>
                <w:noProof/>
                <w:webHidden/>
              </w:rPr>
            </w:r>
            <w:r w:rsidRPr="00437C64">
              <w:rPr>
                <w:b/>
                <w:bCs/>
                <w:noProof/>
                <w:webHidden/>
              </w:rPr>
              <w:fldChar w:fldCharType="separate"/>
            </w:r>
            <w:r w:rsidRPr="00437C64">
              <w:rPr>
                <w:b/>
                <w:bCs/>
                <w:noProof/>
                <w:webHidden/>
              </w:rPr>
              <w:t>4</w:t>
            </w:r>
            <w:r w:rsidRPr="00437C64">
              <w:rPr>
                <w:b/>
                <w:bCs/>
                <w:noProof/>
                <w:webHidden/>
              </w:rPr>
              <w:fldChar w:fldCharType="end"/>
            </w:r>
          </w:hyperlink>
        </w:p>
        <w:p w14:paraId="7DC9145C" w14:textId="298AD603" w:rsidR="007719D3" w:rsidRPr="00437C64" w:rsidRDefault="007719D3">
          <w:pPr>
            <w:pStyle w:val="TOC1"/>
            <w:tabs>
              <w:tab w:val="right" w:leader="dot" w:pos="9742"/>
            </w:tabs>
            <w:rPr>
              <w:b/>
              <w:bCs/>
              <w:noProof/>
            </w:rPr>
          </w:pPr>
          <w:hyperlink w:anchor="_Toc194074607" w:history="1">
            <w:r w:rsidRPr="00437C64">
              <w:rPr>
                <w:rStyle w:val="Hyperlink"/>
                <w:b/>
                <w:bCs/>
                <w:noProof/>
              </w:rPr>
              <w:t>Methods and data considerations</w:t>
            </w:r>
            <w:r w:rsidRPr="00437C64">
              <w:rPr>
                <w:b/>
                <w:bCs/>
                <w:noProof/>
                <w:webHidden/>
              </w:rPr>
              <w:tab/>
            </w:r>
            <w:r w:rsidRPr="00437C64">
              <w:rPr>
                <w:b/>
                <w:bCs/>
                <w:noProof/>
                <w:webHidden/>
              </w:rPr>
              <w:fldChar w:fldCharType="begin"/>
            </w:r>
            <w:r w:rsidRPr="00437C64">
              <w:rPr>
                <w:b/>
                <w:bCs/>
                <w:noProof/>
                <w:webHidden/>
              </w:rPr>
              <w:instrText xml:space="preserve"> PAGEREF _Toc194074607 \h </w:instrText>
            </w:r>
            <w:r w:rsidRPr="00437C64">
              <w:rPr>
                <w:b/>
                <w:bCs/>
                <w:noProof/>
                <w:webHidden/>
              </w:rPr>
            </w:r>
            <w:r w:rsidRPr="00437C64">
              <w:rPr>
                <w:b/>
                <w:bCs/>
                <w:noProof/>
                <w:webHidden/>
              </w:rPr>
              <w:fldChar w:fldCharType="separate"/>
            </w:r>
            <w:r w:rsidRPr="00437C64">
              <w:rPr>
                <w:b/>
                <w:bCs/>
                <w:noProof/>
                <w:webHidden/>
              </w:rPr>
              <w:t>4</w:t>
            </w:r>
            <w:r w:rsidRPr="00437C64">
              <w:rPr>
                <w:b/>
                <w:bCs/>
                <w:noProof/>
                <w:webHidden/>
              </w:rPr>
              <w:fldChar w:fldCharType="end"/>
            </w:r>
          </w:hyperlink>
        </w:p>
        <w:p w14:paraId="261F126C" w14:textId="2CDAA5D6" w:rsidR="007719D3" w:rsidRPr="00437C64" w:rsidRDefault="007719D3">
          <w:pPr>
            <w:pStyle w:val="TOC3"/>
            <w:tabs>
              <w:tab w:val="right" w:leader="dot" w:pos="9742"/>
            </w:tabs>
            <w:rPr>
              <w:noProof/>
            </w:rPr>
          </w:pPr>
          <w:hyperlink w:anchor="_Toc194074608" w:history="1">
            <w:r w:rsidRPr="00437C64">
              <w:rPr>
                <w:rStyle w:val="Hyperlink"/>
                <w:noProof/>
              </w:rPr>
              <w:t>National Notifiable Diseases Surveillance System (NNDSS)</w:t>
            </w:r>
            <w:r w:rsidRPr="00437C64">
              <w:rPr>
                <w:noProof/>
                <w:webHidden/>
              </w:rPr>
              <w:tab/>
            </w:r>
            <w:r w:rsidRPr="00437C64">
              <w:rPr>
                <w:noProof/>
                <w:webHidden/>
              </w:rPr>
              <w:fldChar w:fldCharType="begin"/>
            </w:r>
            <w:r w:rsidRPr="00437C64">
              <w:rPr>
                <w:noProof/>
                <w:webHidden/>
              </w:rPr>
              <w:instrText xml:space="preserve"> PAGEREF _Toc194074608 \h </w:instrText>
            </w:r>
            <w:r w:rsidRPr="00437C64">
              <w:rPr>
                <w:noProof/>
                <w:webHidden/>
              </w:rPr>
            </w:r>
            <w:r w:rsidRPr="00437C64">
              <w:rPr>
                <w:noProof/>
                <w:webHidden/>
              </w:rPr>
              <w:fldChar w:fldCharType="separate"/>
            </w:r>
            <w:r w:rsidRPr="00437C64">
              <w:rPr>
                <w:noProof/>
                <w:webHidden/>
              </w:rPr>
              <w:t>4</w:t>
            </w:r>
            <w:r w:rsidRPr="00437C64">
              <w:rPr>
                <w:noProof/>
                <w:webHidden/>
              </w:rPr>
              <w:fldChar w:fldCharType="end"/>
            </w:r>
          </w:hyperlink>
        </w:p>
        <w:p w14:paraId="11127C99" w14:textId="63A233FF" w:rsidR="007719D3" w:rsidRPr="00437C64" w:rsidRDefault="007719D3">
          <w:pPr>
            <w:pStyle w:val="TOC3"/>
            <w:tabs>
              <w:tab w:val="right" w:leader="dot" w:pos="9742"/>
            </w:tabs>
            <w:rPr>
              <w:noProof/>
            </w:rPr>
          </w:pPr>
          <w:hyperlink w:anchor="_Toc194074609" w:history="1">
            <w:r w:rsidRPr="00437C64">
              <w:rPr>
                <w:rStyle w:val="Hyperlink"/>
                <w:noProof/>
              </w:rPr>
              <w:t>ABS Provisional Mortality Statistics</w:t>
            </w:r>
            <w:r w:rsidRPr="00437C64">
              <w:rPr>
                <w:noProof/>
                <w:webHidden/>
              </w:rPr>
              <w:tab/>
            </w:r>
            <w:r w:rsidRPr="00437C64">
              <w:rPr>
                <w:noProof/>
                <w:webHidden/>
              </w:rPr>
              <w:fldChar w:fldCharType="begin"/>
            </w:r>
            <w:r w:rsidRPr="00437C64">
              <w:rPr>
                <w:noProof/>
                <w:webHidden/>
              </w:rPr>
              <w:instrText xml:space="preserve"> PAGEREF _Toc194074609 \h </w:instrText>
            </w:r>
            <w:r w:rsidRPr="00437C64">
              <w:rPr>
                <w:noProof/>
                <w:webHidden/>
              </w:rPr>
            </w:r>
            <w:r w:rsidRPr="00437C64">
              <w:rPr>
                <w:noProof/>
                <w:webHidden/>
              </w:rPr>
              <w:fldChar w:fldCharType="separate"/>
            </w:r>
            <w:r w:rsidRPr="00437C64">
              <w:rPr>
                <w:noProof/>
                <w:webHidden/>
              </w:rPr>
              <w:t>7</w:t>
            </w:r>
            <w:r w:rsidRPr="00437C64">
              <w:rPr>
                <w:noProof/>
                <w:webHidden/>
              </w:rPr>
              <w:fldChar w:fldCharType="end"/>
            </w:r>
          </w:hyperlink>
        </w:p>
        <w:p w14:paraId="0D42B860" w14:textId="1CBB9F11" w:rsidR="007719D3" w:rsidRPr="00437C64" w:rsidRDefault="007719D3">
          <w:pPr>
            <w:pStyle w:val="TOC3"/>
            <w:tabs>
              <w:tab w:val="right" w:leader="dot" w:pos="9742"/>
            </w:tabs>
            <w:rPr>
              <w:noProof/>
            </w:rPr>
          </w:pPr>
          <w:hyperlink w:anchor="_Toc194074610" w:history="1">
            <w:r w:rsidRPr="00437C64">
              <w:rPr>
                <w:rStyle w:val="Hyperlink"/>
                <w:noProof/>
              </w:rPr>
              <w:t>Australian Immunisation Register (AIR)</w:t>
            </w:r>
            <w:r w:rsidRPr="00437C64">
              <w:rPr>
                <w:noProof/>
                <w:webHidden/>
              </w:rPr>
              <w:tab/>
            </w:r>
            <w:r w:rsidRPr="00437C64">
              <w:rPr>
                <w:noProof/>
                <w:webHidden/>
              </w:rPr>
              <w:fldChar w:fldCharType="begin"/>
            </w:r>
            <w:r w:rsidRPr="00437C64">
              <w:rPr>
                <w:noProof/>
                <w:webHidden/>
              </w:rPr>
              <w:instrText xml:space="preserve"> PAGEREF _Toc194074610 \h </w:instrText>
            </w:r>
            <w:r w:rsidRPr="00437C64">
              <w:rPr>
                <w:noProof/>
                <w:webHidden/>
              </w:rPr>
            </w:r>
            <w:r w:rsidRPr="00437C64">
              <w:rPr>
                <w:noProof/>
                <w:webHidden/>
              </w:rPr>
              <w:fldChar w:fldCharType="separate"/>
            </w:r>
            <w:r w:rsidRPr="00437C64">
              <w:rPr>
                <w:noProof/>
                <w:webHidden/>
              </w:rPr>
              <w:t>8</w:t>
            </w:r>
            <w:r w:rsidRPr="00437C64">
              <w:rPr>
                <w:noProof/>
                <w:webHidden/>
              </w:rPr>
              <w:fldChar w:fldCharType="end"/>
            </w:r>
          </w:hyperlink>
        </w:p>
        <w:p w14:paraId="53A7F698" w14:textId="68D92589" w:rsidR="007719D3" w:rsidRPr="00437C64" w:rsidRDefault="007719D3">
          <w:pPr>
            <w:pStyle w:val="TOC3"/>
            <w:tabs>
              <w:tab w:val="right" w:leader="dot" w:pos="9742"/>
            </w:tabs>
            <w:rPr>
              <w:noProof/>
            </w:rPr>
          </w:pPr>
          <w:hyperlink w:anchor="_Toc194074611" w:history="1">
            <w:r w:rsidRPr="00437C64">
              <w:rPr>
                <w:rStyle w:val="Hyperlink"/>
                <w:noProof/>
              </w:rPr>
              <w:t>FluTracking</w:t>
            </w:r>
            <w:r w:rsidRPr="00437C64">
              <w:rPr>
                <w:noProof/>
                <w:webHidden/>
              </w:rPr>
              <w:tab/>
            </w:r>
            <w:r w:rsidRPr="00437C64">
              <w:rPr>
                <w:noProof/>
                <w:webHidden/>
              </w:rPr>
              <w:fldChar w:fldCharType="begin"/>
            </w:r>
            <w:r w:rsidRPr="00437C64">
              <w:rPr>
                <w:noProof/>
                <w:webHidden/>
              </w:rPr>
              <w:instrText xml:space="preserve"> PAGEREF _Toc194074611 \h </w:instrText>
            </w:r>
            <w:r w:rsidRPr="00437C64">
              <w:rPr>
                <w:noProof/>
                <w:webHidden/>
              </w:rPr>
            </w:r>
            <w:r w:rsidRPr="00437C64">
              <w:rPr>
                <w:noProof/>
                <w:webHidden/>
              </w:rPr>
              <w:fldChar w:fldCharType="separate"/>
            </w:r>
            <w:r w:rsidRPr="00437C64">
              <w:rPr>
                <w:noProof/>
                <w:webHidden/>
              </w:rPr>
              <w:t>8</w:t>
            </w:r>
            <w:r w:rsidRPr="00437C64">
              <w:rPr>
                <w:noProof/>
                <w:webHidden/>
              </w:rPr>
              <w:fldChar w:fldCharType="end"/>
            </w:r>
          </w:hyperlink>
        </w:p>
        <w:p w14:paraId="6DABF624" w14:textId="2A81C4F0" w:rsidR="007719D3" w:rsidRPr="00437C64" w:rsidRDefault="007719D3">
          <w:pPr>
            <w:pStyle w:val="TOC3"/>
            <w:tabs>
              <w:tab w:val="right" w:leader="dot" w:pos="9742"/>
            </w:tabs>
            <w:rPr>
              <w:noProof/>
            </w:rPr>
          </w:pPr>
          <w:hyperlink w:anchor="_Toc194074612" w:history="1">
            <w:r w:rsidRPr="00437C64">
              <w:rPr>
                <w:rStyle w:val="Hyperlink"/>
                <w:noProof/>
              </w:rPr>
              <w:t>Influenza Complications Alert Network (FluCAN)</w:t>
            </w:r>
            <w:r w:rsidRPr="00437C64">
              <w:rPr>
                <w:noProof/>
                <w:webHidden/>
              </w:rPr>
              <w:tab/>
            </w:r>
            <w:r w:rsidRPr="00437C64">
              <w:rPr>
                <w:noProof/>
                <w:webHidden/>
              </w:rPr>
              <w:fldChar w:fldCharType="begin"/>
            </w:r>
            <w:r w:rsidRPr="00437C64">
              <w:rPr>
                <w:noProof/>
                <w:webHidden/>
              </w:rPr>
              <w:instrText xml:space="preserve"> PAGEREF _Toc194074612 \h </w:instrText>
            </w:r>
            <w:r w:rsidRPr="00437C64">
              <w:rPr>
                <w:noProof/>
                <w:webHidden/>
              </w:rPr>
            </w:r>
            <w:r w:rsidRPr="00437C64">
              <w:rPr>
                <w:noProof/>
                <w:webHidden/>
              </w:rPr>
              <w:fldChar w:fldCharType="separate"/>
            </w:r>
            <w:r w:rsidRPr="00437C64">
              <w:rPr>
                <w:noProof/>
                <w:webHidden/>
              </w:rPr>
              <w:t>9</w:t>
            </w:r>
            <w:r w:rsidRPr="00437C64">
              <w:rPr>
                <w:noProof/>
                <w:webHidden/>
              </w:rPr>
              <w:fldChar w:fldCharType="end"/>
            </w:r>
          </w:hyperlink>
        </w:p>
        <w:p w14:paraId="790EA382" w14:textId="21CBCD38" w:rsidR="007719D3" w:rsidRPr="00437C64" w:rsidRDefault="007719D3">
          <w:pPr>
            <w:pStyle w:val="TOC3"/>
            <w:tabs>
              <w:tab w:val="right" w:leader="dot" w:pos="9742"/>
            </w:tabs>
            <w:rPr>
              <w:noProof/>
            </w:rPr>
          </w:pPr>
          <w:hyperlink w:anchor="_Toc194074613" w:history="1">
            <w:r w:rsidRPr="00437C64">
              <w:rPr>
                <w:rStyle w:val="Hyperlink"/>
                <w:noProof/>
              </w:rPr>
              <w:t>Short Period Incidence Study of Severe Acute Respiratory Infection (SPRINT-SARI) Australia</w:t>
            </w:r>
            <w:r w:rsidRPr="00437C64">
              <w:rPr>
                <w:noProof/>
                <w:webHidden/>
              </w:rPr>
              <w:tab/>
            </w:r>
            <w:r w:rsidRPr="00437C64">
              <w:rPr>
                <w:noProof/>
                <w:webHidden/>
              </w:rPr>
              <w:fldChar w:fldCharType="begin"/>
            </w:r>
            <w:r w:rsidRPr="00437C64">
              <w:rPr>
                <w:noProof/>
                <w:webHidden/>
              </w:rPr>
              <w:instrText xml:space="preserve"> PAGEREF _Toc194074613 \h </w:instrText>
            </w:r>
            <w:r w:rsidRPr="00437C64">
              <w:rPr>
                <w:noProof/>
                <w:webHidden/>
              </w:rPr>
            </w:r>
            <w:r w:rsidRPr="00437C64">
              <w:rPr>
                <w:noProof/>
                <w:webHidden/>
              </w:rPr>
              <w:fldChar w:fldCharType="separate"/>
            </w:r>
            <w:r w:rsidRPr="00437C64">
              <w:rPr>
                <w:noProof/>
                <w:webHidden/>
              </w:rPr>
              <w:t>10</w:t>
            </w:r>
            <w:r w:rsidRPr="00437C64">
              <w:rPr>
                <w:noProof/>
                <w:webHidden/>
              </w:rPr>
              <w:fldChar w:fldCharType="end"/>
            </w:r>
          </w:hyperlink>
        </w:p>
        <w:p w14:paraId="41A3A9BD" w14:textId="0AD81DB3" w:rsidR="007719D3" w:rsidRPr="00437C64" w:rsidRDefault="007719D3">
          <w:pPr>
            <w:pStyle w:val="TOC3"/>
            <w:tabs>
              <w:tab w:val="right" w:leader="dot" w:pos="9742"/>
            </w:tabs>
            <w:rPr>
              <w:noProof/>
            </w:rPr>
          </w:pPr>
          <w:hyperlink w:anchor="_Toc194074614" w:history="1">
            <w:r w:rsidRPr="00437C64">
              <w:rPr>
                <w:rStyle w:val="Hyperlink"/>
                <w:noProof/>
              </w:rPr>
              <w:t>Critical Health Resource Information System (CHRIS)</w:t>
            </w:r>
            <w:r w:rsidRPr="00437C64">
              <w:rPr>
                <w:noProof/>
                <w:webHidden/>
              </w:rPr>
              <w:tab/>
            </w:r>
            <w:r w:rsidRPr="00437C64">
              <w:rPr>
                <w:noProof/>
                <w:webHidden/>
              </w:rPr>
              <w:fldChar w:fldCharType="begin"/>
            </w:r>
            <w:r w:rsidRPr="00437C64">
              <w:rPr>
                <w:noProof/>
                <w:webHidden/>
              </w:rPr>
              <w:instrText xml:space="preserve"> PAGEREF _Toc194074614 \h </w:instrText>
            </w:r>
            <w:r w:rsidRPr="00437C64">
              <w:rPr>
                <w:noProof/>
                <w:webHidden/>
              </w:rPr>
            </w:r>
            <w:r w:rsidRPr="00437C64">
              <w:rPr>
                <w:noProof/>
                <w:webHidden/>
              </w:rPr>
              <w:fldChar w:fldCharType="separate"/>
            </w:r>
            <w:r w:rsidRPr="00437C64">
              <w:rPr>
                <w:noProof/>
                <w:webHidden/>
              </w:rPr>
              <w:t>10</w:t>
            </w:r>
            <w:r w:rsidRPr="00437C64">
              <w:rPr>
                <w:noProof/>
                <w:webHidden/>
              </w:rPr>
              <w:fldChar w:fldCharType="end"/>
            </w:r>
          </w:hyperlink>
        </w:p>
        <w:p w14:paraId="3EB386B6" w14:textId="0A101E32" w:rsidR="007719D3" w:rsidRPr="00437C64" w:rsidRDefault="007719D3">
          <w:pPr>
            <w:pStyle w:val="TOC3"/>
            <w:tabs>
              <w:tab w:val="right" w:leader="dot" w:pos="9742"/>
            </w:tabs>
            <w:rPr>
              <w:noProof/>
            </w:rPr>
          </w:pPr>
          <w:hyperlink w:anchor="_Toc194074615" w:history="1">
            <w:r w:rsidRPr="00437C64">
              <w:rPr>
                <w:rStyle w:val="Hyperlink"/>
                <w:noProof/>
              </w:rPr>
              <w:t>Sentinel laboratories</w:t>
            </w:r>
            <w:r w:rsidRPr="00437C64">
              <w:rPr>
                <w:noProof/>
                <w:webHidden/>
              </w:rPr>
              <w:tab/>
            </w:r>
            <w:r w:rsidRPr="00437C64">
              <w:rPr>
                <w:noProof/>
                <w:webHidden/>
              </w:rPr>
              <w:fldChar w:fldCharType="begin"/>
            </w:r>
            <w:r w:rsidRPr="00437C64">
              <w:rPr>
                <w:noProof/>
                <w:webHidden/>
              </w:rPr>
              <w:instrText xml:space="preserve"> PAGEREF _Toc194074615 \h </w:instrText>
            </w:r>
            <w:r w:rsidRPr="00437C64">
              <w:rPr>
                <w:noProof/>
                <w:webHidden/>
              </w:rPr>
            </w:r>
            <w:r w:rsidRPr="00437C64">
              <w:rPr>
                <w:noProof/>
                <w:webHidden/>
              </w:rPr>
              <w:fldChar w:fldCharType="separate"/>
            </w:r>
            <w:r w:rsidRPr="00437C64">
              <w:rPr>
                <w:noProof/>
                <w:webHidden/>
              </w:rPr>
              <w:t>11</w:t>
            </w:r>
            <w:r w:rsidRPr="00437C64">
              <w:rPr>
                <w:noProof/>
                <w:webHidden/>
              </w:rPr>
              <w:fldChar w:fldCharType="end"/>
            </w:r>
          </w:hyperlink>
        </w:p>
        <w:p w14:paraId="0843BFCC" w14:textId="1EBA09D3" w:rsidR="007719D3" w:rsidRPr="00437C64" w:rsidRDefault="007719D3">
          <w:pPr>
            <w:pStyle w:val="TOC3"/>
            <w:tabs>
              <w:tab w:val="right" w:leader="dot" w:pos="9742"/>
            </w:tabs>
            <w:rPr>
              <w:noProof/>
            </w:rPr>
          </w:pPr>
          <w:hyperlink w:anchor="_Toc194074616" w:history="1">
            <w:r w:rsidRPr="00437C64">
              <w:rPr>
                <w:rStyle w:val="Hyperlink"/>
                <w:noProof/>
              </w:rPr>
              <w:t>AusTrakka</w:t>
            </w:r>
            <w:r w:rsidRPr="00437C64">
              <w:rPr>
                <w:noProof/>
                <w:webHidden/>
              </w:rPr>
              <w:tab/>
            </w:r>
            <w:r w:rsidRPr="00437C64">
              <w:rPr>
                <w:noProof/>
                <w:webHidden/>
              </w:rPr>
              <w:fldChar w:fldCharType="begin"/>
            </w:r>
            <w:r w:rsidRPr="00437C64">
              <w:rPr>
                <w:noProof/>
                <w:webHidden/>
              </w:rPr>
              <w:instrText xml:space="preserve"> PAGEREF _Toc194074616 \h </w:instrText>
            </w:r>
            <w:r w:rsidRPr="00437C64">
              <w:rPr>
                <w:noProof/>
                <w:webHidden/>
              </w:rPr>
            </w:r>
            <w:r w:rsidRPr="00437C64">
              <w:rPr>
                <w:noProof/>
                <w:webHidden/>
              </w:rPr>
              <w:fldChar w:fldCharType="separate"/>
            </w:r>
            <w:r w:rsidRPr="00437C64">
              <w:rPr>
                <w:noProof/>
                <w:webHidden/>
              </w:rPr>
              <w:t>11</w:t>
            </w:r>
            <w:r w:rsidRPr="00437C64">
              <w:rPr>
                <w:noProof/>
                <w:webHidden/>
              </w:rPr>
              <w:fldChar w:fldCharType="end"/>
            </w:r>
          </w:hyperlink>
        </w:p>
        <w:p w14:paraId="2A21BA1F" w14:textId="3DB1A2CD" w:rsidR="007719D3" w:rsidRPr="00437C64" w:rsidRDefault="007719D3">
          <w:pPr>
            <w:pStyle w:val="TOC3"/>
            <w:tabs>
              <w:tab w:val="right" w:leader="dot" w:pos="9742"/>
            </w:tabs>
            <w:rPr>
              <w:noProof/>
            </w:rPr>
          </w:pPr>
          <w:hyperlink w:anchor="_Toc194074617" w:history="1">
            <w:r w:rsidRPr="00437C64">
              <w:rPr>
                <w:rStyle w:val="Hyperlink"/>
                <w:noProof/>
              </w:rPr>
              <w:t>WHO Collaborating Centre for Reference and Research on Influenza</w:t>
            </w:r>
            <w:r w:rsidRPr="00437C64">
              <w:rPr>
                <w:noProof/>
                <w:webHidden/>
              </w:rPr>
              <w:tab/>
            </w:r>
            <w:r w:rsidRPr="00437C64">
              <w:rPr>
                <w:noProof/>
                <w:webHidden/>
              </w:rPr>
              <w:fldChar w:fldCharType="begin"/>
            </w:r>
            <w:r w:rsidRPr="00437C64">
              <w:rPr>
                <w:noProof/>
                <w:webHidden/>
              </w:rPr>
              <w:instrText xml:space="preserve"> PAGEREF _Toc194074617 \h </w:instrText>
            </w:r>
            <w:r w:rsidRPr="00437C64">
              <w:rPr>
                <w:noProof/>
                <w:webHidden/>
              </w:rPr>
            </w:r>
            <w:r w:rsidRPr="00437C64">
              <w:rPr>
                <w:noProof/>
                <w:webHidden/>
              </w:rPr>
              <w:fldChar w:fldCharType="separate"/>
            </w:r>
            <w:r w:rsidRPr="00437C64">
              <w:rPr>
                <w:noProof/>
                <w:webHidden/>
              </w:rPr>
              <w:t>12</w:t>
            </w:r>
            <w:r w:rsidRPr="00437C64">
              <w:rPr>
                <w:noProof/>
                <w:webHidden/>
              </w:rPr>
              <w:fldChar w:fldCharType="end"/>
            </w:r>
          </w:hyperlink>
        </w:p>
        <w:p w14:paraId="6AEDF5E6" w14:textId="615DF0C1" w:rsidR="007719D3" w:rsidRPr="00437C64" w:rsidRDefault="007719D3">
          <w:pPr>
            <w:pStyle w:val="TOC1"/>
            <w:tabs>
              <w:tab w:val="right" w:leader="dot" w:pos="9742"/>
            </w:tabs>
            <w:rPr>
              <w:b/>
              <w:bCs/>
              <w:noProof/>
            </w:rPr>
          </w:pPr>
          <w:hyperlink w:anchor="_Toc194074618" w:history="1">
            <w:r w:rsidRPr="00437C64">
              <w:rPr>
                <w:rStyle w:val="Hyperlink"/>
                <w:b/>
                <w:bCs/>
                <w:noProof/>
              </w:rPr>
              <w:t>Findings</w:t>
            </w:r>
            <w:r w:rsidRPr="00437C64">
              <w:rPr>
                <w:b/>
                <w:bCs/>
                <w:noProof/>
                <w:webHidden/>
              </w:rPr>
              <w:tab/>
            </w:r>
            <w:r w:rsidRPr="00437C64">
              <w:rPr>
                <w:b/>
                <w:bCs/>
                <w:noProof/>
                <w:webHidden/>
              </w:rPr>
              <w:fldChar w:fldCharType="begin"/>
            </w:r>
            <w:r w:rsidRPr="00437C64">
              <w:rPr>
                <w:b/>
                <w:bCs/>
                <w:noProof/>
                <w:webHidden/>
              </w:rPr>
              <w:instrText xml:space="preserve"> PAGEREF _Toc194074618 \h </w:instrText>
            </w:r>
            <w:r w:rsidRPr="00437C64">
              <w:rPr>
                <w:b/>
                <w:bCs/>
                <w:noProof/>
                <w:webHidden/>
              </w:rPr>
            </w:r>
            <w:r w:rsidRPr="00437C64">
              <w:rPr>
                <w:b/>
                <w:bCs/>
                <w:noProof/>
                <w:webHidden/>
              </w:rPr>
              <w:fldChar w:fldCharType="separate"/>
            </w:r>
            <w:r w:rsidRPr="00437C64">
              <w:rPr>
                <w:b/>
                <w:bCs/>
                <w:noProof/>
                <w:webHidden/>
              </w:rPr>
              <w:t>13</w:t>
            </w:r>
            <w:r w:rsidRPr="00437C64">
              <w:rPr>
                <w:b/>
                <w:bCs/>
                <w:noProof/>
                <w:webHidden/>
              </w:rPr>
              <w:fldChar w:fldCharType="end"/>
            </w:r>
          </w:hyperlink>
        </w:p>
        <w:p w14:paraId="45FF7310" w14:textId="0CD4BD8E" w:rsidR="007719D3" w:rsidRPr="00437C64" w:rsidRDefault="007719D3">
          <w:pPr>
            <w:pStyle w:val="TOC1"/>
            <w:tabs>
              <w:tab w:val="right" w:leader="dot" w:pos="9742"/>
            </w:tabs>
            <w:rPr>
              <w:b/>
              <w:bCs/>
              <w:noProof/>
            </w:rPr>
          </w:pPr>
          <w:hyperlink w:anchor="_Toc194074619" w:history="1">
            <w:r w:rsidRPr="00437C64">
              <w:rPr>
                <w:rStyle w:val="Hyperlink"/>
                <w:b/>
                <w:bCs/>
                <w:noProof/>
              </w:rPr>
              <w:t>Community surveillance</w:t>
            </w:r>
            <w:r w:rsidRPr="00437C64">
              <w:rPr>
                <w:b/>
                <w:bCs/>
                <w:noProof/>
                <w:webHidden/>
              </w:rPr>
              <w:tab/>
            </w:r>
            <w:r w:rsidRPr="00437C64">
              <w:rPr>
                <w:b/>
                <w:bCs/>
                <w:noProof/>
                <w:webHidden/>
              </w:rPr>
              <w:fldChar w:fldCharType="begin"/>
            </w:r>
            <w:r w:rsidRPr="00437C64">
              <w:rPr>
                <w:b/>
                <w:bCs/>
                <w:noProof/>
                <w:webHidden/>
              </w:rPr>
              <w:instrText xml:space="preserve"> PAGEREF _Toc194074619 \h </w:instrText>
            </w:r>
            <w:r w:rsidRPr="00437C64">
              <w:rPr>
                <w:b/>
                <w:bCs/>
                <w:noProof/>
                <w:webHidden/>
              </w:rPr>
            </w:r>
            <w:r w:rsidRPr="00437C64">
              <w:rPr>
                <w:b/>
                <w:bCs/>
                <w:noProof/>
                <w:webHidden/>
              </w:rPr>
              <w:fldChar w:fldCharType="separate"/>
            </w:r>
            <w:r w:rsidRPr="00437C64">
              <w:rPr>
                <w:b/>
                <w:bCs/>
                <w:noProof/>
                <w:webHidden/>
              </w:rPr>
              <w:t>13</w:t>
            </w:r>
            <w:r w:rsidRPr="00437C64">
              <w:rPr>
                <w:b/>
                <w:bCs/>
                <w:noProof/>
                <w:webHidden/>
              </w:rPr>
              <w:fldChar w:fldCharType="end"/>
            </w:r>
          </w:hyperlink>
        </w:p>
        <w:p w14:paraId="73EE060D" w14:textId="2512E451" w:rsidR="007719D3" w:rsidRPr="00437C64" w:rsidRDefault="007719D3">
          <w:pPr>
            <w:pStyle w:val="TOC1"/>
            <w:tabs>
              <w:tab w:val="right" w:leader="dot" w:pos="9742"/>
            </w:tabs>
            <w:rPr>
              <w:b/>
              <w:bCs/>
              <w:noProof/>
            </w:rPr>
          </w:pPr>
          <w:hyperlink w:anchor="_Toc194074620" w:history="1">
            <w:r w:rsidRPr="00437C64">
              <w:rPr>
                <w:rStyle w:val="Hyperlink"/>
                <w:b/>
                <w:bCs/>
                <w:noProof/>
              </w:rPr>
              <w:t>Primary care surveillance</w:t>
            </w:r>
            <w:r w:rsidRPr="00437C64">
              <w:rPr>
                <w:b/>
                <w:bCs/>
                <w:noProof/>
                <w:webHidden/>
              </w:rPr>
              <w:tab/>
            </w:r>
            <w:r w:rsidRPr="00437C64">
              <w:rPr>
                <w:b/>
                <w:bCs/>
                <w:noProof/>
                <w:webHidden/>
              </w:rPr>
              <w:fldChar w:fldCharType="begin"/>
            </w:r>
            <w:r w:rsidRPr="00437C64">
              <w:rPr>
                <w:b/>
                <w:bCs/>
                <w:noProof/>
                <w:webHidden/>
              </w:rPr>
              <w:instrText xml:space="preserve"> PAGEREF _Toc194074620 \h </w:instrText>
            </w:r>
            <w:r w:rsidRPr="00437C64">
              <w:rPr>
                <w:b/>
                <w:bCs/>
                <w:noProof/>
                <w:webHidden/>
              </w:rPr>
            </w:r>
            <w:r w:rsidRPr="00437C64">
              <w:rPr>
                <w:b/>
                <w:bCs/>
                <w:noProof/>
                <w:webHidden/>
              </w:rPr>
              <w:fldChar w:fldCharType="separate"/>
            </w:r>
            <w:r w:rsidRPr="00437C64">
              <w:rPr>
                <w:b/>
                <w:bCs/>
                <w:noProof/>
                <w:webHidden/>
              </w:rPr>
              <w:t>23</w:t>
            </w:r>
            <w:r w:rsidRPr="00437C64">
              <w:rPr>
                <w:b/>
                <w:bCs/>
                <w:noProof/>
                <w:webHidden/>
              </w:rPr>
              <w:fldChar w:fldCharType="end"/>
            </w:r>
          </w:hyperlink>
        </w:p>
        <w:p w14:paraId="0D6B0761" w14:textId="50A8C8FB" w:rsidR="007719D3" w:rsidRPr="00437C64" w:rsidRDefault="007719D3">
          <w:pPr>
            <w:pStyle w:val="TOC1"/>
            <w:tabs>
              <w:tab w:val="right" w:leader="dot" w:pos="9742"/>
            </w:tabs>
            <w:rPr>
              <w:b/>
              <w:bCs/>
              <w:noProof/>
            </w:rPr>
          </w:pPr>
          <w:hyperlink w:anchor="_Toc194074621" w:history="1">
            <w:r w:rsidRPr="00437C64">
              <w:rPr>
                <w:rStyle w:val="Hyperlink"/>
                <w:b/>
                <w:bCs/>
                <w:noProof/>
              </w:rPr>
              <w:t>Hospital-based surveillance</w:t>
            </w:r>
            <w:r w:rsidRPr="00437C64">
              <w:rPr>
                <w:b/>
                <w:bCs/>
                <w:noProof/>
                <w:webHidden/>
              </w:rPr>
              <w:tab/>
            </w:r>
            <w:r w:rsidRPr="00437C64">
              <w:rPr>
                <w:b/>
                <w:bCs/>
                <w:noProof/>
                <w:webHidden/>
              </w:rPr>
              <w:fldChar w:fldCharType="begin"/>
            </w:r>
            <w:r w:rsidRPr="00437C64">
              <w:rPr>
                <w:b/>
                <w:bCs/>
                <w:noProof/>
                <w:webHidden/>
              </w:rPr>
              <w:instrText xml:space="preserve"> PAGEREF _Toc194074621 \h </w:instrText>
            </w:r>
            <w:r w:rsidRPr="00437C64">
              <w:rPr>
                <w:b/>
                <w:bCs/>
                <w:noProof/>
                <w:webHidden/>
              </w:rPr>
            </w:r>
            <w:r w:rsidRPr="00437C64">
              <w:rPr>
                <w:b/>
                <w:bCs/>
                <w:noProof/>
                <w:webHidden/>
              </w:rPr>
              <w:fldChar w:fldCharType="separate"/>
            </w:r>
            <w:r w:rsidRPr="00437C64">
              <w:rPr>
                <w:b/>
                <w:bCs/>
                <w:noProof/>
                <w:webHidden/>
              </w:rPr>
              <w:t>25</w:t>
            </w:r>
            <w:r w:rsidRPr="00437C64">
              <w:rPr>
                <w:b/>
                <w:bCs/>
                <w:noProof/>
                <w:webHidden/>
              </w:rPr>
              <w:fldChar w:fldCharType="end"/>
            </w:r>
          </w:hyperlink>
        </w:p>
        <w:p w14:paraId="5E06C205" w14:textId="23B569C8" w:rsidR="007719D3" w:rsidRPr="00437C64" w:rsidRDefault="007719D3">
          <w:pPr>
            <w:pStyle w:val="TOC1"/>
            <w:tabs>
              <w:tab w:val="right" w:leader="dot" w:pos="9742"/>
            </w:tabs>
            <w:rPr>
              <w:b/>
              <w:bCs/>
              <w:noProof/>
            </w:rPr>
          </w:pPr>
          <w:hyperlink w:anchor="_Toc194074622" w:history="1">
            <w:r w:rsidRPr="00437C64">
              <w:rPr>
                <w:rStyle w:val="Hyperlink"/>
                <w:b/>
                <w:bCs/>
                <w:noProof/>
              </w:rPr>
              <w:t>Mortality surveillance</w:t>
            </w:r>
            <w:r w:rsidRPr="00437C64">
              <w:rPr>
                <w:b/>
                <w:bCs/>
                <w:noProof/>
                <w:webHidden/>
              </w:rPr>
              <w:tab/>
            </w:r>
            <w:r w:rsidRPr="00437C64">
              <w:rPr>
                <w:b/>
                <w:bCs/>
                <w:noProof/>
                <w:webHidden/>
              </w:rPr>
              <w:fldChar w:fldCharType="begin"/>
            </w:r>
            <w:r w:rsidRPr="00437C64">
              <w:rPr>
                <w:b/>
                <w:bCs/>
                <w:noProof/>
                <w:webHidden/>
              </w:rPr>
              <w:instrText xml:space="preserve"> PAGEREF _Toc194074622 \h </w:instrText>
            </w:r>
            <w:r w:rsidRPr="00437C64">
              <w:rPr>
                <w:b/>
                <w:bCs/>
                <w:noProof/>
                <w:webHidden/>
              </w:rPr>
            </w:r>
            <w:r w:rsidRPr="00437C64">
              <w:rPr>
                <w:b/>
                <w:bCs/>
                <w:noProof/>
                <w:webHidden/>
              </w:rPr>
              <w:fldChar w:fldCharType="separate"/>
            </w:r>
            <w:r w:rsidRPr="00437C64">
              <w:rPr>
                <w:b/>
                <w:bCs/>
                <w:noProof/>
                <w:webHidden/>
              </w:rPr>
              <w:t>34</w:t>
            </w:r>
            <w:r w:rsidRPr="00437C64">
              <w:rPr>
                <w:b/>
                <w:bCs/>
                <w:noProof/>
                <w:webHidden/>
              </w:rPr>
              <w:fldChar w:fldCharType="end"/>
            </w:r>
          </w:hyperlink>
        </w:p>
        <w:p w14:paraId="444E12FB" w14:textId="22BAA13A" w:rsidR="007719D3" w:rsidRPr="00437C64" w:rsidRDefault="007719D3">
          <w:pPr>
            <w:pStyle w:val="TOC1"/>
            <w:tabs>
              <w:tab w:val="right" w:leader="dot" w:pos="9742"/>
            </w:tabs>
            <w:rPr>
              <w:b/>
              <w:bCs/>
              <w:noProof/>
            </w:rPr>
          </w:pPr>
          <w:hyperlink w:anchor="_Toc194074623" w:history="1">
            <w:r w:rsidRPr="00437C64">
              <w:rPr>
                <w:rStyle w:val="Hyperlink"/>
                <w:b/>
                <w:bCs/>
                <w:noProof/>
              </w:rPr>
              <w:t>Laboratory surveillance</w:t>
            </w:r>
            <w:r w:rsidRPr="00437C64">
              <w:rPr>
                <w:b/>
                <w:bCs/>
                <w:noProof/>
                <w:webHidden/>
              </w:rPr>
              <w:tab/>
            </w:r>
            <w:r w:rsidRPr="00437C64">
              <w:rPr>
                <w:b/>
                <w:bCs/>
                <w:noProof/>
                <w:webHidden/>
              </w:rPr>
              <w:fldChar w:fldCharType="begin"/>
            </w:r>
            <w:r w:rsidRPr="00437C64">
              <w:rPr>
                <w:b/>
                <w:bCs/>
                <w:noProof/>
                <w:webHidden/>
              </w:rPr>
              <w:instrText xml:space="preserve"> PAGEREF _Toc194074623 \h </w:instrText>
            </w:r>
            <w:r w:rsidRPr="00437C64">
              <w:rPr>
                <w:b/>
                <w:bCs/>
                <w:noProof/>
                <w:webHidden/>
              </w:rPr>
            </w:r>
            <w:r w:rsidRPr="00437C64">
              <w:rPr>
                <w:b/>
                <w:bCs/>
                <w:noProof/>
                <w:webHidden/>
              </w:rPr>
              <w:fldChar w:fldCharType="separate"/>
            </w:r>
            <w:r w:rsidRPr="00437C64">
              <w:rPr>
                <w:b/>
                <w:bCs/>
                <w:noProof/>
                <w:webHidden/>
              </w:rPr>
              <w:t>36</w:t>
            </w:r>
            <w:r w:rsidRPr="00437C64">
              <w:rPr>
                <w:b/>
                <w:bCs/>
                <w:noProof/>
                <w:webHidden/>
              </w:rPr>
              <w:fldChar w:fldCharType="end"/>
            </w:r>
          </w:hyperlink>
        </w:p>
        <w:p w14:paraId="023B06DF" w14:textId="4CDF411E" w:rsidR="007719D3" w:rsidRPr="00437C64" w:rsidRDefault="007719D3">
          <w:pPr>
            <w:pStyle w:val="TOC1"/>
            <w:tabs>
              <w:tab w:val="right" w:leader="dot" w:pos="9742"/>
            </w:tabs>
            <w:rPr>
              <w:b/>
              <w:bCs/>
              <w:noProof/>
            </w:rPr>
          </w:pPr>
          <w:hyperlink w:anchor="_Toc194074624" w:history="1">
            <w:r w:rsidRPr="00437C64">
              <w:rPr>
                <w:rStyle w:val="Hyperlink"/>
                <w:b/>
                <w:bCs/>
                <w:noProof/>
              </w:rPr>
              <w:t>Vaccine coverage, effectiveness and match</w:t>
            </w:r>
            <w:r w:rsidRPr="00437C64">
              <w:rPr>
                <w:b/>
                <w:bCs/>
                <w:noProof/>
                <w:webHidden/>
              </w:rPr>
              <w:tab/>
            </w:r>
            <w:r w:rsidRPr="00437C64">
              <w:rPr>
                <w:b/>
                <w:bCs/>
                <w:noProof/>
                <w:webHidden/>
              </w:rPr>
              <w:fldChar w:fldCharType="begin"/>
            </w:r>
            <w:r w:rsidRPr="00437C64">
              <w:rPr>
                <w:b/>
                <w:bCs/>
                <w:noProof/>
                <w:webHidden/>
              </w:rPr>
              <w:instrText xml:space="preserve"> PAGEREF _Toc194074624 \h </w:instrText>
            </w:r>
            <w:r w:rsidRPr="00437C64">
              <w:rPr>
                <w:b/>
                <w:bCs/>
                <w:noProof/>
                <w:webHidden/>
              </w:rPr>
            </w:r>
            <w:r w:rsidRPr="00437C64">
              <w:rPr>
                <w:b/>
                <w:bCs/>
                <w:noProof/>
                <w:webHidden/>
              </w:rPr>
              <w:fldChar w:fldCharType="separate"/>
            </w:r>
            <w:r w:rsidRPr="00437C64">
              <w:rPr>
                <w:b/>
                <w:bCs/>
                <w:noProof/>
                <w:webHidden/>
              </w:rPr>
              <w:t>39</w:t>
            </w:r>
            <w:r w:rsidRPr="00437C64">
              <w:rPr>
                <w:b/>
                <w:bCs/>
                <w:noProof/>
                <w:webHidden/>
              </w:rPr>
              <w:fldChar w:fldCharType="end"/>
            </w:r>
          </w:hyperlink>
        </w:p>
        <w:p w14:paraId="2D834AC4" w14:textId="2FD030B7" w:rsidR="007719D3" w:rsidRPr="00437C64" w:rsidRDefault="007719D3">
          <w:pPr>
            <w:pStyle w:val="TOC3"/>
            <w:tabs>
              <w:tab w:val="right" w:leader="dot" w:pos="9742"/>
            </w:tabs>
            <w:rPr>
              <w:noProof/>
            </w:rPr>
          </w:pPr>
          <w:hyperlink w:anchor="_Toc194074625" w:history="1">
            <w:r w:rsidRPr="00437C64">
              <w:rPr>
                <w:rStyle w:val="Hyperlink"/>
                <w:noProof/>
              </w:rPr>
              <w:t>Vaccine coverage</w:t>
            </w:r>
            <w:r w:rsidRPr="00437C64">
              <w:rPr>
                <w:noProof/>
                <w:webHidden/>
              </w:rPr>
              <w:tab/>
            </w:r>
            <w:r w:rsidRPr="00437C64">
              <w:rPr>
                <w:noProof/>
                <w:webHidden/>
              </w:rPr>
              <w:fldChar w:fldCharType="begin"/>
            </w:r>
            <w:r w:rsidRPr="00437C64">
              <w:rPr>
                <w:noProof/>
                <w:webHidden/>
              </w:rPr>
              <w:instrText xml:space="preserve"> PAGEREF _Toc194074625 \h </w:instrText>
            </w:r>
            <w:r w:rsidRPr="00437C64">
              <w:rPr>
                <w:noProof/>
                <w:webHidden/>
              </w:rPr>
            </w:r>
            <w:r w:rsidRPr="00437C64">
              <w:rPr>
                <w:noProof/>
                <w:webHidden/>
              </w:rPr>
              <w:fldChar w:fldCharType="separate"/>
            </w:r>
            <w:r w:rsidRPr="00437C64">
              <w:rPr>
                <w:noProof/>
                <w:webHidden/>
              </w:rPr>
              <w:t>39</w:t>
            </w:r>
            <w:r w:rsidRPr="00437C64">
              <w:rPr>
                <w:noProof/>
                <w:webHidden/>
              </w:rPr>
              <w:fldChar w:fldCharType="end"/>
            </w:r>
          </w:hyperlink>
        </w:p>
        <w:p w14:paraId="20D80C10" w14:textId="7DCE1E72" w:rsidR="007719D3" w:rsidRPr="00437C64" w:rsidRDefault="007719D3">
          <w:pPr>
            <w:pStyle w:val="TOC3"/>
            <w:tabs>
              <w:tab w:val="right" w:leader="dot" w:pos="9742"/>
            </w:tabs>
            <w:rPr>
              <w:noProof/>
            </w:rPr>
          </w:pPr>
          <w:hyperlink w:anchor="_Toc194074626" w:history="1">
            <w:r w:rsidRPr="00437C64">
              <w:rPr>
                <w:rStyle w:val="Hyperlink"/>
                <w:noProof/>
              </w:rPr>
              <w:t>Vaccine effectiveness</w:t>
            </w:r>
            <w:r w:rsidRPr="00437C64">
              <w:rPr>
                <w:noProof/>
                <w:webHidden/>
              </w:rPr>
              <w:tab/>
            </w:r>
            <w:r w:rsidRPr="00437C64">
              <w:rPr>
                <w:noProof/>
                <w:webHidden/>
              </w:rPr>
              <w:fldChar w:fldCharType="begin"/>
            </w:r>
            <w:r w:rsidRPr="00437C64">
              <w:rPr>
                <w:noProof/>
                <w:webHidden/>
              </w:rPr>
              <w:instrText xml:space="preserve"> PAGEREF _Toc194074626 \h </w:instrText>
            </w:r>
            <w:r w:rsidRPr="00437C64">
              <w:rPr>
                <w:noProof/>
                <w:webHidden/>
              </w:rPr>
            </w:r>
            <w:r w:rsidRPr="00437C64">
              <w:rPr>
                <w:noProof/>
                <w:webHidden/>
              </w:rPr>
              <w:fldChar w:fldCharType="separate"/>
            </w:r>
            <w:r w:rsidRPr="00437C64">
              <w:rPr>
                <w:noProof/>
                <w:webHidden/>
              </w:rPr>
              <w:t>39</w:t>
            </w:r>
            <w:r w:rsidRPr="00437C64">
              <w:rPr>
                <w:noProof/>
                <w:webHidden/>
              </w:rPr>
              <w:fldChar w:fldCharType="end"/>
            </w:r>
          </w:hyperlink>
        </w:p>
        <w:p w14:paraId="1B53778A" w14:textId="3F824149" w:rsidR="007719D3" w:rsidRPr="00437C64" w:rsidRDefault="007719D3">
          <w:pPr>
            <w:pStyle w:val="TOC3"/>
            <w:tabs>
              <w:tab w:val="right" w:leader="dot" w:pos="9742"/>
            </w:tabs>
            <w:rPr>
              <w:noProof/>
            </w:rPr>
          </w:pPr>
          <w:hyperlink w:anchor="_Toc194074627" w:history="1">
            <w:r w:rsidRPr="00437C64">
              <w:rPr>
                <w:rStyle w:val="Hyperlink"/>
                <w:noProof/>
              </w:rPr>
              <w:t>Vaccine match</w:t>
            </w:r>
            <w:r w:rsidRPr="00437C64">
              <w:rPr>
                <w:noProof/>
                <w:webHidden/>
              </w:rPr>
              <w:tab/>
            </w:r>
            <w:r w:rsidRPr="00437C64">
              <w:rPr>
                <w:noProof/>
                <w:webHidden/>
              </w:rPr>
              <w:fldChar w:fldCharType="begin"/>
            </w:r>
            <w:r w:rsidRPr="00437C64">
              <w:rPr>
                <w:noProof/>
                <w:webHidden/>
              </w:rPr>
              <w:instrText xml:space="preserve"> PAGEREF _Toc194074627 \h </w:instrText>
            </w:r>
            <w:r w:rsidRPr="00437C64">
              <w:rPr>
                <w:noProof/>
                <w:webHidden/>
              </w:rPr>
            </w:r>
            <w:r w:rsidRPr="00437C64">
              <w:rPr>
                <w:noProof/>
                <w:webHidden/>
              </w:rPr>
              <w:fldChar w:fldCharType="separate"/>
            </w:r>
            <w:r w:rsidRPr="00437C64">
              <w:rPr>
                <w:noProof/>
                <w:webHidden/>
              </w:rPr>
              <w:t>40</w:t>
            </w:r>
            <w:r w:rsidRPr="00437C64">
              <w:rPr>
                <w:noProof/>
                <w:webHidden/>
              </w:rPr>
              <w:fldChar w:fldCharType="end"/>
            </w:r>
          </w:hyperlink>
        </w:p>
        <w:p w14:paraId="6C1DA5AC" w14:textId="0161A192" w:rsidR="007719D3" w:rsidRPr="00437C64" w:rsidRDefault="007719D3">
          <w:pPr>
            <w:pStyle w:val="TOC1"/>
            <w:tabs>
              <w:tab w:val="right" w:leader="dot" w:pos="9742"/>
            </w:tabs>
            <w:rPr>
              <w:b/>
              <w:bCs/>
              <w:noProof/>
            </w:rPr>
          </w:pPr>
          <w:hyperlink w:anchor="_Toc194074628" w:history="1">
            <w:r w:rsidRPr="00437C64">
              <w:rPr>
                <w:rStyle w:val="Hyperlink"/>
                <w:b/>
                <w:bCs/>
                <w:noProof/>
              </w:rPr>
              <w:t>Future directions</w:t>
            </w:r>
            <w:r w:rsidRPr="00437C64">
              <w:rPr>
                <w:b/>
                <w:bCs/>
                <w:noProof/>
                <w:webHidden/>
              </w:rPr>
              <w:tab/>
            </w:r>
            <w:r w:rsidRPr="00437C64">
              <w:rPr>
                <w:b/>
                <w:bCs/>
                <w:noProof/>
                <w:webHidden/>
              </w:rPr>
              <w:fldChar w:fldCharType="begin"/>
            </w:r>
            <w:r w:rsidRPr="00437C64">
              <w:rPr>
                <w:b/>
                <w:bCs/>
                <w:noProof/>
                <w:webHidden/>
              </w:rPr>
              <w:instrText xml:space="preserve"> PAGEREF _Toc194074628 \h </w:instrText>
            </w:r>
            <w:r w:rsidRPr="00437C64">
              <w:rPr>
                <w:b/>
                <w:bCs/>
                <w:noProof/>
                <w:webHidden/>
              </w:rPr>
            </w:r>
            <w:r w:rsidRPr="00437C64">
              <w:rPr>
                <w:b/>
                <w:bCs/>
                <w:noProof/>
                <w:webHidden/>
              </w:rPr>
              <w:fldChar w:fldCharType="separate"/>
            </w:r>
            <w:r w:rsidRPr="00437C64">
              <w:rPr>
                <w:b/>
                <w:bCs/>
                <w:noProof/>
                <w:webHidden/>
              </w:rPr>
              <w:t>41</w:t>
            </w:r>
            <w:r w:rsidRPr="00437C64">
              <w:rPr>
                <w:b/>
                <w:bCs/>
                <w:noProof/>
                <w:webHidden/>
              </w:rPr>
              <w:fldChar w:fldCharType="end"/>
            </w:r>
          </w:hyperlink>
        </w:p>
        <w:p w14:paraId="7D72714E" w14:textId="676BFC49" w:rsidR="007719D3" w:rsidRPr="00437C64" w:rsidRDefault="007719D3">
          <w:pPr>
            <w:pStyle w:val="TOC1"/>
            <w:tabs>
              <w:tab w:val="right" w:leader="dot" w:pos="9742"/>
            </w:tabs>
            <w:rPr>
              <w:b/>
              <w:bCs/>
              <w:noProof/>
            </w:rPr>
          </w:pPr>
          <w:hyperlink w:anchor="_Toc194074633" w:history="1">
            <w:r w:rsidRPr="00437C64">
              <w:rPr>
                <w:rStyle w:val="Hyperlink"/>
                <w:b/>
                <w:bCs/>
                <w:noProof/>
              </w:rPr>
              <w:t>References</w:t>
            </w:r>
            <w:r w:rsidRPr="00437C64">
              <w:rPr>
                <w:b/>
                <w:bCs/>
                <w:noProof/>
                <w:webHidden/>
              </w:rPr>
              <w:tab/>
            </w:r>
            <w:r w:rsidRPr="00437C64">
              <w:rPr>
                <w:b/>
                <w:bCs/>
                <w:noProof/>
                <w:webHidden/>
              </w:rPr>
              <w:fldChar w:fldCharType="begin"/>
            </w:r>
            <w:r w:rsidRPr="00437C64">
              <w:rPr>
                <w:b/>
                <w:bCs/>
                <w:noProof/>
                <w:webHidden/>
              </w:rPr>
              <w:instrText xml:space="preserve"> PAGEREF _Toc194074633 \h </w:instrText>
            </w:r>
            <w:r w:rsidRPr="00437C64">
              <w:rPr>
                <w:b/>
                <w:bCs/>
                <w:noProof/>
                <w:webHidden/>
              </w:rPr>
            </w:r>
            <w:r w:rsidRPr="00437C64">
              <w:rPr>
                <w:b/>
                <w:bCs/>
                <w:noProof/>
                <w:webHidden/>
              </w:rPr>
              <w:fldChar w:fldCharType="separate"/>
            </w:r>
            <w:r w:rsidRPr="00437C64">
              <w:rPr>
                <w:b/>
                <w:bCs/>
                <w:noProof/>
                <w:webHidden/>
              </w:rPr>
              <w:t>42</w:t>
            </w:r>
            <w:r w:rsidRPr="00437C64">
              <w:rPr>
                <w:b/>
                <w:bCs/>
                <w:noProof/>
                <w:webHidden/>
              </w:rPr>
              <w:fldChar w:fldCharType="end"/>
            </w:r>
          </w:hyperlink>
        </w:p>
        <w:p w14:paraId="2A71BD8A" w14:textId="6C870DF8" w:rsidR="007719D3" w:rsidRPr="00437C64" w:rsidRDefault="007719D3">
          <w:pPr>
            <w:pStyle w:val="TOC1"/>
            <w:tabs>
              <w:tab w:val="right" w:leader="dot" w:pos="9742"/>
            </w:tabs>
            <w:rPr>
              <w:b/>
              <w:bCs/>
              <w:noProof/>
            </w:rPr>
          </w:pPr>
          <w:hyperlink w:anchor="_Toc194074634" w:history="1">
            <w:r w:rsidRPr="00437C64">
              <w:rPr>
                <w:rStyle w:val="Hyperlink"/>
                <w:b/>
                <w:bCs/>
                <w:noProof/>
              </w:rPr>
              <w:t>Supplementary tables</w:t>
            </w:r>
            <w:r w:rsidRPr="00437C64">
              <w:rPr>
                <w:b/>
                <w:bCs/>
                <w:noProof/>
                <w:webHidden/>
              </w:rPr>
              <w:tab/>
            </w:r>
            <w:r w:rsidRPr="00437C64">
              <w:rPr>
                <w:b/>
                <w:bCs/>
                <w:noProof/>
                <w:webHidden/>
              </w:rPr>
              <w:fldChar w:fldCharType="begin"/>
            </w:r>
            <w:r w:rsidRPr="00437C64">
              <w:rPr>
                <w:b/>
                <w:bCs/>
                <w:noProof/>
                <w:webHidden/>
              </w:rPr>
              <w:instrText xml:space="preserve"> PAGEREF _Toc194074634 \h </w:instrText>
            </w:r>
            <w:r w:rsidRPr="00437C64">
              <w:rPr>
                <w:b/>
                <w:bCs/>
                <w:noProof/>
                <w:webHidden/>
              </w:rPr>
            </w:r>
            <w:r w:rsidRPr="00437C64">
              <w:rPr>
                <w:b/>
                <w:bCs/>
                <w:noProof/>
                <w:webHidden/>
              </w:rPr>
              <w:fldChar w:fldCharType="separate"/>
            </w:r>
            <w:r w:rsidRPr="00437C64">
              <w:rPr>
                <w:b/>
                <w:bCs/>
                <w:noProof/>
                <w:webHidden/>
              </w:rPr>
              <w:t>45</w:t>
            </w:r>
            <w:r w:rsidRPr="00437C64">
              <w:rPr>
                <w:b/>
                <w:bCs/>
                <w:noProof/>
                <w:webHidden/>
              </w:rPr>
              <w:fldChar w:fldCharType="end"/>
            </w:r>
          </w:hyperlink>
        </w:p>
        <w:p w14:paraId="765406E9" w14:textId="2B09A3C7" w:rsidR="007719D3" w:rsidRDefault="007719D3">
          <w:r>
            <w:rPr>
              <w:b/>
              <w:bCs/>
              <w:noProof/>
            </w:rPr>
            <w:fldChar w:fldCharType="end"/>
          </w:r>
        </w:p>
      </w:sdtContent>
    </w:sdt>
    <w:p w14:paraId="1F4A2B8E" w14:textId="62D8712A" w:rsidR="00EE789B" w:rsidRDefault="00EE789B" w:rsidP="000E02DC">
      <w:r>
        <w:br w:type="page"/>
      </w:r>
    </w:p>
    <w:p w14:paraId="16A31711" w14:textId="285350A9" w:rsidR="00A715E6" w:rsidRDefault="0019761A">
      <w:pPr>
        <w:pStyle w:val="Heading1"/>
      </w:pPr>
      <w:bookmarkStart w:id="2" w:name="_Toc194074605"/>
      <w:r>
        <w:lastRenderedPageBreak/>
        <w:t>Key messages</w:t>
      </w:r>
      <w:bookmarkEnd w:id="2"/>
    </w:p>
    <w:p w14:paraId="5D2BE68E" w14:textId="3A5DCADD" w:rsidR="008E0748" w:rsidRPr="0039715A" w:rsidRDefault="008E0748" w:rsidP="00AE1516">
      <w:pPr>
        <w:pStyle w:val="Boxtype"/>
        <w:spacing w:after="120"/>
        <w:rPr>
          <w:bCs/>
          <w:lang w:val="en-US"/>
        </w:rPr>
      </w:pPr>
      <w:r>
        <w:t xml:space="preserve">Overall, </w:t>
      </w:r>
      <w:r w:rsidR="00386C10">
        <w:t xml:space="preserve">information from </w:t>
      </w:r>
      <w:r w:rsidR="004F0453">
        <w:t xml:space="preserve">Australia’s national </w:t>
      </w:r>
      <w:r w:rsidR="00A766C0">
        <w:t xml:space="preserve">acute </w:t>
      </w:r>
      <w:r w:rsidR="00386C10">
        <w:t xml:space="preserve">respiratory infection surveillance systems </w:t>
      </w:r>
      <w:r w:rsidR="00DB34D3">
        <w:t>indicate</w:t>
      </w:r>
      <w:r w:rsidR="00252DA8">
        <w:t>s</w:t>
      </w:r>
      <w:r w:rsidR="00F42083">
        <w:t xml:space="preserve"> there was high </w:t>
      </w:r>
      <w:r w:rsidR="00A766C0">
        <w:t xml:space="preserve">acute </w:t>
      </w:r>
      <w:r w:rsidR="00F42083">
        <w:t xml:space="preserve">respiratory infection activity </w:t>
      </w:r>
      <w:r w:rsidR="009C6265">
        <w:t>with moderate severity</w:t>
      </w:r>
      <w:r w:rsidR="00387A67">
        <w:t xml:space="preserve"> </w:t>
      </w:r>
      <w:r w:rsidR="00964987">
        <w:t xml:space="preserve">but </w:t>
      </w:r>
      <w:r w:rsidR="00C44A0C">
        <w:t xml:space="preserve">a lower burden on health system </w:t>
      </w:r>
      <w:proofErr w:type="spellStart"/>
      <w:r w:rsidR="00C44A0C">
        <w:t>utilisation</w:t>
      </w:r>
      <w:proofErr w:type="spellEnd"/>
      <w:r w:rsidR="009C6265">
        <w:t xml:space="preserve"> in 2024. </w:t>
      </w:r>
    </w:p>
    <w:p w14:paraId="46164678" w14:textId="185AB9B8" w:rsidR="00EA133B" w:rsidRDefault="0019761A" w:rsidP="00AE1516">
      <w:pPr>
        <w:pStyle w:val="Boxtype"/>
        <w:spacing w:after="120"/>
        <w:rPr>
          <w:lang w:val="en-US"/>
        </w:rPr>
      </w:pPr>
      <w:r w:rsidRPr="00CF4874">
        <w:rPr>
          <w:b/>
          <w:lang w:val="en-US"/>
        </w:rPr>
        <w:t>In the community:</w:t>
      </w:r>
      <w:r w:rsidRPr="00CF4874">
        <w:rPr>
          <w:lang w:val="en-US"/>
        </w:rPr>
        <w:t xml:space="preserve"> </w:t>
      </w:r>
      <w:r w:rsidR="00942C3E">
        <w:rPr>
          <w:lang w:val="en-US"/>
        </w:rPr>
        <w:t>The</w:t>
      </w:r>
      <w:r w:rsidR="000D1E52">
        <w:rPr>
          <w:lang w:val="en-US"/>
        </w:rPr>
        <w:t xml:space="preserve"> weekly</w:t>
      </w:r>
      <w:r w:rsidR="00942C3E">
        <w:rPr>
          <w:lang w:val="en-US"/>
        </w:rPr>
        <w:t xml:space="preserve"> proportion of </w:t>
      </w:r>
      <w:proofErr w:type="spellStart"/>
      <w:r w:rsidR="003A48D2">
        <w:rPr>
          <w:lang w:val="en-US"/>
        </w:rPr>
        <w:t>FluTracking</w:t>
      </w:r>
      <w:proofErr w:type="spellEnd"/>
      <w:r w:rsidR="003A48D2">
        <w:rPr>
          <w:lang w:val="en-US"/>
        </w:rPr>
        <w:t xml:space="preserve"> participants </w:t>
      </w:r>
      <w:r w:rsidR="00D70B7A">
        <w:rPr>
          <w:lang w:val="en-US"/>
        </w:rPr>
        <w:t>with</w:t>
      </w:r>
      <w:r w:rsidR="00AA377A" w:rsidRPr="00942C3E">
        <w:rPr>
          <w:lang w:val="en-US"/>
        </w:rPr>
        <w:t xml:space="preserve"> new fever and cough symptoms</w:t>
      </w:r>
      <w:r w:rsidR="00305059" w:rsidRPr="00942C3E">
        <w:rPr>
          <w:lang w:val="en-US"/>
        </w:rPr>
        <w:t xml:space="preserve"> </w:t>
      </w:r>
      <w:r w:rsidR="007561ED" w:rsidRPr="00942C3E">
        <w:rPr>
          <w:lang w:val="en-US"/>
        </w:rPr>
        <w:t>in 2024</w:t>
      </w:r>
      <w:r w:rsidR="007561ED">
        <w:rPr>
          <w:lang w:val="en-US"/>
        </w:rPr>
        <w:t xml:space="preserve"> w</w:t>
      </w:r>
      <w:r w:rsidR="00D70B7A">
        <w:rPr>
          <w:lang w:val="en-US"/>
        </w:rPr>
        <w:t>as</w:t>
      </w:r>
      <w:r w:rsidR="007561ED" w:rsidRPr="007561ED">
        <w:rPr>
          <w:lang w:val="en-US"/>
        </w:rPr>
        <w:t xml:space="preserve"> similar in magnitude to 2023 and the five-year </w:t>
      </w:r>
      <w:r w:rsidR="007561ED">
        <w:rPr>
          <w:lang w:val="en-US"/>
        </w:rPr>
        <w:t xml:space="preserve">historical </w:t>
      </w:r>
      <w:r w:rsidR="007561ED" w:rsidRPr="007561ED">
        <w:rPr>
          <w:lang w:val="en-US"/>
        </w:rPr>
        <w:t xml:space="preserve">average; however, the </w:t>
      </w:r>
      <w:r w:rsidR="00D70B7A">
        <w:rPr>
          <w:lang w:val="en-US"/>
        </w:rPr>
        <w:t xml:space="preserve">July </w:t>
      </w:r>
      <w:r w:rsidR="007561ED" w:rsidRPr="007561ED">
        <w:rPr>
          <w:lang w:val="en-US"/>
        </w:rPr>
        <w:t>2024 peak occurred four weeks later than the 2023 pea</w:t>
      </w:r>
      <w:r w:rsidR="007561ED" w:rsidRPr="000745AD">
        <w:rPr>
          <w:lang w:val="en-US"/>
        </w:rPr>
        <w:t>k</w:t>
      </w:r>
      <w:r w:rsidR="00305059" w:rsidRPr="000745AD">
        <w:rPr>
          <w:lang w:val="en-US"/>
        </w:rPr>
        <w:t xml:space="preserve">. </w:t>
      </w:r>
      <w:r w:rsidR="000745AD" w:rsidRPr="000745AD">
        <w:rPr>
          <w:lang w:val="en-US"/>
        </w:rPr>
        <w:t>Rou</w:t>
      </w:r>
      <w:r w:rsidR="000745AD">
        <w:rPr>
          <w:lang w:val="en-US"/>
        </w:rPr>
        <w:t>ghly</w:t>
      </w:r>
      <w:r w:rsidR="000745AD" w:rsidRPr="00C64DE5">
        <w:rPr>
          <w:lang w:val="en-US"/>
        </w:rPr>
        <w:t xml:space="preserve"> half of survey participants reported taking three or more days off work or normal duties due to fever and cough symptoms</w:t>
      </w:r>
      <w:r w:rsidR="000745AD">
        <w:rPr>
          <w:lang w:val="en-US"/>
        </w:rPr>
        <w:t xml:space="preserve"> each week, which is consistent with previous years.</w:t>
      </w:r>
      <w:r w:rsidR="00163C32">
        <w:rPr>
          <w:lang w:val="en-US"/>
        </w:rPr>
        <w:t xml:space="preserve"> </w:t>
      </w:r>
    </w:p>
    <w:p w14:paraId="049F8031" w14:textId="2B8CC7EC" w:rsidR="00AF55F5" w:rsidRDefault="00AC3A33" w:rsidP="00AE1516">
      <w:pPr>
        <w:pStyle w:val="Boxtype"/>
        <w:spacing w:after="120"/>
        <w:rPr>
          <w:lang w:val="en-US"/>
        </w:rPr>
      </w:pPr>
      <w:r>
        <w:rPr>
          <w:lang w:val="en-US"/>
        </w:rPr>
        <w:t>I</w:t>
      </w:r>
      <w:r w:rsidR="00D81043" w:rsidRPr="0039715A">
        <w:rPr>
          <w:lang w:val="en-US"/>
        </w:rPr>
        <w:t xml:space="preserve">n 2024, </w:t>
      </w:r>
      <w:r w:rsidR="00C90B5D" w:rsidRPr="0039715A">
        <w:rPr>
          <w:lang w:val="en-US"/>
        </w:rPr>
        <w:t xml:space="preserve">Australia </w:t>
      </w:r>
      <w:r w:rsidR="00A766E7" w:rsidRPr="0039715A">
        <w:rPr>
          <w:lang w:val="en-US"/>
        </w:rPr>
        <w:t xml:space="preserve">recorded </w:t>
      </w:r>
      <w:r w:rsidR="00A766E7" w:rsidRPr="007B1727">
        <w:rPr>
          <w:lang w:val="en-US"/>
        </w:rPr>
        <w:t xml:space="preserve">302,250 </w:t>
      </w:r>
      <w:r w:rsidR="00D81043" w:rsidRPr="0039715A">
        <w:rPr>
          <w:lang w:val="en-US"/>
        </w:rPr>
        <w:t xml:space="preserve">laboratory-confirmed COVID-19 notifications </w:t>
      </w:r>
      <w:r w:rsidR="00BA6E3B" w:rsidRPr="0039715A">
        <w:rPr>
          <w:lang w:val="en-US"/>
        </w:rPr>
        <w:t xml:space="preserve">to the </w:t>
      </w:r>
      <w:r w:rsidR="00AF55F5" w:rsidRPr="007B1727">
        <w:rPr>
          <w:lang w:val="en-US"/>
        </w:rPr>
        <w:t>NNDSS</w:t>
      </w:r>
      <w:r w:rsidR="00A766E7" w:rsidRPr="0039715A">
        <w:rPr>
          <w:lang w:val="en-US"/>
        </w:rPr>
        <w:t xml:space="preserve">, </w:t>
      </w:r>
      <w:r w:rsidR="0086486A">
        <w:rPr>
          <w:lang w:val="en-US"/>
        </w:rPr>
        <w:t>fewer</w:t>
      </w:r>
      <w:r w:rsidR="0086486A" w:rsidRPr="0039715A">
        <w:rPr>
          <w:lang w:val="en-US"/>
        </w:rPr>
        <w:t xml:space="preserve"> </w:t>
      </w:r>
      <w:r w:rsidR="00BA6E3B" w:rsidRPr="0039715A">
        <w:rPr>
          <w:lang w:val="en-US"/>
        </w:rPr>
        <w:t>than in 2023 or 202</w:t>
      </w:r>
      <w:r w:rsidR="00A766E7" w:rsidRPr="0039715A">
        <w:rPr>
          <w:lang w:val="en-US"/>
        </w:rPr>
        <w:t xml:space="preserve">2. </w:t>
      </w:r>
      <w:r w:rsidR="001A02C1" w:rsidRPr="0039715A">
        <w:rPr>
          <w:lang w:val="en-US"/>
        </w:rPr>
        <w:t>A</w:t>
      </w:r>
      <w:r w:rsidR="00FB58AE" w:rsidRPr="0039715A">
        <w:rPr>
          <w:lang w:val="en-US"/>
        </w:rPr>
        <w:t xml:space="preserve">ll jurisdictions experienced </w:t>
      </w:r>
      <w:r w:rsidR="00662298" w:rsidRPr="0039715A">
        <w:rPr>
          <w:lang w:val="en-US"/>
        </w:rPr>
        <w:t xml:space="preserve">two distinct </w:t>
      </w:r>
      <w:r w:rsidR="009B4598" w:rsidRPr="0039715A">
        <w:rPr>
          <w:lang w:val="en-US"/>
        </w:rPr>
        <w:t>peaks</w:t>
      </w:r>
      <w:r w:rsidR="00BD7B3C" w:rsidRPr="0039715A">
        <w:rPr>
          <w:lang w:val="en-US"/>
        </w:rPr>
        <w:t xml:space="preserve"> of COVID-19 notifications</w:t>
      </w:r>
      <w:r w:rsidR="009B4598" w:rsidRPr="0039715A">
        <w:rPr>
          <w:lang w:val="en-US"/>
        </w:rPr>
        <w:t xml:space="preserve"> in January and J</w:t>
      </w:r>
      <w:r w:rsidR="009B4598" w:rsidRPr="002F63AC">
        <w:rPr>
          <w:lang w:val="en-US"/>
        </w:rPr>
        <w:t>une</w:t>
      </w:r>
      <w:r w:rsidR="00FB58AE" w:rsidRPr="00945618">
        <w:rPr>
          <w:lang w:val="en-US"/>
        </w:rPr>
        <w:t>.</w:t>
      </w:r>
      <w:r w:rsidR="00BD1974" w:rsidRPr="00945618">
        <w:rPr>
          <w:lang w:val="en-US"/>
        </w:rPr>
        <w:t xml:space="preserve"> </w:t>
      </w:r>
      <w:r w:rsidR="00BD1974" w:rsidRPr="002F63AC">
        <w:rPr>
          <w:lang w:val="en-US"/>
        </w:rPr>
        <w:t>In 202</w:t>
      </w:r>
      <w:r w:rsidR="00BD1974" w:rsidRPr="00BD1974">
        <w:rPr>
          <w:lang w:val="en-US"/>
        </w:rPr>
        <w:t>4, Australia recorded 365,589 influenza notifications</w:t>
      </w:r>
      <w:r w:rsidR="00BD1974">
        <w:rPr>
          <w:lang w:val="en-US"/>
        </w:rPr>
        <w:t xml:space="preserve"> to the NNDSS, the highest number of influenza notifications </w:t>
      </w:r>
      <w:r w:rsidR="004255C0">
        <w:rPr>
          <w:lang w:val="en-US"/>
        </w:rPr>
        <w:t>reported to the NNDSS.</w:t>
      </w:r>
      <w:r w:rsidR="00C45DC3">
        <w:rPr>
          <w:lang w:val="en-US"/>
        </w:rPr>
        <w:t xml:space="preserve"> M</w:t>
      </w:r>
      <w:r w:rsidR="00C45DC3" w:rsidRPr="00C45DC3">
        <w:rPr>
          <w:lang w:val="en-US"/>
        </w:rPr>
        <w:t xml:space="preserve">ost jurisdictions experienced consistent </w:t>
      </w:r>
      <w:r w:rsidR="00C45DC3">
        <w:rPr>
          <w:lang w:val="en-US"/>
        </w:rPr>
        <w:t xml:space="preserve">influenza </w:t>
      </w:r>
      <w:r w:rsidR="00C45DC3" w:rsidRPr="00C45DC3">
        <w:rPr>
          <w:lang w:val="en-US"/>
        </w:rPr>
        <w:t>notification trends</w:t>
      </w:r>
      <w:r w:rsidR="002A72E9">
        <w:rPr>
          <w:lang w:val="en-US"/>
        </w:rPr>
        <w:t>, with</w:t>
      </w:r>
      <w:r w:rsidR="00881C2C" w:rsidDel="00806A4A">
        <w:rPr>
          <w:lang w:val="en-US"/>
        </w:rPr>
        <w:t xml:space="preserve"> </w:t>
      </w:r>
      <w:r w:rsidR="00881C2C">
        <w:rPr>
          <w:lang w:val="en-US"/>
        </w:rPr>
        <w:t xml:space="preserve">notifications increasing </w:t>
      </w:r>
      <w:r w:rsidR="00CA4DBC">
        <w:rPr>
          <w:lang w:val="en-US"/>
        </w:rPr>
        <w:t xml:space="preserve">from April to a </w:t>
      </w:r>
      <w:r w:rsidR="00945618">
        <w:rPr>
          <w:lang w:val="en-US"/>
        </w:rPr>
        <w:t>prolonged</w:t>
      </w:r>
      <w:r w:rsidR="00CA4DBC">
        <w:rPr>
          <w:lang w:val="en-US"/>
        </w:rPr>
        <w:t xml:space="preserve"> peak in </w:t>
      </w:r>
      <w:r w:rsidR="00AC60D2">
        <w:rPr>
          <w:lang w:val="en-US"/>
        </w:rPr>
        <w:t>early July</w:t>
      </w:r>
      <w:r w:rsidR="009E7768">
        <w:rPr>
          <w:lang w:val="en-US"/>
        </w:rPr>
        <w:t>.</w:t>
      </w:r>
      <w:r w:rsidR="0079674A">
        <w:rPr>
          <w:lang w:val="en-US"/>
        </w:rPr>
        <w:t xml:space="preserve"> </w:t>
      </w:r>
      <w:r w:rsidR="00B477F6" w:rsidRPr="00B477F6">
        <w:rPr>
          <w:lang w:val="en-US"/>
        </w:rPr>
        <w:t>In</w:t>
      </w:r>
      <w:r w:rsidR="00B477F6" w:rsidRPr="002F63AC">
        <w:rPr>
          <w:lang w:val="en-US"/>
        </w:rPr>
        <w:t xml:space="preserve"> 202</w:t>
      </w:r>
      <w:r w:rsidR="00B477F6" w:rsidRPr="00BD1974">
        <w:rPr>
          <w:lang w:val="en-US"/>
        </w:rPr>
        <w:t xml:space="preserve">4, Australia recorded </w:t>
      </w:r>
      <w:r w:rsidR="00E51740" w:rsidRPr="00E51740">
        <w:rPr>
          <w:lang w:val="en-US"/>
        </w:rPr>
        <w:t>175,918</w:t>
      </w:r>
      <w:r w:rsidR="00B477F6" w:rsidRPr="00BD1974">
        <w:rPr>
          <w:lang w:val="en-US"/>
        </w:rPr>
        <w:t xml:space="preserve"> </w:t>
      </w:r>
      <w:r w:rsidR="00E51740">
        <w:rPr>
          <w:lang w:val="en-US"/>
        </w:rPr>
        <w:t>RSV</w:t>
      </w:r>
      <w:r w:rsidR="00B477F6" w:rsidRPr="00BD1974">
        <w:rPr>
          <w:lang w:val="en-US"/>
        </w:rPr>
        <w:t xml:space="preserve"> notifications</w:t>
      </w:r>
      <w:r w:rsidR="00B477F6">
        <w:rPr>
          <w:lang w:val="en-US"/>
        </w:rPr>
        <w:t xml:space="preserve"> to the NNDSS</w:t>
      </w:r>
      <w:r w:rsidR="002D171A">
        <w:rPr>
          <w:lang w:val="en-US"/>
        </w:rPr>
        <w:t xml:space="preserve">, </w:t>
      </w:r>
      <w:r w:rsidR="00586DE3">
        <w:rPr>
          <w:lang w:val="en-US"/>
        </w:rPr>
        <w:t>more</w:t>
      </w:r>
      <w:r w:rsidR="002D171A">
        <w:rPr>
          <w:lang w:val="en-US"/>
        </w:rPr>
        <w:t xml:space="preserve"> than in 2023</w:t>
      </w:r>
      <w:r w:rsidR="00E51740">
        <w:rPr>
          <w:lang w:val="en-US"/>
        </w:rPr>
        <w:t xml:space="preserve">. </w:t>
      </w:r>
      <w:r w:rsidR="00E54E7C">
        <w:rPr>
          <w:lang w:val="en-US"/>
        </w:rPr>
        <w:t xml:space="preserve">Trends in </w:t>
      </w:r>
      <w:r w:rsidR="009221C9">
        <w:rPr>
          <w:lang w:val="en-US"/>
        </w:rPr>
        <w:t>RSV n</w:t>
      </w:r>
      <w:r w:rsidR="009221C9" w:rsidRPr="009221C9">
        <w:rPr>
          <w:lang w:val="en-US"/>
        </w:rPr>
        <w:t>otification</w:t>
      </w:r>
      <w:r w:rsidR="00F10619">
        <w:rPr>
          <w:lang w:val="en-US"/>
        </w:rPr>
        <w:t>s</w:t>
      </w:r>
      <w:r w:rsidR="009221C9" w:rsidRPr="009221C9">
        <w:rPr>
          <w:lang w:val="en-US"/>
        </w:rPr>
        <w:t xml:space="preserve"> varied greatly between jurisdictions, with peaks occurring at different times </w:t>
      </w:r>
      <w:r w:rsidR="00C76E92">
        <w:rPr>
          <w:lang w:val="en-US"/>
        </w:rPr>
        <w:t>between</w:t>
      </w:r>
      <w:r w:rsidR="003E6204">
        <w:rPr>
          <w:lang w:val="en-US"/>
        </w:rPr>
        <w:t xml:space="preserve"> April and September</w:t>
      </w:r>
      <w:r w:rsidR="00C678C6">
        <w:rPr>
          <w:lang w:val="en-US"/>
        </w:rPr>
        <w:t xml:space="preserve"> 2024</w:t>
      </w:r>
      <w:r w:rsidR="009221C9" w:rsidRPr="009221C9">
        <w:rPr>
          <w:lang w:val="en-US"/>
        </w:rPr>
        <w:t xml:space="preserve">. </w:t>
      </w:r>
    </w:p>
    <w:p w14:paraId="16A31714" w14:textId="23DD14FC" w:rsidR="00A715E6" w:rsidRPr="00CF4874" w:rsidRDefault="0019761A" w:rsidP="00AE1516">
      <w:pPr>
        <w:pStyle w:val="Boxtype"/>
        <w:spacing w:after="120"/>
        <w:rPr>
          <w:lang w:val="en-US"/>
        </w:rPr>
      </w:pPr>
      <w:r w:rsidRPr="00CF4874">
        <w:rPr>
          <w:b/>
          <w:lang w:val="en-US"/>
        </w:rPr>
        <w:t>In general practice:</w:t>
      </w:r>
      <w:r w:rsidRPr="00CF4874">
        <w:rPr>
          <w:lang w:val="en-US"/>
        </w:rPr>
        <w:t xml:space="preserve"> </w:t>
      </w:r>
      <w:r w:rsidR="00FD3013" w:rsidRPr="00FD3013">
        <w:rPr>
          <w:lang w:val="en-US"/>
        </w:rPr>
        <w:t>In 2024, influenza-like-illness consultation rates at sentinel general practice sites peaked in early July and early August, with higher and more sustained rates compared to previous years, reflecting increased activity in case notifications.</w:t>
      </w:r>
      <w:r w:rsidR="00625504">
        <w:rPr>
          <w:lang w:val="en-US"/>
        </w:rPr>
        <w:t xml:space="preserve"> Rhinovirus, influenza</w:t>
      </w:r>
      <w:r w:rsidR="00E5545C">
        <w:rPr>
          <w:lang w:val="en-US"/>
        </w:rPr>
        <w:t>,</w:t>
      </w:r>
      <w:r w:rsidR="00625504">
        <w:rPr>
          <w:lang w:val="en-US"/>
        </w:rPr>
        <w:t xml:space="preserve"> and SARS-CoV-2 were </w:t>
      </w:r>
      <w:r w:rsidR="00515E88">
        <w:rPr>
          <w:lang w:val="en-US"/>
        </w:rPr>
        <w:t xml:space="preserve">the </w:t>
      </w:r>
      <w:proofErr w:type="gramStart"/>
      <w:r w:rsidR="00927985">
        <w:rPr>
          <w:lang w:val="en-US"/>
        </w:rPr>
        <w:t>most commonly detected</w:t>
      </w:r>
      <w:proofErr w:type="gramEnd"/>
      <w:r w:rsidR="00927985">
        <w:rPr>
          <w:lang w:val="en-US"/>
        </w:rPr>
        <w:t xml:space="preserve"> </w:t>
      </w:r>
      <w:r w:rsidR="00515E88">
        <w:rPr>
          <w:lang w:val="en-US"/>
        </w:rPr>
        <w:t xml:space="preserve">respiratory infections </w:t>
      </w:r>
      <w:r w:rsidR="00A71EAA">
        <w:rPr>
          <w:lang w:val="en-US"/>
        </w:rPr>
        <w:t>in people with influenza-like-illness w</w:t>
      </w:r>
      <w:r w:rsidR="006D4057">
        <w:rPr>
          <w:lang w:val="en-US"/>
        </w:rPr>
        <w:t>ho were tested</w:t>
      </w:r>
      <w:r w:rsidR="00515E88">
        <w:rPr>
          <w:lang w:val="en-US"/>
        </w:rPr>
        <w:t>.</w:t>
      </w:r>
    </w:p>
    <w:p w14:paraId="324E7923" w14:textId="5B65ED4E" w:rsidR="00F66101" w:rsidRDefault="0019761A" w:rsidP="00AE1516">
      <w:pPr>
        <w:pStyle w:val="Boxtype"/>
        <w:spacing w:after="120"/>
        <w:rPr>
          <w:lang w:val="en-US"/>
        </w:rPr>
      </w:pPr>
      <w:r w:rsidRPr="00CF4874">
        <w:rPr>
          <w:b/>
          <w:lang w:val="en-US"/>
        </w:rPr>
        <w:t>In hospitals:</w:t>
      </w:r>
      <w:r w:rsidRPr="00CF4874">
        <w:rPr>
          <w:lang w:val="en-US"/>
        </w:rPr>
        <w:t xml:space="preserve"> </w:t>
      </w:r>
      <w:r w:rsidR="00B709F6">
        <w:rPr>
          <w:lang w:val="en-US"/>
        </w:rPr>
        <w:t>Th</w:t>
      </w:r>
      <w:r w:rsidR="00B709F6" w:rsidRPr="00190B0D">
        <w:rPr>
          <w:lang w:val="en-US"/>
        </w:rPr>
        <w:t>ere were fewer s</w:t>
      </w:r>
      <w:r w:rsidR="001A03F0" w:rsidRPr="00190B0D">
        <w:rPr>
          <w:lang w:val="en-US"/>
        </w:rPr>
        <w:t>entinel hospital</w:t>
      </w:r>
      <w:r w:rsidR="00B709F6" w:rsidRPr="001B0B77">
        <w:rPr>
          <w:lang w:val="en-US"/>
        </w:rPr>
        <w:t xml:space="preserve"> admissions with COVID-19 or influenza in 2024 than in 2023 or 2022</w:t>
      </w:r>
      <w:r w:rsidR="00190B0D" w:rsidRPr="001B0B77">
        <w:rPr>
          <w:lang w:val="en-US"/>
        </w:rPr>
        <w:t>.</w:t>
      </w:r>
      <w:r w:rsidR="001F1E8D">
        <w:rPr>
          <w:lang w:val="en-US"/>
        </w:rPr>
        <w:t xml:space="preserve"> </w:t>
      </w:r>
      <w:r w:rsidR="0031158A">
        <w:rPr>
          <w:lang w:val="en-US"/>
        </w:rPr>
        <w:t>T</w:t>
      </w:r>
      <w:r w:rsidR="001F1E8D">
        <w:rPr>
          <w:lang w:val="en-US"/>
        </w:rPr>
        <w:t xml:space="preserve">he proportion of severe acute respiratory infection patients admitted directly to intensive care </w:t>
      </w:r>
      <w:r w:rsidR="0031158A">
        <w:rPr>
          <w:lang w:val="en-US"/>
        </w:rPr>
        <w:t>remained low and stable</w:t>
      </w:r>
      <w:r w:rsidR="0007530D">
        <w:rPr>
          <w:lang w:val="en-US"/>
        </w:rPr>
        <w:t xml:space="preserve"> across 2024, though </w:t>
      </w:r>
      <w:r w:rsidR="001F1E8D">
        <w:rPr>
          <w:lang w:val="en-US"/>
        </w:rPr>
        <w:t xml:space="preserve">was slightly higher in adults </w:t>
      </w:r>
      <w:r w:rsidR="00755995">
        <w:rPr>
          <w:lang w:val="en-US"/>
        </w:rPr>
        <w:t>(</w:t>
      </w:r>
      <w:r w:rsidR="008265F2">
        <w:rPr>
          <w:lang w:val="en-US"/>
        </w:rPr>
        <w:t>17 years and older</w:t>
      </w:r>
      <w:r w:rsidR="00755995">
        <w:rPr>
          <w:lang w:val="en-US"/>
        </w:rPr>
        <w:t xml:space="preserve">) </w:t>
      </w:r>
      <w:r w:rsidR="001F1E8D">
        <w:rPr>
          <w:lang w:val="en-US"/>
        </w:rPr>
        <w:t>than in children</w:t>
      </w:r>
      <w:r w:rsidR="00755995">
        <w:rPr>
          <w:lang w:val="en-US"/>
        </w:rPr>
        <w:t xml:space="preserve"> (</w:t>
      </w:r>
      <w:r w:rsidR="008265F2" w:rsidRPr="008265F2">
        <w:rPr>
          <w:lang w:val="en-US"/>
        </w:rPr>
        <w:t>16 years and younger</w:t>
      </w:r>
      <w:r w:rsidR="00755995">
        <w:rPr>
          <w:lang w:val="en-US"/>
        </w:rPr>
        <w:t>)</w:t>
      </w:r>
      <w:r w:rsidR="0007530D">
        <w:rPr>
          <w:lang w:val="en-US"/>
        </w:rPr>
        <w:t>.</w:t>
      </w:r>
      <w:r w:rsidR="001F1E8D">
        <w:rPr>
          <w:lang w:val="en-US"/>
        </w:rPr>
        <w:t xml:space="preserve"> </w:t>
      </w:r>
      <w:r w:rsidR="00586647">
        <w:rPr>
          <w:lang w:val="en-US"/>
        </w:rPr>
        <w:t>More a</w:t>
      </w:r>
      <w:r w:rsidR="00A90942">
        <w:rPr>
          <w:lang w:val="en-US"/>
        </w:rPr>
        <w:t>dults were admitted to a sentinel hospital with COVID-19 than with influenza or RSV</w:t>
      </w:r>
      <w:r w:rsidR="00EF7319">
        <w:rPr>
          <w:lang w:val="en-US"/>
        </w:rPr>
        <w:t>. The opp</w:t>
      </w:r>
      <w:r w:rsidR="00B829A1">
        <w:rPr>
          <w:lang w:val="en-US"/>
        </w:rPr>
        <w:t xml:space="preserve">osite was true for </w:t>
      </w:r>
      <w:r w:rsidR="00E543AE">
        <w:rPr>
          <w:lang w:val="en-US"/>
        </w:rPr>
        <w:t xml:space="preserve">children, </w:t>
      </w:r>
      <w:r w:rsidR="00887FEE">
        <w:rPr>
          <w:lang w:val="en-US"/>
        </w:rPr>
        <w:t>with</w:t>
      </w:r>
      <w:r w:rsidR="00E90D2B">
        <w:rPr>
          <w:lang w:val="en-US"/>
        </w:rPr>
        <w:t xml:space="preserve"> </w:t>
      </w:r>
      <w:r w:rsidR="00586647">
        <w:rPr>
          <w:lang w:val="en-US"/>
        </w:rPr>
        <w:t xml:space="preserve">more </w:t>
      </w:r>
      <w:r w:rsidR="00E90D2B">
        <w:rPr>
          <w:lang w:val="en-US"/>
        </w:rPr>
        <w:t>children admitted</w:t>
      </w:r>
      <w:r w:rsidR="00586647">
        <w:rPr>
          <w:lang w:val="en-US"/>
        </w:rPr>
        <w:t xml:space="preserve"> with influenza or RSV than with COVID-19</w:t>
      </w:r>
      <w:r w:rsidR="00C66CF3">
        <w:rPr>
          <w:lang w:val="en-US"/>
        </w:rPr>
        <w:t>.</w:t>
      </w:r>
      <w:r w:rsidR="00F90C42">
        <w:rPr>
          <w:lang w:val="en-US"/>
        </w:rPr>
        <w:t xml:space="preserve"> </w:t>
      </w:r>
    </w:p>
    <w:p w14:paraId="5A053E53" w14:textId="0E06B4B0" w:rsidR="002C590C" w:rsidRDefault="00F90C42" w:rsidP="00AE1516">
      <w:pPr>
        <w:pStyle w:val="Boxtype"/>
        <w:spacing w:after="120"/>
        <w:rPr>
          <w:highlight w:val="yellow"/>
          <w:lang w:val="en-US"/>
        </w:rPr>
      </w:pPr>
      <w:r>
        <w:rPr>
          <w:lang w:val="en-US"/>
        </w:rPr>
        <w:t>In contrast, there were more sentinel intensive care admissions for severe acute respiratory infections in 2024 than in 2023</w:t>
      </w:r>
      <w:r w:rsidR="003E44EE">
        <w:rPr>
          <w:lang w:val="en-US"/>
        </w:rPr>
        <w:t>; however, there were fewer admissions with COVID-19 than in previous years.</w:t>
      </w:r>
      <w:r w:rsidR="00D85E82">
        <w:rPr>
          <w:lang w:val="en-US"/>
        </w:rPr>
        <w:t xml:space="preserve"> A</w:t>
      </w:r>
      <w:r w:rsidR="00D85E82" w:rsidRPr="00D85E82">
        <w:rPr>
          <w:lang w:val="en-US"/>
        </w:rPr>
        <w:t>dmissions to sentinel intensive care units with COVID-19 or influenza were mostly among older adults, while admissions with hMPV, rhinovirus, or RSV were more common in children. The in-hospital mortality rate for severe acute respiratory infections was 10.2%</w:t>
      </w:r>
      <w:r w:rsidR="00D85E82">
        <w:rPr>
          <w:lang w:val="en-US"/>
        </w:rPr>
        <w:t xml:space="preserve"> (slightly </w:t>
      </w:r>
      <w:r w:rsidR="00D93CE2">
        <w:rPr>
          <w:lang w:val="en-US"/>
        </w:rPr>
        <w:t>lower</w:t>
      </w:r>
      <w:r w:rsidR="00D85E82">
        <w:rPr>
          <w:lang w:val="en-US"/>
        </w:rPr>
        <w:t xml:space="preserve"> than in 2023)</w:t>
      </w:r>
      <w:r w:rsidR="00D85E82" w:rsidRPr="00D85E82">
        <w:rPr>
          <w:lang w:val="en-US"/>
        </w:rPr>
        <w:t>, with most deaths occurring in patients aged 60 years or over.</w:t>
      </w:r>
    </w:p>
    <w:p w14:paraId="16A31716" w14:textId="0C14A091" w:rsidR="00A715E6" w:rsidRPr="00CF4874" w:rsidRDefault="0019761A" w:rsidP="00AE1516">
      <w:pPr>
        <w:pStyle w:val="Boxtype"/>
        <w:spacing w:after="120"/>
      </w:pPr>
      <w:r w:rsidRPr="196F072F">
        <w:rPr>
          <w:b/>
          <w:lang w:val="en-US"/>
        </w:rPr>
        <w:t>Deaths:</w:t>
      </w:r>
      <w:r w:rsidRPr="196F072F">
        <w:rPr>
          <w:lang w:val="en-US"/>
        </w:rPr>
        <w:t xml:space="preserve"> </w:t>
      </w:r>
      <w:r w:rsidR="00B100E5" w:rsidRPr="00B100E5">
        <w:rPr>
          <w:lang w:val="en-US"/>
        </w:rPr>
        <w:t xml:space="preserve">In 2024, </w:t>
      </w:r>
      <w:r w:rsidR="005E6B5A">
        <w:rPr>
          <w:lang w:val="en-US"/>
        </w:rPr>
        <w:t>d</w:t>
      </w:r>
      <w:r w:rsidR="00D26EAD" w:rsidRPr="00D26EAD">
        <w:rPr>
          <w:lang w:val="en-US"/>
        </w:rPr>
        <w:t>eaths involving influenza and RSV increased compared to 2023</w:t>
      </w:r>
      <w:r w:rsidR="00942555">
        <w:rPr>
          <w:lang w:val="en-US"/>
        </w:rPr>
        <w:t>, whereas deaths involving COVID-19 decreased</w:t>
      </w:r>
      <w:r w:rsidR="00237DDA" w:rsidRPr="00F907B1">
        <w:rPr>
          <w:lang w:val="en-US"/>
        </w:rPr>
        <w:t xml:space="preserve">. </w:t>
      </w:r>
      <w:r w:rsidR="002A7581">
        <w:rPr>
          <w:lang w:val="en-US"/>
        </w:rPr>
        <w:t xml:space="preserve">However, </w:t>
      </w:r>
      <w:r w:rsidR="002A7581" w:rsidRPr="003E10E0">
        <w:rPr>
          <w:lang w:val="en-US"/>
        </w:rPr>
        <w:t xml:space="preserve">COVID-19 </w:t>
      </w:r>
      <w:r w:rsidR="002A7581">
        <w:rPr>
          <w:lang w:val="en-US"/>
        </w:rPr>
        <w:t xml:space="preserve">remains </w:t>
      </w:r>
      <w:r w:rsidR="002A7581" w:rsidRPr="003E10E0">
        <w:rPr>
          <w:lang w:val="en-US"/>
        </w:rPr>
        <w:t>the leading cause of acute respiratory infection mortality</w:t>
      </w:r>
      <w:r w:rsidR="002A7581">
        <w:rPr>
          <w:lang w:val="en-US"/>
        </w:rPr>
        <w:t xml:space="preserve"> and </w:t>
      </w:r>
      <w:r w:rsidR="002A7581" w:rsidRPr="00CF076E">
        <w:rPr>
          <w:lang w:val="en-US"/>
        </w:rPr>
        <w:t>caused more deaths than influenza and RSV across all jurisdictions</w:t>
      </w:r>
      <w:r w:rsidR="002A7581" w:rsidRPr="003E10E0">
        <w:rPr>
          <w:lang w:val="en-US"/>
        </w:rPr>
        <w:t>.</w:t>
      </w:r>
      <w:r w:rsidR="002A7581">
        <w:rPr>
          <w:lang w:val="en-US"/>
        </w:rPr>
        <w:t xml:space="preserve"> </w:t>
      </w:r>
      <w:r w:rsidR="00237DDA" w:rsidRPr="00D26EAD">
        <w:rPr>
          <w:lang w:val="en-US"/>
        </w:rPr>
        <w:t>Al</w:t>
      </w:r>
      <w:r w:rsidR="00237DDA" w:rsidRPr="00FB770C">
        <w:rPr>
          <w:lang w:val="en-US"/>
        </w:rPr>
        <w:t>l three acute respiratory infections are more likely to cause death in older age groups than younger age groups.</w:t>
      </w:r>
    </w:p>
    <w:p w14:paraId="16A31717" w14:textId="420202B7" w:rsidR="00A715E6" w:rsidRPr="00CF4874" w:rsidRDefault="0019761A" w:rsidP="00AE1516">
      <w:pPr>
        <w:pStyle w:val="Boxtype"/>
        <w:spacing w:after="120"/>
        <w:rPr>
          <w:lang w:val="en-US"/>
        </w:rPr>
      </w:pPr>
      <w:r w:rsidRPr="00CF4874">
        <w:rPr>
          <w:b/>
          <w:lang w:val="en-US"/>
        </w:rPr>
        <w:t>In laboratories:</w:t>
      </w:r>
      <w:r w:rsidRPr="00CF4874">
        <w:rPr>
          <w:lang w:val="en-US"/>
        </w:rPr>
        <w:t xml:space="preserve"> </w:t>
      </w:r>
      <w:r w:rsidR="002F1E5E">
        <w:rPr>
          <w:lang w:val="en-US"/>
        </w:rPr>
        <w:t xml:space="preserve">Trends in test-positivity from sentinel laboratories </w:t>
      </w:r>
      <w:r w:rsidR="001904CE">
        <w:rPr>
          <w:lang w:val="en-US"/>
        </w:rPr>
        <w:t xml:space="preserve">were </w:t>
      </w:r>
      <w:r w:rsidR="002F1E5E">
        <w:rPr>
          <w:lang w:val="en-US"/>
        </w:rPr>
        <w:t>generally reflect</w:t>
      </w:r>
      <w:r w:rsidR="001904CE">
        <w:rPr>
          <w:lang w:val="en-US"/>
        </w:rPr>
        <w:t xml:space="preserve">ive </w:t>
      </w:r>
      <w:r w:rsidR="09FB3CA8" w:rsidRPr="6DA9C5CB">
        <w:rPr>
          <w:lang w:val="en-US"/>
        </w:rPr>
        <w:t xml:space="preserve">of </w:t>
      </w:r>
      <w:r w:rsidR="002F1E5E">
        <w:rPr>
          <w:lang w:val="en-US"/>
        </w:rPr>
        <w:t>the trends in case notifications</w:t>
      </w:r>
      <w:r w:rsidR="006351AA">
        <w:rPr>
          <w:lang w:val="en-US"/>
        </w:rPr>
        <w:t xml:space="preserve">. </w:t>
      </w:r>
      <w:r w:rsidR="00313C67">
        <w:rPr>
          <w:lang w:val="en-US"/>
        </w:rPr>
        <w:t>SA</w:t>
      </w:r>
      <w:r w:rsidR="00313C67" w:rsidRPr="00752040">
        <w:rPr>
          <w:lang w:val="en-US"/>
        </w:rPr>
        <w:t xml:space="preserve">RS-CoV-2 </w:t>
      </w:r>
      <w:r w:rsidR="003D3E7E" w:rsidRPr="00752040">
        <w:rPr>
          <w:lang w:val="en-US"/>
        </w:rPr>
        <w:t xml:space="preserve">JN.1 and associated sub-lineages, including KP.2 and KP.3, </w:t>
      </w:r>
      <w:r w:rsidR="00DC253F" w:rsidRPr="00226A98">
        <w:rPr>
          <w:lang w:val="en-US"/>
        </w:rPr>
        <w:t xml:space="preserve">were </w:t>
      </w:r>
      <w:r w:rsidR="003D3E7E" w:rsidRPr="00752040">
        <w:rPr>
          <w:lang w:val="en-US"/>
        </w:rPr>
        <w:t xml:space="preserve">the dominant variants for most </w:t>
      </w:r>
      <w:r w:rsidR="00DC253F" w:rsidRPr="00226A98">
        <w:rPr>
          <w:lang w:val="en-US"/>
        </w:rPr>
        <w:t>202</w:t>
      </w:r>
      <w:r w:rsidR="00DC253F" w:rsidRPr="002F01A4">
        <w:rPr>
          <w:lang w:val="en-US"/>
        </w:rPr>
        <w:t>4</w:t>
      </w:r>
      <w:r w:rsidR="003D3E7E" w:rsidRPr="002F01A4">
        <w:rPr>
          <w:lang w:val="en-US"/>
        </w:rPr>
        <w:t xml:space="preserve">, </w:t>
      </w:r>
      <w:r w:rsidR="004D0847" w:rsidRPr="002F01A4">
        <w:rPr>
          <w:lang w:val="en-US"/>
        </w:rPr>
        <w:t>u</w:t>
      </w:r>
      <w:r w:rsidR="003D3E7E" w:rsidRPr="002F01A4">
        <w:rPr>
          <w:lang w:val="en-US"/>
        </w:rPr>
        <w:t xml:space="preserve">ntil </w:t>
      </w:r>
      <w:r w:rsidR="00D733D9" w:rsidRPr="002F01A4">
        <w:rPr>
          <w:lang w:val="en-US"/>
        </w:rPr>
        <w:t xml:space="preserve">late December when </w:t>
      </w:r>
      <w:r w:rsidR="009E540F" w:rsidRPr="002F01A4">
        <w:rPr>
          <w:lang w:val="en-US"/>
        </w:rPr>
        <w:t xml:space="preserve">there </w:t>
      </w:r>
      <w:r w:rsidR="00752040" w:rsidRPr="002F01A4">
        <w:rPr>
          <w:lang w:val="en-US"/>
        </w:rPr>
        <w:t>was an a</w:t>
      </w:r>
      <w:r w:rsidR="003D3E7E" w:rsidRPr="002F01A4">
        <w:rPr>
          <w:lang w:val="en-US"/>
        </w:rPr>
        <w:t xml:space="preserve">pproximately equal number of JN.1 and XEC sequences. </w:t>
      </w:r>
      <w:r w:rsidR="00762A77">
        <w:rPr>
          <w:lang w:val="en-US"/>
        </w:rPr>
        <w:t>Influenza</w:t>
      </w:r>
      <w:r w:rsidR="00762A77" w:rsidRPr="00DE1AF7">
        <w:rPr>
          <w:lang w:val="en-US"/>
        </w:rPr>
        <w:t xml:space="preserve"> </w:t>
      </w:r>
      <w:r w:rsidR="00762A77" w:rsidRPr="002F01A4">
        <w:rPr>
          <w:lang w:val="en-US"/>
        </w:rPr>
        <w:t>A(H1N1)</w:t>
      </w:r>
      <w:r w:rsidR="00762A77">
        <w:rPr>
          <w:lang w:val="en-US"/>
        </w:rPr>
        <w:t xml:space="preserve"> </w:t>
      </w:r>
      <w:r w:rsidR="005723E9">
        <w:rPr>
          <w:lang w:val="en-US"/>
        </w:rPr>
        <w:t>and</w:t>
      </w:r>
      <w:r w:rsidR="003D3E7E" w:rsidRPr="002F01A4">
        <w:rPr>
          <w:lang w:val="en-US"/>
        </w:rPr>
        <w:t xml:space="preserve"> influenza A(H3N2)</w:t>
      </w:r>
      <w:r w:rsidR="002F01A4" w:rsidRPr="00DE1AF7">
        <w:rPr>
          <w:lang w:val="en-US"/>
        </w:rPr>
        <w:t xml:space="preserve"> </w:t>
      </w:r>
      <w:r w:rsidR="00304640" w:rsidRPr="00304640">
        <w:rPr>
          <w:lang w:val="en-US"/>
        </w:rPr>
        <w:t xml:space="preserve">were the two main influenza subtypes co-circulating </w:t>
      </w:r>
      <w:r w:rsidR="00274371">
        <w:rPr>
          <w:lang w:val="en-US"/>
        </w:rPr>
        <w:t>in</w:t>
      </w:r>
      <w:r w:rsidR="00304640">
        <w:rPr>
          <w:lang w:val="en-US"/>
        </w:rPr>
        <w:t xml:space="preserve"> 2024</w:t>
      </w:r>
      <w:r w:rsidR="003D3E7E" w:rsidRPr="002F01A4">
        <w:rPr>
          <w:lang w:val="en-US"/>
        </w:rPr>
        <w:t>.</w:t>
      </w:r>
      <w:r w:rsidR="006815F1">
        <w:rPr>
          <w:lang w:val="en-US"/>
        </w:rPr>
        <w:t xml:space="preserve"> </w:t>
      </w:r>
      <w:r w:rsidR="00F702B4">
        <w:rPr>
          <w:lang w:val="en-US"/>
        </w:rPr>
        <w:t>Currently, there are n</w:t>
      </w:r>
      <w:r w:rsidR="006815F1">
        <w:rPr>
          <w:lang w:val="en-US"/>
        </w:rPr>
        <w:t>o data are available on RSV subtypes.</w:t>
      </w:r>
    </w:p>
    <w:p w14:paraId="16A31718" w14:textId="517B7AC7" w:rsidR="00A715E6" w:rsidRDefault="0019761A" w:rsidP="00AE1516">
      <w:pPr>
        <w:pStyle w:val="Boxtype"/>
        <w:spacing w:after="120"/>
      </w:pPr>
      <w:r w:rsidRPr="00CF4874">
        <w:rPr>
          <w:b/>
          <w:lang w:val="en-US"/>
        </w:rPr>
        <w:t>Vaccine coverage, effectiveness and match:</w:t>
      </w:r>
      <w:r w:rsidRPr="00CF4874">
        <w:rPr>
          <w:lang w:val="en-US"/>
        </w:rPr>
        <w:t xml:space="preserve"> </w:t>
      </w:r>
      <w:r w:rsidR="00CD796D" w:rsidRPr="00A67550">
        <w:rPr>
          <w:lang w:val="en-US"/>
        </w:rPr>
        <w:t>The</w:t>
      </w:r>
      <w:r w:rsidR="00976577" w:rsidRPr="000B3F17">
        <w:rPr>
          <w:lang w:val="en-US"/>
        </w:rPr>
        <w:t xml:space="preserve"> 2024</w:t>
      </w:r>
      <w:r w:rsidR="00CD796D" w:rsidRPr="00A67550">
        <w:rPr>
          <w:lang w:val="en-US"/>
        </w:rPr>
        <w:t xml:space="preserve"> influenza </w:t>
      </w:r>
      <w:r w:rsidR="00B94BD2" w:rsidRPr="00A67550">
        <w:rPr>
          <w:lang w:val="en-US"/>
        </w:rPr>
        <w:t>vaccine</w:t>
      </w:r>
      <w:r w:rsidR="00953F7E">
        <w:rPr>
          <w:lang w:val="en-US"/>
        </w:rPr>
        <w:t xml:space="preserve"> was </w:t>
      </w:r>
      <w:r w:rsidR="00FC18CB">
        <w:rPr>
          <w:lang w:val="en-US"/>
        </w:rPr>
        <w:t>estimated</w:t>
      </w:r>
      <w:r w:rsidR="00953F7E">
        <w:rPr>
          <w:lang w:val="en-US"/>
        </w:rPr>
        <w:t xml:space="preserve"> to</w:t>
      </w:r>
      <w:r w:rsidR="00B94BD2" w:rsidRPr="00A67550">
        <w:rPr>
          <w:lang w:val="en-US"/>
        </w:rPr>
        <w:t xml:space="preserve"> reduce the risk of general practice attendance and </w:t>
      </w:r>
      <w:proofErr w:type="spellStart"/>
      <w:r w:rsidR="00B94BD2" w:rsidRPr="00A67550">
        <w:rPr>
          <w:lang w:val="en-US"/>
        </w:rPr>
        <w:t>hospitalisation</w:t>
      </w:r>
      <w:proofErr w:type="spellEnd"/>
      <w:r w:rsidR="00B94BD2" w:rsidRPr="00A67550">
        <w:rPr>
          <w:lang w:val="en-US"/>
        </w:rPr>
        <w:t xml:space="preserve"> with influenza by </w:t>
      </w:r>
      <w:r w:rsidR="00764482" w:rsidRPr="00A67550">
        <w:rPr>
          <w:lang w:val="en-US"/>
        </w:rPr>
        <w:t>55</w:t>
      </w:r>
      <w:r w:rsidR="00B94BD2" w:rsidRPr="00A67550">
        <w:rPr>
          <w:lang w:val="en-US"/>
        </w:rPr>
        <w:t>%</w:t>
      </w:r>
      <w:r w:rsidR="00186058" w:rsidRPr="00A67550">
        <w:rPr>
          <w:lang w:val="en-US"/>
        </w:rPr>
        <w:t xml:space="preserve"> for those who were vaccinated</w:t>
      </w:r>
      <w:r w:rsidR="00B94BD2" w:rsidRPr="00A67550">
        <w:rPr>
          <w:lang w:val="en-US"/>
        </w:rPr>
        <w:t>.</w:t>
      </w:r>
      <w:r w:rsidR="00976577" w:rsidRPr="00A67550">
        <w:rPr>
          <w:lang w:val="en-US"/>
        </w:rPr>
        <w:t xml:space="preserve"> The </w:t>
      </w:r>
      <w:r w:rsidR="00FD7191" w:rsidRPr="00A67550">
        <w:rPr>
          <w:lang w:val="en-US"/>
        </w:rPr>
        <w:t xml:space="preserve">relatively </w:t>
      </w:r>
      <w:r w:rsidR="00976577" w:rsidRPr="00A67550">
        <w:rPr>
          <w:lang w:val="en-US"/>
        </w:rPr>
        <w:t xml:space="preserve">high </w:t>
      </w:r>
      <w:r w:rsidR="00FD7191" w:rsidRPr="00A67550">
        <w:rPr>
          <w:lang w:val="en-US"/>
        </w:rPr>
        <w:t xml:space="preserve">influenza </w:t>
      </w:r>
      <w:r w:rsidR="00976577" w:rsidRPr="00A67550">
        <w:rPr>
          <w:lang w:val="en-US"/>
        </w:rPr>
        <w:t xml:space="preserve">vaccine effectiveness in 2024 is likely due to a good match between circulating </w:t>
      </w:r>
      <w:r w:rsidR="008E5CFD" w:rsidRPr="00A67550">
        <w:rPr>
          <w:lang w:val="en-US"/>
        </w:rPr>
        <w:t xml:space="preserve">influenza virus </w:t>
      </w:r>
      <w:r w:rsidR="00976577" w:rsidRPr="00A67550">
        <w:rPr>
          <w:lang w:val="en-US"/>
        </w:rPr>
        <w:t>and vaccine strains</w:t>
      </w:r>
      <w:r w:rsidR="008E5CFD" w:rsidRPr="00A67550">
        <w:rPr>
          <w:lang w:val="en-US"/>
        </w:rPr>
        <w:t xml:space="preserve">, which is </w:t>
      </w:r>
      <w:r w:rsidR="00434E8E" w:rsidRPr="00A67550">
        <w:rPr>
          <w:lang w:val="en-US"/>
        </w:rPr>
        <w:t xml:space="preserve">important </w:t>
      </w:r>
      <w:r w:rsidR="00A67550" w:rsidRPr="00A67550">
        <w:rPr>
          <w:lang w:val="en-US"/>
        </w:rPr>
        <w:t>to prevent infections and severe disease</w:t>
      </w:r>
      <w:r w:rsidR="00976577" w:rsidRPr="00A67550">
        <w:rPr>
          <w:lang w:val="en-US"/>
        </w:rPr>
        <w:t>.</w:t>
      </w:r>
      <w:r w:rsidR="00B80C27">
        <w:rPr>
          <w:lang w:val="en-US"/>
        </w:rPr>
        <w:t xml:space="preserve"> Influenza vaccine coverage rates were lower</w:t>
      </w:r>
      <w:r w:rsidR="00DB1294">
        <w:rPr>
          <w:lang w:val="en-US"/>
        </w:rPr>
        <w:t xml:space="preserve"> in 2024, than in 2023 or 2022.</w:t>
      </w:r>
    </w:p>
    <w:p w14:paraId="16A3171A" w14:textId="1AADF177" w:rsidR="00A715E6" w:rsidRPr="00E72DE7" w:rsidRDefault="00D972FC">
      <w:pPr>
        <w:pStyle w:val="Heading1"/>
      </w:pPr>
      <w:bookmarkStart w:id="3" w:name="_Toc194074606"/>
      <w:bookmarkStart w:id="4" w:name="Xb38d0cffd8a81be8f26a3ed55dcf92ea697f36c"/>
      <w:bookmarkEnd w:id="0"/>
      <w:r w:rsidRPr="00E72DE7">
        <w:lastRenderedPageBreak/>
        <w:t>Introduction</w:t>
      </w:r>
      <w:bookmarkEnd w:id="3"/>
    </w:p>
    <w:p w14:paraId="3241B246" w14:textId="52429F56" w:rsidR="006F189F" w:rsidRDefault="005D0BB8" w:rsidP="006F189F">
      <w:r>
        <w:t>Th</w:t>
      </w:r>
      <w:r w:rsidR="005C594C">
        <w:t xml:space="preserve">e 2024 Annual Australian Respiratory Surveillance Report </w:t>
      </w:r>
      <w:r>
        <w:t xml:space="preserve">is </w:t>
      </w:r>
      <w:r w:rsidR="00390F40">
        <w:t xml:space="preserve">a </w:t>
      </w:r>
      <w:r w:rsidR="009709D7">
        <w:t xml:space="preserve">report on the surveillance and epidemiology of </w:t>
      </w:r>
      <w:r>
        <w:t xml:space="preserve">acute respiratory infections </w:t>
      </w:r>
      <w:r w:rsidR="009709D7">
        <w:t>in</w:t>
      </w:r>
      <w:r>
        <w:t xml:space="preserve"> Australia</w:t>
      </w:r>
      <w:r w:rsidR="00137D9F">
        <w:t xml:space="preserve"> in 2024</w:t>
      </w:r>
      <w:r>
        <w:t xml:space="preserve">, </w:t>
      </w:r>
      <w:r w:rsidR="009247CE">
        <w:t xml:space="preserve">with a focus on the nationally notifiable </w:t>
      </w:r>
      <w:r w:rsidR="002A2DF6">
        <w:t>conditions</w:t>
      </w:r>
      <w:r>
        <w:t xml:space="preserve"> coronavirus disease 2019 (COVID-19), influenza</w:t>
      </w:r>
      <w:r w:rsidR="00942A9F">
        <w:t>,</w:t>
      </w:r>
      <w:r>
        <w:t xml:space="preserve"> and respiratory syncytial virus (RSV). </w:t>
      </w:r>
      <w:r w:rsidR="001E20C8" w:rsidRPr="001E20C8">
        <w:t xml:space="preserve">This </w:t>
      </w:r>
      <w:r w:rsidR="00D1472A">
        <w:t>inaugural A</w:t>
      </w:r>
      <w:r w:rsidR="001E20C8">
        <w:t xml:space="preserve">nnual </w:t>
      </w:r>
      <w:r w:rsidR="00D1472A">
        <w:t>Australian Respiratory Surveillance Report</w:t>
      </w:r>
      <w:r w:rsidR="001E20C8" w:rsidRPr="001E20C8">
        <w:t xml:space="preserve"> replaces the Australian Influenza Surveillance Report End of Season Summary, the National Influenza Surveillance Scheme </w:t>
      </w:r>
      <w:r w:rsidR="00112744">
        <w:t xml:space="preserve">Annual </w:t>
      </w:r>
      <w:r w:rsidR="001E20C8" w:rsidRPr="001E20C8">
        <w:t>Reports, and represents the first national annual report</w:t>
      </w:r>
      <w:r w:rsidR="00112744">
        <w:t>ing</w:t>
      </w:r>
      <w:r w:rsidR="007112CE">
        <w:t xml:space="preserve"> for</w:t>
      </w:r>
      <w:r w:rsidR="001E20C8" w:rsidRPr="001E20C8">
        <w:t xml:space="preserve"> COVID-19 and RSV.  </w:t>
      </w:r>
    </w:p>
    <w:p w14:paraId="16A3171E" w14:textId="17AE285D" w:rsidR="00A715E6" w:rsidRPr="000E02DC" w:rsidRDefault="006F189F" w:rsidP="000E02DC">
      <w:r>
        <w:t>Communicable disease surveillance in Australia operates at the national, jurisdictional</w:t>
      </w:r>
      <w:r w:rsidR="00154EEB">
        <w:t>,</w:t>
      </w:r>
      <w:r>
        <w:t xml:space="preserve"> and local levels</w:t>
      </w:r>
      <w:r w:rsidR="00C6657F">
        <w:t>, and n</w:t>
      </w:r>
      <w:r w:rsidR="004D5015">
        <w:t>o one system provides a complete picture of the epidemiology of acute respiratory illnesses in Australia. Instead, surveillance systems collect information that together build a picture of the distribution and burden of disease from acute respiratory illnesses in Australia. These surveillance systems are based in the community, primary care, hospitals</w:t>
      </w:r>
      <w:r w:rsidR="00154EEB">
        <w:t>,</w:t>
      </w:r>
      <w:r w:rsidR="004D5015">
        <w:t xml:space="preserve"> and laboratories to capture information </w:t>
      </w:r>
      <w:r w:rsidR="000F5E8F">
        <w:t>about different people</w:t>
      </w:r>
      <w:r w:rsidR="005D7F20">
        <w:t>,</w:t>
      </w:r>
      <w:r w:rsidR="000F5E8F">
        <w:t xml:space="preserve"> places</w:t>
      </w:r>
      <w:r w:rsidR="005D7F20">
        <w:t>, and levels of severity</w:t>
      </w:r>
      <w:r w:rsidR="004D5015">
        <w:t>.</w:t>
      </w:r>
      <w:r w:rsidR="00EB3682">
        <w:t xml:space="preserve"> All surveillance systems have strengths and limitations, so they need to be used in combination to provide comprehensive information for public health decision-making.</w:t>
      </w:r>
      <w:r w:rsidR="008742D9">
        <w:fldChar w:fldCharType="begin"/>
      </w:r>
      <w:r w:rsidR="00112725">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8742D9">
        <w:fldChar w:fldCharType="separate"/>
      </w:r>
      <w:r w:rsidR="008742D9" w:rsidRPr="008742D9">
        <w:rPr>
          <w:noProof/>
          <w:vertAlign w:val="superscript"/>
        </w:rPr>
        <w:t>1</w:t>
      </w:r>
      <w:r w:rsidR="008742D9">
        <w:fldChar w:fldCharType="end"/>
      </w:r>
      <w:r w:rsidR="0023237D">
        <w:t xml:space="preserve"> In this annual report, notifiable diseases data and civil registration systems data are used alongside information from sentinel surveillance systems.</w:t>
      </w:r>
    </w:p>
    <w:p w14:paraId="16A3171F" w14:textId="77777777" w:rsidR="00A715E6" w:rsidRPr="007867C1" w:rsidRDefault="0019761A">
      <w:pPr>
        <w:pStyle w:val="Heading1"/>
      </w:pPr>
      <w:bookmarkStart w:id="5" w:name="_Toc194074607"/>
      <w:bookmarkStart w:id="6" w:name="methods-and-data-considerations"/>
      <w:bookmarkEnd w:id="4"/>
      <w:r w:rsidRPr="007867C1">
        <w:t>Methods and data considerations</w:t>
      </w:r>
      <w:bookmarkEnd w:id="5"/>
    </w:p>
    <w:p w14:paraId="1ED63E34" w14:textId="46FE4F46" w:rsidR="00DC6B6B" w:rsidRDefault="004220B2">
      <w:r w:rsidRPr="00455337">
        <w:t xml:space="preserve">Each </w:t>
      </w:r>
      <w:r w:rsidR="003A242B" w:rsidRPr="00455337">
        <w:t>data source</w:t>
      </w:r>
      <w:r w:rsidR="00132EF2" w:rsidRPr="00455337">
        <w:t xml:space="preserve"> included in this annual report</w:t>
      </w:r>
      <w:r w:rsidR="00E937FD" w:rsidRPr="00455337">
        <w:t xml:space="preserve"> </w:t>
      </w:r>
      <w:r w:rsidRPr="00455337">
        <w:t xml:space="preserve">captures </w:t>
      </w:r>
      <w:r w:rsidR="00351AF0" w:rsidRPr="00455337">
        <w:t>different</w:t>
      </w:r>
      <w:r w:rsidRPr="00455337">
        <w:t xml:space="preserve"> information.</w:t>
      </w:r>
      <w:r w:rsidR="00AE6B39" w:rsidRPr="00455337">
        <w:t xml:space="preserve"> </w:t>
      </w:r>
      <w:r w:rsidR="008C2CE5" w:rsidRPr="00455337">
        <w:t>T</w:t>
      </w:r>
      <w:r w:rsidRPr="00455337">
        <w:t xml:space="preserve">he </w:t>
      </w:r>
      <w:r w:rsidR="003A242B" w:rsidRPr="00455337">
        <w:t xml:space="preserve">methods, data considerations, </w:t>
      </w:r>
      <w:r w:rsidRPr="00455337">
        <w:t>strengths and limitations of each data source</w:t>
      </w:r>
      <w:r w:rsidR="003A242B" w:rsidRPr="00455337">
        <w:t xml:space="preserve"> are presented here</w:t>
      </w:r>
      <w:r w:rsidRPr="00455337">
        <w:t xml:space="preserve">, </w:t>
      </w:r>
      <w:r w:rsidR="007C2EC4">
        <w:t xml:space="preserve">to demonstrate </w:t>
      </w:r>
      <w:r w:rsidRPr="00455337">
        <w:t xml:space="preserve">how each </w:t>
      </w:r>
      <w:r w:rsidR="003A242B" w:rsidRPr="00455337">
        <w:t>source</w:t>
      </w:r>
      <w:r w:rsidRPr="00455337">
        <w:t xml:space="preserve"> contributes to the overall picture of </w:t>
      </w:r>
      <w:r w:rsidR="00E83927" w:rsidRPr="00455337">
        <w:t xml:space="preserve">acute </w:t>
      </w:r>
      <w:r w:rsidRPr="00455337">
        <w:t>respiratory illness epidemiology</w:t>
      </w:r>
      <w:r w:rsidR="00853CCB">
        <w:t xml:space="preserve"> in Australia</w:t>
      </w:r>
      <w:r w:rsidRPr="00455337">
        <w:t>.</w:t>
      </w:r>
    </w:p>
    <w:p w14:paraId="4A1A8CCC" w14:textId="39E0C410" w:rsidR="00DD61C1" w:rsidRPr="00455337" w:rsidRDefault="00500D83">
      <w:r>
        <w:t>Surveillance d</w:t>
      </w:r>
      <w:r w:rsidRPr="00500D83">
        <w:t>ata in this</w:t>
      </w:r>
      <w:r>
        <w:t xml:space="preserve"> annual</w:t>
      </w:r>
      <w:r w:rsidRPr="00500D83">
        <w:t xml:space="preserve"> report are presented by date of event (</w:t>
      </w:r>
      <w:r w:rsidR="00BA17A0">
        <w:t xml:space="preserve">report, </w:t>
      </w:r>
      <w:r w:rsidRPr="00500D83">
        <w:t>diagnosis, admission</w:t>
      </w:r>
      <w:r>
        <w:t>,</w:t>
      </w:r>
      <w:r w:rsidRPr="00500D83">
        <w:t xml:space="preserve"> or death)</w:t>
      </w:r>
      <w:r>
        <w:t>.</w:t>
      </w:r>
      <w:r w:rsidRPr="00500D83">
        <w:t xml:space="preserve"> </w:t>
      </w:r>
      <w:r w:rsidR="00A025DA">
        <w:t xml:space="preserve">Tables include </w:t>
      </w:r>
      <w:r w:rsidR="00CF250A">
        <w:t xml:space="preserve">surveillance </w:t>
      </w:r>
      <w:r w:rsidR="00A025DA">
        <w:t xml:space="preserve">data for a full calendar year (1 January to 31 December). However, </w:t>
      </w:r>
      <w:r w:rsidR="008B2786" w:rsidRPr="00500D83">
        <w:t>to support comparisons</w:t>
      </w:r>
      <w:r w:rsidR="00D76B51">
        <w:t xml:space="preserve"> of trends</w:t>
      </w:r>
      <w:r w:rsidR="008B2786" w:rsidRPr="00500D83">
        <w:t xml:space="preserve"> over time</w:t>
      </w:r>
      <w:r w:rsidR="00CF250A">
        <w:t>, surveillance</w:t>
      </w:r>
      <w:r w:rsidR="008B2786">
        <w:t xml:space="preserve"> data </w:t>
      </w:r>
      <w:r w:rsidR="00516DBF">
        <w:t>underlying</w:t>
      </w:r>
      <w:r w:rsidR="008B2786">
        <w:t xml:space="preserve"> </w:t>
      </w:r>
      <w:r w:rsidR="009B37C5">
        <w:t xml:space="preserve">the </w:t>
      </w:r>
      <w:r w:rsidR="008B2786">
        <w:t>figures</w:t>
      </w:r>
      <w:r w:rsidR="009B37C5">
        <w:t xml:space="preserve"> in this annual report</w:t>
      </w:r>
      <w:r w:rsidR="008B2786">
        <w:t xml:space="preserve"> are </w:t>
      </w:r>
      <w:r w:rsidR="008E1D61">
        <w:t xml:space="preserve">presented </w:t>
      </w:r>
      <w:r w:rsidR="009B37C5">
        <w:t xml:space="preserve">using </w:t>
      </w:r>
      <w:r w:rsidRPr="00500D83">
        <w:t>the International Organization for Standardization (ISO) week date system, with weeks defined as seven-day periods which begin on a Monday and end on a Sunday.</w:t>
      </w:r>
      <w:r w:rsidR="000F3F79">
        <w:t xml:space="preserve"> </w:t>
      </w:r>
      <w:r w:rsidR="00F21744">
        <w:t>As such, ISO weeks often cross</w:t>
      </w:r>
      <w:r w:rsidR="005208B5">
        <w:t xml:space="preserve"> calendar years. </w:t>
      </w:r>
      <w:r w:rsidR="008D37E8">
        <w:t>U</w:t>
      </w:r>
      <w:r w:rsidR="00F2117A">
        <w:t>nless stated otherwise</w:t>
      </w:r>
      <w:r w:rsidR="000A4431">
        <w:t xml:space="preserve"> </w:t>
      </w:r>
      <w:r w:rsidR="00982514">
        <w:t>in</w:t>
      </w:r>
      <w:r w:rsidR="00420F30">
        <w:t xml:space="preserve"> the</w:t>
      </w:r>
      <w:r w:rsidR="00982514">
        <w:t xml:space="preserve"> figure</w:t>
      </w:r>
      <w:r w:rsidR="00420F30">
        <w:t xml:space="preserve"> titles</w:t>
      </w:r>
      <w:r w:rsidR="00663B7B">
        <w:t xml:space="preserve">, </w:t>
      </w:r>
      <w:r w:rsidR="00DE0E82">
        <w:t xml:space="preserve">2024 </w:t>
      </w:r>
      <w:r w:rsidR="00934540">
        <w:t>data</w:t>
      </w:r>
      <w:r w:rsidR="00663B7B">
        <w:t xml:space="preserve"> </w:t>
      </w:r>
      <w:r w:rsidR="0034703F">
        <w:t xml:space="preserve">are from </w:t>
      </w:r>
      <w:r w:rsidR="002A7D88">
        <w:t>1</w:t>
      </w:r>
      <w:r w:rsidR="006D157F" w:rsidRPr="004D7537">
        <w:t xml:space="preserve"> January to 29 December</w:t>
      </w:r>
      <w:r w:rsidR="004D7537">
        <w:t xml:space="preserve"> 2024</w:t>
      </w:r>
      <w:r w:rsidR="006D157F" w:rsidRPr="004D7537">
        <w:t xml:space="preserve"> </w:t>
      </w:r>
      <w:r w:rsidR="00B8251E" w:rsidRPr="004D7537">
        <w:t>(ISO weeks 1–52 of 2024)</w:t>
      </w:r>
      <w:r w:rsidR="00DE0E82" w:rsidRPr="004D7537">
        <w:t xml:space="preserve">, 2023 </w:t>
      </w:r>
      <w:r w:rsidR="0034703F">
        <w:t>data are from</w:t>
      </w:r>
      <w:r w:rsidR="007F047C">
        <w:t xml:space="preserve"> </w:t>
      </w:r>
      <w:r w:rsidR="00547B6F" w:rsidRPr="004D7537">
        <w:t>2</w:t>
      </w:r>
      <w:r w:rsidR="00982514" w:rsidRPr="004D7537">
        <w:t xml:space="preserve"> January to </w:t>
      </w:r>
      <w:r w:rsidR="00547B6F" w:rsidRPr="004D7537">
        <w:t>31</w:t>
      </w:r>
      <w:r w:rsidR="00982514" w:rsidRPr="004D7537">
        <w:t xml:space="preserve"> December</w:t>
      </w:r>
      <w:r w:rsidR="004D7537">
        <w:t xml:space="preserve"> 2023</w:t>
      </w:r>
      <w:r w:rsidR="00982514" w:rsidRPr="004D7537">
        <w:t xml:space="preserve"> (ISO weeks 1–52 of 202</w:t>
      </w:r>
      <w:r w:rsidR="00547B6F" w:rsidRPr="004D7537">
        <w:t>3</w:t>
      </w:r>
      <w:r w:rsidR="00982514" w:rsidRPr="004D7537">
        <w:t xml:space="preserve">), and 2022 </w:t>
      </w:r>
      <w:r w:rsidR="00040E14">
        <w:t xml:space="preserve">data </w:t>
      </w:r>
      <w:r w:rsidR="0034703F">
        <w:t>are f</w:t>
      </w:r>
      <w:r w:rsidR="003565A1">
        <w:t>r</w:t>
      </w:r>
      <w:r w:rsidR="0034703F">
        <w:t>om</w:t>
      </w:r>
      <w:r w:rsidR="00516DBF" w:rsidRPr="004D7537">
        <w:t xml:space="preserve"> </w:t>
      </w:r>
      <w:r w:rsidR="00DA5BBB" w:rsidRPr="004D7537">
        <w:t>3</w:t>
      </w:r>
      <w:r w:rsidR="00982514" w:rsidRPr="004D7537">
        <w:t xml:space="preserve"> January </w:t>
      </w:r>
      <w:r w:rsidR="004D7537" w:rsidRPr="004D7537">
        <w:t xml:space="preserve">2022 </w:t>
      </w:r>
      <w:r w:rsidR="00982514" w:rsidRPr="004D7537">
        <w:t xml:space="preserve">to </w:t>
      </w:r>
      <w:r w:rsidR="004D7537" w:rsidRPr="004D7537">
        <w:t>1 January 2023</w:t>
      </w:r>
      <w:r w:rsidR="00982514" w:rsidRPr="004D7537">
        <w:t xml:space="preserve"> (ISO weeks 1–52 of 202</w:t>
      </w:r>
      <w:r w:rsidR="004D7537" w:rsidRPr="004D7537">
        <w:t>2</w:t>
      </w:r>
      <w:r w:rsidR="00982514" w:rsidRPr="004D7537">
        <w:t>)</w:t>
      </w:r>
      <w:r w:rsidRPr="004D7537">
        <w:t>.</w:t>
      </w:r>
    </w:p>
    <w:p w14:paraId="6C1F2321" w14:textId="177714C9" w:rsidR="00090BB9" w:rsidRDefault="008F6DEC" w:rsidP="000E02DC">
      <w:pPr>
        <w:pStyle w:val="Heading2"/>
      </w:pPr>
      <w:bookmarkStart w:id="7" w:name="_Toc194074608"/>
      <w:r>
        <w:t>National Notifiable Diseases Surveillance System (NNDSS)</w:t>
      </w:r>
      <w:bookmarkEnd w:id="7"/>
    </w:p>
    <w:p w14:paraId="6B9EB0E5" w14:textId="00024DD7" w:rsidR="008F6DEC" w:rsidRDefault="002276E8" w:rsidP="008F6DEC">
      <w:r w:rsidRPr="002276E8">
        <w:t xml:space="preserve">Australia is a federation of </w:t>
      </w:r>
      <w:r>
        <w:t>six</w:t>
      </w:r>
      <w:r w:rsidRPr="002276E8">
        <w:t xml:space="preserve"> states: New South Wales (NSW), Queensland (Qld), South Australia (SA), Tasmania (Tas.), Victoria (Vic.), and Western Australia (WA); and </w:t>
      </w:r>
      <w:r>
        <w:t>two</w:t>
      </w:r>
      <w:r w:rsidRPr="002276E8">
        <w:t xml:space="preserve"> territories: the Australian Capital Territory (ACT) and the Northern Territory (NT).</w:t>
      </w:r>
      <w:r>
        <w:t xml:space="preserve"> </w:t>
      </w:r>
      <w:r w:rsidR="0048740F">
        <w:t>Each s</w:t>
      </w:r>
      <w:r w:rsidR="0039475F" w:rsidRPr="0039475F">
        <w:t xml:space="preserve">tate </w:t>
      </w:r>
      <w:r w:rsidR="002D1EDD">
        <w:t>and</w:t>
      </w:r>
      <w:r w:rsidR="0039475F" w:rsidRPr="0039475F">
        <w:t xml:space="preserve"> territory health department collect notifications of communicable diseases under their respective public health legislations.</w:t>
      </w:r>
      <w:r w:rsidR="00B25EC8">
        <w:t xml:space="preserve"> </w:t>
      </w:r>
      <w:r w:rsidR="00B25EC8" w:rsidRPr="00B25EC8">
        <w:t>Methods of surveillance vary between states and territories, each having different requirements for notification by medical practitioners, laboratories and hospitals.</w:t>
      </w:r>
    </w:p>
    <w:p w14:paraId="0D3958D1" w14:textId="06C4E845" w:rsidR="008F6DEC" w:rsidRPr="00EE3CCC" w:rsidRDefault="00D3624B" w:rsidP="008F6DEC">
      <w:r w:rsidRPr="00D3624B">
        <w:t xml:space="preserve">The National Health Security Act 2007 provides a legislative framework for </w:t>
      </w:r>
      <w:r w:rsidR="007D41BF">
        <w:t xml:space="preserve">the </w:t>
      </w:r>
      <w:r w:rsidRPr="00D3624B">
        <w:t>exchang</w:t>
      </w:r>
      <w:r w:rsidR="007D41BF">
        <w:t>e of</w:t>
      </w:r>
      <w:r w:rsidRPr="00D3624B">
        <w:t xml:space="preserve"> health information, including personal data, between jurisdictions and the Australian Government, and </w:t>
      </w:r>
      <w:r w:rsidR="009B2E47">
        <w:t>provide</w:t>
      </w:r>
      <w:r w:rsidR="00C03F39">
        <w:t>s</w:t>
      </w:r>
      <w:r w:rsidR="009B2E47">
        <w:t xml:space="preserve"> for</w:t>
      </w:r>
      <w:r w:rsidR="005921C1">
        <w:t xml:space="preserve"> the establishment of</w:t>
      </w:r>
      <w:r w:rsidRPr="00D3624B">
        <w:t xml:space="preserve"> the National Notifiable Diseases List</w:t>
      </w:r>
      <w:r w:rsidR="00361EA1">
        <w:t xml:space="preserve"> which specifies the diseases about which personal information can be provided</w:t>
      </w:r>
      <w:r w:rsidR="009A2F9E">
        <w:t>.</w:t>
      </w:r>
      <w:r w:rsidR="00C17DB7">
        <w:fldChar w:fldCharType="begin"/>
      </w:r>
      <w:r w:rsidR="002D5ECE">
        <w:instrText xml:space="preserve"> ADDIN EN.CITE &lt;EndNote&gt;&lt;Cite&gt;&lt;Author&gt;Australian Government Department of Health and Aged Care&lt;/Author&gt;&lt;Year&gt;2007&lt;/Year&gt;&lt;RecNum&gt;2810&lt;/RecNum&gt;&lt;DisplayText&gt;&lt;style face="superscript"&gt;2,3&lt;/style&gt;&lt;/DisplayText&gt;&lt;record&gt;&lt;rec-number&gt;2810&lt;/rec-number&gt;&lt;foreign-keys&gt;&lt;key app="EN" db-id="ptaw2s0tmse5w0exvrh5d2vpdtxat2eaaazf" timestamp="1742517171"&gt;2810&lt;/key&gt;&lt;/foreign-keys&gt;&lt;ref-type name="Web Page"&gt;12&lt;/ref-type&gt;&lt;contributors&gt;&lt;authors&gt;&lt;author&gt;Australian Government Department of Health and Aged Care,&lt;/author&gt;&lt;/authors&gt;&lt;/contributors&gt;&lt;titles&gt;&lt;title&gt;National Health Security Act, 2007&lt;/title&gt;&lt;/titles&gt;&lt;dates&gt;&lt;year&gt;2007&lt;/year&gt;&lt;/dates&gt;&lt;pub-location&gt;Canberra&lt;/pub-location&gt;&lt;publisher&gt;Australian Government Department of Health and Aged Care&lt;/publisher&gt;&lt;urls&gt;&lt;related-urls&gt;&lt;url&gt;https://www.legislation.gov.au/C2007A00174&lt;/url&gt;&lt;/related-urls&gt;&lt;/urls&gt;&lt;/record&gt;&lt;/Cite&gt;&lt;Cite&gt;&lt;Author&gt;Australian Government Department of Health and Aged Care&lt;/Author&gt;&lt;Year&gt;2018&lt;/Year&gt;&lt;RecNum&gt;2811&lt;/RecNum&gt;&lt;record&gt;&lt;rec-number&gt;2811&lt;/rec-number&gt;&lt;foreign-keys&gt;&lt;key app="EN" db-id="ptaw2s0tmse5w0exvrh5d2vpdtxat2eaaazf" timestamp="1742517410"&gt;2811&lt;/key&gt;&lt;/foreign-keys&gt;&lt;ref-type name="Web Page"&gt;12&lt;/ref-type&gt;&lt;contributors&gt;&lt;authors&gt;&lt;author&gt;Australian Government Department of Health and Aged Care,&lt;/author&gt;&lt;/authors&gt;&lt;/contributors&gt;&lt;titles&gt;&lt;title&gt;National Health Security (National Notifiable Disease List) Instrument 2018&lt;/title&gt;&lt;/titles&gt;&lt;dates&gt;&lt;year&gt;2018&lt;/year&gt;&lt;/dates&gt;&lt;pub-location&gt;Canberra&lt;/pub-location&gt;&lt;publisher&gt;Australian Government Department of Health and Aged Care&lt;/publisher&gt;&lt;urls&gt;&lt;related-urls&gt;&lt;url&gt;https://www.legislation.gov.au/F2018L00450&lt;/url&gt;&lt;/related-urls&gt;&lt;/urls&gt;&lt;/record&gt;&lt;/Cite&gt;&lt;/EndNote&gt;</w:instrText>
      </w:r>
      <w:r w:rsidR="00C17DB7">
        <w:fldChar w:fldCharType="separate"/>
      </w:r>
      <w:r w:rsidR="002D5ECE" w:rsidRPr="002D5ECE">
        <w:rPr>
          <w:noProof/>
          <w:vertAlign w:val="superscript"/>
        </w:rPr>
        <w:t>2,3</w:t>
      </w:r>
      <w:r w:rsidR="00C17DB7">
        <w:fldChar w:fldCharType="end"/>
      </w:r>
      <w:r w:rsidR="007F3638">
        <w:t xml:space="preserve"> </w:t>
      </w:r>
      <w:r w:rsidRPr="00D3624B">
        <w:t>The National Health Security Agreement formali</w:t>
      </w:r>
      <w:r w:rsidR="00E83A49">
        <w:t>s</w:t>
      </w:r>
      <w:r w:rsidRPr="00D3624B">
        <w:t xml:space="preserve">es surveillance and reporting systems, enabling states and territories to forward de-identified data </w:t>
      </w:r>
      <w:r w:rsidR="005421FA">
        <w:t xml:space="preserve">for </w:t>
      </w:r>
      <w:r w:rsidRPr="00D3624B">
        <w:t xml:space="preserve">communicable diseases </w:t>
      </w:r>
      <w:r w:rsidR="005421FA">
        <w:t xml:space="preserve">on the </w:t>
      </w:r>
      <w:r w:rsidR="005421FA" w:rsidRPr="00D3624B">
        <w:t xml:space="preserve">National Notifiable Diseases List </w:t>
      </w:r>
      <w:r w:rsidRPr="00D3624B">
        <w:t>to the Australian Government</w:t>
      </w:r>
      <w:r w:rsidR="00C630D0">
        <w:t xml:space="preserve"> Department of Health and Aged Care</w:t>
      </w:r>
      <w:r w:rsidRPr="00D3624B">
        <w:t xml:space="preserve"> for national surveillance.</w:t>
      </w:r>
      <w:r w:rsidR="00D224C3">
        <w:fldChar w:fldCharType="begin"/>
      </w:r>
      <w:r w:rsidR="00112725">
        <w:instrText xml:space="preserve"> ADDIN EN.CITE &lt;EndNote&gt;&lt;Cite&gt;&lt;Author&gt;Australian Government Department of Health&lt;/Author&gt;&lt;Year&gt;2011&lt;/Year&gt;&lt;RecNum&gt;2812&lt;/RecNum&gt;&lt;DisplayText&gt;&lt;style face="superscript"&gt;4&lt;/style&gt;&lt;/DisplayText&gt;&lt;record&gt;&lt;rec-number&gt;2812&lt;/rec-number&gt;&lt;foreign-keys&gt;&lt;key app="EN" db-id="ptaw2s0tmse5w0exvrh5d2vpdtxat2eaaazf" timestamp="1742517728"&gt;2812&lt;/key&gt;&lt;/foreign-keys&gt;&lt;ref-type name="Web Page"&gt;12&lt;/ref-type&gt;&lt;contributors&gt;&lt;authors&gt;&lt;author&gt;Australian Government Department of Health,&lt;/author&gt;&lt;/authors&gt;&lt;/contributors&gt;&lt;titles&gt;&lt;title&gt;National Health Security Agreement&lt;/title&gt;&lt;/titles&gt;&lt;dates&gt;&lt;year&gt;2011&lt;/year&gt;&lt;/dates&gt;&lt;pub-location&gt;Canberra&lt;/pub-location&gt;&lt;publisher&gt;Australian Government Department of Health&lt;/publisher&gt;&lt;work-type&gt;Internet&lt;/work-type&gt;&lt;urls&gt;&lt;related-urls&gt;&lt;url&gt;https://www.health.gov.au/resources/publications/national-health-security-agreement&lt;/url&gt;&lt;/related-urls&gt;&lt;/urls&gt;&lt;/record&gt;&lt;/Cite&gt;&lt;/EndNote&gt;</w:instrText>
      </w:r>
      <w:r w:rsidR="00D224C3">
        <w:fldChar w:fldCharType="separate"/>
      </w:r>
      <w:r w:rsidR="00D224C3" w:rsidRPr="00D224C3">
        <w:rPr>
          <w:noProof/>
          <w:vertAlign w:val="superscript"/>
        </w:rPr>
        <w:t>4</w:t>
      </w:r>
      <w:r w:rsidR="00D224C3">
        <w:fldChar w:fldCharType="end"/>
      </w:r>
      <w:r w:rsidR="00911EDD">
        <w:t xml:space="preserve"> </w:t>
      </w:r>
    </w:p>
    <w:p w14:paraId="0D4F4905" w14:textId="346F88C5" w:rsidR="00090BB9" w:rsidRDefault="00A048BA">
      <w:r w:rsidRPr="00A048BA">
        <w:t>The NNDSS core dataset requires the following mandatory data fields</w:t>
      </w:r>
      <w:r w:rsidR="00AE4505">
        <w:t xml:space="preserve"> for case notification</w:t>
      </w:r>
      <w:r w:rsidRPr="00A048BA">
        <w:t>: a unique record reference number; the notifying state or territory; the disease code; confirmation status; and the date when the jurisdictional health department was notified (notification received date).</w:t>
      </w:r>
      <w:r w:rsidR="00954873">
        <w:t xml:space="preserve"> </w:t>
      </w:r>
      <w:r w:rsidR="00954873" w:rsidRPr="00954873">
        <w:t xml:space="preserve">In addition, </w:t>
      </w:r>
      <w:r w:rsidR="0071368B">
        <w:t xml:space="preserve">core </w:t>
      </w:r>
      <w:r w:rsidR="00954873" w:rsidRPr="00954873">
        <w:t xml:space="preserve">data fields </w:t>
      </w:r>
      <w:r w:rsidR="404ABC1E">
        <w:t>are</w:t>
      </w:r>
      <w:r w:rsidR="00954873" w:rsidRPr="00954873">
        <w:t xml:space="preserve"> supplied where available</w:t>
      </w:r>
      <w:r w:rsidR="00517124">
        <w:t xml:space="preserve">, </w:t>
      </w:r>
      <w:r w:rsidR="00233358">
        <w:t>including but not limited to,</w:t>
      </w:r>
      <w:r w:rsidR="00517124">
        <w:t xml:space="preserve"> </w:t>
      </w:r>
      <w:r w:rsidR="00954873" w:rsidRPr="00954873">
        <w:t>date of birth</w:t>
      </w:r>
      <w:r w:rsidR="00517124">
        <w:t>,</w:t>
      </w:r>
      <w:r w:rsidR="00954873" w:rsidRPr="00954873">
        <w:t xml:space="preserve"> age at onset</w:t>
      </w:r>
      <w:r w:rsidR="00517124">
        <w:t>,</w:t>
      </w:r>
      <w:r w:rsidR="00954873" w:rsidRPr="00954873">
        <w:t xml:space="preserve"> sex</w:t>
      </w:r>
      <w:r w:rsidR="00517124">
        <w:t>,</w:t>
      </w:r>
      <w:r w:rsidR="00954873" w:rsidRPr="00954873">
        <w:t xml:space="preserve"> Indigenous status</w:t>
      </w:r>
      <w:r w:rsidR="00517124">
        <w:t>,</w:t>
      </w:r>
      <w:r w:rsidR="004A301A">
        <w:t xml:space="preserve"> death </w:t>
      </w:r>
      <w:r w:rsidR="004A301A">
        <w:lastRenderedPageBreak/>
        <w:t>status</w:t>
      </w:r>
      <w:r w:rsidR="0072114C">
        <w:t>,</w:t>
      </w:r>
      <w:r w:rsidR="00517124">
        <w:t xml:space="preserve"> and </w:t>
      </w:r>
      <w:r w:rsidR="00954873" w:rsidRPr="00954873">
        <w:t>disease onset date</w:t>
      </w:r>
      <w:r w:rsidR="00517124">
        <w:t xml:space="preserve">. </w:t>
      </w:r>
      <w:r w:rsidR="00954873" w:rsidRPr="00954873">
        <w:t xml:space="preserve">Where relevant, </w:t>
      </w:r>
      <w:r w:rsidR="0055044C" w:rsidRPr="0055044C">
        <w:t xml:space="preserve">enhanced surveillance information </w:t>
      </w:r>
      <w:r w:rsidR="00A2493C">
        <w:t xml:space="preserve">including </w:t>
      </w:r>
      <w:r w:rsidR="00954873" w:rsidRPr="00954873">
        <w:t>the serogroups/subtypes of organisms isolated</w:t>
      </w:r>
      <w:r w:rsidR="00D7009B">
        <w:t xml:space="preserve"> and</w:t>
      </w:r>
      <w:r w:rsidR="00954873" w:rsidRPr="00954873">
        <w:t xml:space="preserve"> the </w:t>
      </w:r>
      <w:r w:rsidR="00D7009B">
        <w:t xml:space="preserve">hospitalisation or </w:t>
      </w:r>
      <w:r w:rsidR="00954873" w:rsidRPr="00954873">
        <w:t xml:space="preserve">immunisation status of the case </w:t>
      </w:r>
      <w:r w:rsidR="7537419B">
        <w:t>are</w:t>
      </w:r>
      <w:r w:rsidR="00954873" w:rsidRPr="00954873">
        <w:t xml:space="preserve"> </w:t>
      </w:r>
      <w:r w:rsidR="00233358">
        <w:t>notified</w:t>
      </w:r>
      <w:r w:rsidR="00954873" w:rsidRPr="00954873">
        <w:t>.</w:t>
      </w:r>
      <w:r w:rsidR="00AD653F">
        <w:t xml:space="preserve"> </w:t>
      </w:r>
      <w:r w:rsidR="009B2D01">
        <w:t>F</w:t>
      </w:r>
      <w:r w:rsidR="009B2D01" w:rsidRPr="00D94D94">
        <w:t>ollow up</w:t>
      </w:r>
      <w:r w:rsidR="712F01CE">
        <w:t xml:space="preserve"> </w:t>
      </w:r>
      <w:r w:rsidR="2343B81F">
        <w:t>of</w:t>
      </w:r>
      <w:r w:rsidR="009B2D01" w:rsidRPr="00D94D94">
        <w:t xml:space="preserve"> all cases for diseases with a large volume of notifications and/or not requiring specific case-based public health action</w:t>
      </w:r>
      <w:r w:rsidR="009B2D01">
        <w:t xml:space="preserve"> is not a requirement of notification</w:t>
      </w:r>
      <w:r w:rsidR="00A8634D">
        <w:t xml:space="preserve">, therefore, </w:t>
      </w:r>
      <w:r w:rsidR="1443094C">
        <w:t>enhanced surveillance</w:t>
      </w:r>
      <w:r w:rsidR="00A8634D">
        <w:t xml:space="preserve"> data are often unavailable.</w:t>
      </w:r>
    </w:p>
    <w:p w14:paraId="78A39315" w14:textId="5D314DFE" w:rsidR="00012DAB" w:rsidRDefault="00012DAB" w:rsidP="00012DAB">
      <w:r>
        <w:t xml:space="preserve">Notification rates for each notifiable disease were calculated using </w:t>
      </w:r>
      <w:r w:rsidR="00E91056" w:rsidRPr="002C32DB">
        <w:t>2024</w:t>
      </w:r>
      <w:r w:rsidRPr="002C32DB">
        <w:t xml:space="preserve"> population data available in the </w:t>
      </w:r>
      <w:r w:rsidR="00E91056" w:rsidRPr="002C32DB">
        <w:t>December 2024</w:t>
      </w:r>
      <w:r w:rsidRPr="002C32DB">
        <w:t xml:space="preserve"> estimated resident population supplied by the ABS</w:t>
      </w:r>
      <w:r w:rsidR="00446E9F">
        <w:t>.</w:t>
      </w:r>
      <w:r w:rsidR="00B80E3A">
        <w:fldChar w:fldCharType="begin"/>
      </w:r>
      <w:r w:rsidR="00B80E3A">
        <w:instrText xml:space="preserve"> ADDIN EN.CITE &lt;EndNote&gt;&lt;Cite&gt;&lt;Author&gt;Australian Bureau of Statistics&lt;/Author&gt;&lt;Year&gt;2024&lt;/Year&gt;&lt;RecNum&gt;2815&lt;/RecNum&gt;&lt;DisplayText&gt;&lt;style face="superscript"&gt;5&lt;/style&gt;&lt;/DisplayText&gt;&lt;record&gt;&lt;rec-number&gt;2815&lt;/rec-number&gt;&lt;foreign-keys&gt;&lt;key app="EN" db-id="ptaw2s0tmse5w0exvrh5d2vpdtxat2eaaazf" timestamp="1742518832"&gt;2815&lt;/key&gt;&lt;/foreign-keys&gt;&lt;ref-type name="Web Page"&gt;12&lt;/ref-type&gt;&lt;contributors&gt;&lt;authors&gt;&lt;author&gt;Australian Bureau of Statistics,&lt;/author&gt;&lt;/authors&gt;&lt;/contributors&gt;&lt;titles&gt;&lt;title&gt;National, state and territory population&lt;/title&gt;&lt;/titles&gt;&lt;dates&gt;&lt;year&gt;2024&lt;/year&gt;&lt;/dates&gt;&lt;pub-location&gt;Canberra&lt;/pub-location&gt;&lt;publisher&gt;Australian Bureau of Statistics&lt;/publisher&gt;&lt;work-type&gt;Internet&lt;/work-type&gt;&lt;urls&gt;&lt;related-urls&gt;&lt;url&gt;https://www.abs.gov.au/statistics/people/population/national-state-and-territory-population/jun-2024&lt;/url&gt;&lt;/related-urls&gt;&lt;/urls&gt;&lt;/record&gt;&lt;/Cite&gt;&lt;/EndNote&gt;</w:instrText>
      </w:r>
      <w:r w:rsidR="00B80E3A">
        <w:fldChar w:fldCharType="separate"/>
      </w:r>
      <w:r w:rsidR="00B80E3A" w:rsidRPr="00B80E3A">
        <w:rPr>
          <w:noProof/>
          <w:vertAlign w:val="superscript"/>
        </w:rPr>
        <w:t>5</w:t>
      </w:r>
      <w:r w:rsidR="00B80E3A">
        <w:fldChar w:fldCharType="end"/>
      </w:r>
      <w:r>
        <w:t xml:space="preserve"> All rates are represented as the rate per 100,000 population unless stated otherwise.</w:t>
      </w:r>
    </w:p>
    <w:p w14:paraId="19B0F8E0" w14:textId="2B150EA4" w:rsidR="00EA4007" w:rsidRPr="00C977C6" w:rsidRDefault="00EA4007" w:rsidP="001D2466">
      <w:pPr>
        <w:pStyle w:val="Heading3"/>
      </w:pPr>
      <w:r w:rsidRPr="00C977C6">
        <w:t>Notes on interpretation</w:t>
      </w:r>
    </w:p>
    <w:p w14:paraId="02D30DF7" w14:textId="3EE859A0" w:rsidR="0032195C" w:rsidRDefault="00C14289" w:rsidP="00EA4007">
      <w:r>
        <w:t>Case notification</w:t>
      </w:r>
      <w:r w:rsidR="00310669">
        <w:t>s in t</w:t>
      </w:r>
      <w:r w:rsidR="0032195C">
        <w:t xml:space="preserve">his annual report </w:t>
      </w:r>
      <w:r w:rsidR="00310669">
        <w:t>are</w:t>
      </w:r>
      <w:r w:rsidR="006243ED">
        <w:t xml:space="preserve"> based </w:t>
      </w:r>
      <w:r w:rsidR="00D12C0A">
        <w:t>on</w:t>
      </w:r>
      <w:r w:rsidR="006243ED">
        <w:t xml:space="preserve"> </w:t>
      </w:r>
      <w:r w:rsidR="007B3CFC">
        <w:t>data from each state and territory, notified to the NNDSS</w:t>
      </w:r>
      <w:r w:rsidR="00C71967">
        <w:t>,</w:t>
      </w:r>
      <w:r w:rsidR="005057BD">
        <w:t xml:space="preserve"> and extracted on 5 March 2025. </w:t>
      </w:r>
      <w:r w:rsidR="007D004C" w:rsidRPr="007D004C">
        <w:t>Due to the dynamic nature of surveillance data, data in this report may vary from data reported in other national reports, including the NNDSS annual reports</w:t>
      </w:r>
      <w:r w:rsidR="00125FD5">
        <w:t>,</w:t>
      </w:r>
      <w:r w:rsidR="007D004C" w:rsidRPr="007D004C">
        <w:t xml:space="preserve"> or </w:t>
      </w:r>
      <w:r w:rsidR="00125FD5">
        <w:t>other</w:t>
      </w:r>
      <w:r w:rsidR="007D004C" w:rsidRPr="007D004C">
        <w:t xml:space="preserve"> state and territor</w:t>
      </w:r>
      <w:r w:rsidR="00125FD5">
        <w:t>y reports.</w:t>
      </w:r>
    </w:p>
    <w:p w14:paraId="1682FD90" w14:textId="227A1188" w:rsidR="00EA4007" w:rsidRDefault="00EA4007" w:rsidP="00EA4007">
      <w:r>
        <w:t>Analyses in this report were based on the date of disease diagnosis</w:t>
      </w:r>
      <w:r w:rsidR="00637427">
        <w:t xml:space="preserve"> </w:t>
      </w:r>
      <w:r w:rsidR="0072039E">
        <w:t>variable</w:t>
      </w:r>
      <w:r>
        <w:t>. The date of diagnosis</w:t>
      </w:r>
      <w:r w:rsidR="00637427">
        <w:t xml:space="preserve"> </w:t>
      </w:r>
      <w:r w:rsidR="0072039E">
        <w:t>variable</w:t>
      </w:r>
      <w:r>
        <w:t xml:space="preserve"> for most diseases is the </w:t>
      </w:r>
      <w:r w:rsidR="008414D2">
        <w:t xml:space="preserve">true </w:t>
      </w:r>
      <w:r>
        <w:t>onset date</w:t>
      </w:r>
      <w:r w:rsidR="00402C31">
        <w:t xml:space="preserve"> </w:t>
      </w:r>
      <w:r w:rsidR="0072039E">
        <w:t>variable for</w:t>
      </w:r>
      <w:r w:rsidR="00284D5E">
        <w:t xml:space="preserve"> a </w:t>
      </w:r>
      <w:r w:rsidR="0072039E">
        <w:t xml:space="preserve">notified </w:t>
      </w:r>
      <w:r w:rsidR="00284D5E">
        <w:t xml:space="preserve">case if known, otherwise it is the earliest </w:t>
      </w:r>
      <w:r>
        <w:t xml:space="preserve">of the following dates: the specimen collection date; the notification date; or the notification received date. </w:t>
      </w:r>
      <w:r w:rsidR="00A67F75">
        <w:br/>
      </w:r>
      <w:r w:rsidR="00C74FCC">
        <w:t xml:space="preserve">In the NNDSS: </w:t>
      </w:r>
    </w:p>
    <w:p w14:paraId="702955FC" w14:textId="267F5B39" w:rsidR="007E7FA6" w:rsidRPr="001D2466" w:rsidRDefault="007E7FA6" w:rsidP="001D2466">
      <w:pPr>
        <w:pStyle w:val="ListBullet"/>
      </w:pPr>
      <w:r>
        <w:t>t</w:t>
      </w:r>
      <w:r w:rsidRPr="007E7FA6">
        <w:t xml:space="preserve">rue </w:t>
      </w:r>
      <w:r w:rsidRPr="001D2466">
        <w:t>onset date represents</w:t>
      </w:r>
      <w:r w:rsidR="008D4740" w:rsidRPr="001D2466">
        <w:t>, or approximates,</w:t>
      </w:r>
      <w:r w:rsidRPr="001D2466">
        <w:t xml:space="preserve"> the earliest date the case exhibited symptoms</w:t>
      </w:r>
    </w:p>
    <w:p w14:paraId="7CD48B58" w14:textId="4180AAF4" w:rsidR="007E7FA6" w:rsidRPr="001D2466" w:rsidRDefault="007E7FA6" w:rsidP="001D2466">
      <w:pPr>
        <w:pStyle w:val="ListBullet"/>
      </w:pPr>
      <w:r w:rsidRPr="001D2466">
        <w:t xml:space="preserve">specimen date represents the date when the first laboratory specimen was taken </w:t>
      </w:r>
    </w:p>
    <w:p w14:paraId="00F2B744" w14:textId="584A7639" w:rsidR="007E7FA6" w:rsidRPr="001D2466" w:rsidRDefault="007E7FA6" w:rsidP="001D2466">
      <w:pPr>
        <w:pStyle w:val="ListBullet"/>
      </w:pPr>
      <w:r w:rsidRPr="001D2466">
        <w:t>notification date represents the date when a health professional signed the notification form, or the laboratory issued the results</w:t>
      </w:r>
    </w:p>
    <w:p w14:paraId="64174B49" w14:textId="37B4EA59" w:rsidR="00C74FCC" w:rsidRDefault="007E7FA6" w:rsidP="001D2466">
      <w:pPr>
        <w:pStyle w:val="ListBullet"/>
      </w:pPr>
      <w:r w:rsidRPr="001D2466">
        <w:t>notification received date represents the date the notification of the disease was first received by the communicable</w:t>
      </w:r>
      <w:r w:rsidRPr="007E7FA6">
        <w:t xml:space="preserve"> disease section of the health authority.</w:t>
      </w:r>
    </w:p>
    <w:p w14:paraId="6E656838" w14:textId="521C52FB" w:rsidR="00A048BA" w:rsidRPr="000E02DC" w:rsidRDefault="00D836FD" w:rsidP="000E02DC">
      <w:r w:rsidRPr="00D836FD">
        <w:t xml:space="preserve">When referring to </w:t>
      </w:r>
      <w:r>
        <w:t xml:space="preserve">the </w:t>
      </w:r>
      <w:r w:rsidRPr="00D836FD">
        <w:t>NNDSS notification data throughout the report, the term</w:t>
      </w:r>
      <w:r>
        <w:t>s</w:t>
      </w:r>
      <w:r w:rsidRPr="00D836FD">
        <w:t xml:space="preserve"> ‘cases’ or ‘notified cases’ are used to identify individuals for whom ‘notification’ of a condition has been received by </w:t>
      </w:r>
      <w:r>
        <w:t xml:space="preserve">the </w:t>
      </w:r>
      <w:r w:rsidRPr="00D836FD">
        <w:t xml:space="preserve">NNDSS. These </w:t>
      </w:r>
      <w:r>
        <w:t>notified cases</w:t>
      </w:r>
      <w:r w:rsidRPr="00D836FD">
        <w:t xml:space="preserve"> can only represent a proportion (the ‘notified fraction’) of the total incidence </w:t>
      </w:r>
      <w:r w:rsidR="0D6615A9">
        <w:t>of a disease in the community</w:t>
      </w:r>
      <w:r>
        <w:t xml:space="preserve"> </w:t>
      </w:r>
      <w:r w:rsidRPr="00D836FD">
        <w:t xml:space="preserve">(Figure 1) and this </w:t>
      </w:r>
      <w:proofErr w:type="gramStart"/>
      <w:r w:rsidRPr="00D836FD">
        <w:t>has to</w:t>
      </w:r>
      <w:proofErr w:type="gramEnd"/>
      <w:r w:rsidRPr="00D836FD">
        <w:t xml:space="preserve"> be </w:t>
      </w:r>
      <w:r w:rsidR="000D4248" w:rsidRPr="00D836FD">
        <w:t>considered</w:t>
      </w:r>
      <w:r w:rsidRPr="00D836FD">
        <w:t xml:space="preserve"> when interpreting NNDSS </w:t>
      </w:r>
      <w:r w:rsidR="0043510B">
        <w:t xml:space="preserve">notification </w:t>
      </w:r>
      <w:r w:rsidRPr="00D836FD">
        <w:t>data.</w:t>
      </w:r>
      <w:r w:rsidR="00BC34F3">
        <w:t xml:space="preserve"> T</w:t>
      </w:r>
      <w:r w:rsidR="00BC34F3" w:rsidRPr="00BC34F3">
        <w:t>he notified fraction varies by jurisdiction, over time, and by disease.</w:t>
      </w:r>
      <w:r w:rsidR="006A32D2">
        <w:t xml:space="preserve"> This caveat is particularly relevant to acute </w:t>
      </w:r>
      <w:r w:rsidR="00234354">
        <w:t>respiratory</w:t>
      </w:r>
      <w:r w:rsidR="006A32D2">
        <w:t xml:space="preserve"> infections</w:t>
      </w:r>
      <w:r w:rsidR="00234354">
        <w:t xml:space="preserve">, many of which are now tested by a rapid antigen test (RAT), for which positive results are not notified to a health </w:t>
      </w:r>
      <w:r w:rsidR="0007336D">
        <w:t>authority and</w:t>
      </w:r>
      <w:r w:rsidR="00234354">
        <w:t xml:space="preserve"> there</w:t>
      </w:r>
      <w:r w:rsidR="005A4C92">
        <w:t xml:space="preserve">fore </w:t>
      </w:r>
      <w:r w:rsidR="15DAD50F">
        <w:t xml:space="preserve">are </w:t>
      </w:r>
      <w:r w:rsidR="005A4C92">
        <w:t xml:space="preserve">not notified to the NNDSS. </w:t>
      </w:r>
      <w:r w:rsidR="00766B28">
        <w:t xml:space="preserve">This means that </w:t>
      </w:r>
      <w:r w:rsidR="00E74132">
        <w:t xml:space="preserve">only a fraction of acute respiratory infections </w:t>
      </w:r>
      <w:proofErr w:type="gramStart"/>
      <w:r w:rsidR="00E74132">
        <w:t>are</w:t>
      </w:r>
      <w:proofErr w:type="gramEnd"/>
      <w:r w:rsidR="00E74132">
        <w:t xml:space="preserve"> notified to the NNDSS and included in this annual report.</w:t>
      </w:r>
    </w:p>
    <w:p w14:paraId="16A31727" w14:textId="1FD6C4F9" w:rsidR="00A715E6" w:rsidRPr="00073977" w:rsidRDefault="0019761A" w:rsidP="00DB4AAD">
      <w:pPr>
        <w:spacing w:before="0" w:after="0"/>
      </w:pPr>
      <w:r w:rsidRPr="00073977">
        <w:rPr>
          <w:b/>
          <w:bCs/>
        </w:rPr>
        <w:t>Figure 1: Communicable diseases notifiable fraction</w:t>
      </w:r>
    </w:p>
    <w:p w14:paraId="2049840F" w14:textId="23A843CC" w:rsidR="00F158DD" w:rsidRDefault="00073977" w:rsidP="00DB4AAD">
      <w:pPr>
        <w:pStyle w:val="BodyText"/>
        <w:spacing w:before="0" w:after="0"/>
        <w:rPr>
          <w:highlight w:val="yellow"/>
        </w:rPr>
      </w:pPr>
      <w:r>
        <w:rPr>
          <w:noProof/>
        </w:rPr>
        <w:drawing>
          <wp:inline distT="0" distB="0" distL="0" distR="0" wp14:anchorId="500A9002" wp14:editId="7DAF908E">
            <wp:extent cx="5718395" cy="2997421"/>
            <wp:effectExtent l="0" t="0" r="0" b="0"/>
            <wp:docPr id="117" name="Picture 117"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10;"/>
                    <pic:cNvPicPr>
                      <a:picLocks noChangeAspect="1" noChangeArrowheads="1"/>
                    </pic:cNvPicPr>
                  </pic:nvPicPr>
                  <pic:blipFill rotWithShape="1">
                    <a:blip r:embed="rId13">
                      <a:extLst>
                        <a:ext uri="{28A0092B-C50C-407E-A947-70E740481C1C}">
                          <a14:useLocalDpi xmlns:a14="http://schemas.microsoft.com/office/drawing/2010/main" val="0"/>
                        </a:ext>
                      </a:extLst>
                    </a:blip>
                    <a:srcRect t="4418" b="3050"/>
                    <a:stretch/>
                  </pic:blipFill>
                  <pic:spPr bwMode="auto">
                    <a:xfrm>
                      <a:off x="0" y="0"/>
                      <a:ext cx="5719581" cy="2998042"/>
                    </a:xfrm>
                    <a:prstGeom prst="rect">
                      <a:avLst/>
                    </a:prstGeom>
                    <a:ln>
                      <a:noFill/>
                    </a:ln>
                    <a:extLst>
                      <a:ext uri="{53640926-AAD7-44D8-BBD7-CCE9431645EC}">
                        <a14:shadowObscured xmlns:a14="http://schemas.microsoft.com/office/drawing/2010/main"/>
                      </a:ext>
                    </a:extLst>
                  </pic:spPr>
                </pic:pic>
              </a:graphicData>
            </a:graphic>
          </wp:inline>
        </w:drawing>
      </w:r>
    </w:p>
    <w:p w14:paraId="052CE83E" w14:textId="261E0856" w:rsidR="00D50447" w:rsidRDefault="007841E4" w:rsidP="00D50447">
      <w:pPr>
        <w:pStyle w:val="BodyText"/>
      </w:pPr>
      <w:r w:rsidRPr="007841E4">
        <w:lastRenderedPageBreak/>
        <w:t xml:space="preserve">The completeness and reliability of </w:t>
      </w:r>
      <w:proofErr w:type="gramStart"/>
      <w:r w:rsidRPr="007841E4">
        <w:t xml:space="preserve">particular </w:t>
      </w:r>
      <w:r w:rsidR="00D569CF">
        <w:t>data</w:t>
      </w:r>
      <w:proofErr w:type="gramEnd"/>
      <w:r w:rsidR="00D569CF">
        <w:t xml:space="preserve"> fields</w:t>
      </w:r>
      <w:r w:rsidRPr="007841E4">
        <w:t xml:space="preserve"> such as Indigenous status, </w:t>
      </w:r>
      <w:r w:rsidR="0065074B" w:rsidRPr="0065074B">
        <w:t>hospitalisation or immunisation status</w:t>
      </w:r>
      <w:r w:rsidR="0065074B">
        <w:t>,</w:t>
      </w:r>
      <w:r w:rsidRPr="007841E4">
        <w:t xml:space="preserve"> or deaths</w:t>
      </w:r>
      <w:r w:rsidR="004A301A">
        <w:t xml:space="preserve"> status</w:t>
      </w:r>
      <w:r w:rsidRPr="007841E4">
        <w:t xml:space="preserve"> has varied </w:t>
      </w:r>
      <w:r w:rsidR="00105C2A">
        <w:t>over time</w:t>
      </w:r>
      <w:r w:rsidRPr="007841E4">
        <w:t xml:space="preserve">. This is because these </w:t>
      </w:r>
      <w:r w:rsidR="00D569CF">
        <w:t xml:space="preserve">data fields </w:t>
      </w:r>
      <w:r w:rsidRPr="007841E4">
        <w:t>are sourced in different ways by state and territories based on their local surveillance system capabilities, definitions, priorities, and needs.</w:t>
      </w:r>
      <w:r w:rsidR="00D569CF">
        <w:t xml:space="preserve"> These indicators are</w:t>
      </w:r>
      <w:r w:rsidR="00D50447" w:rsidRPr="00D94D94">
        <w:t xml:space="preserve"> usually obtained from clinical notifications, and completeness varies by disease</w:t>
      </w:r>
      <w:r w:rsidR="005B0BA6">
        <w:t>,</w:t>
      </w:r>
      <w:r w:rsidR="00D50447" w:rsidRPr="00D94D94">
        <w:t xml:space="preserve"> and by state </w:t>
      </w:r>
      <w:r w:rsidR="002D1EDD">
        <w:t>and</w:t>
      </w:r>
      <w:r w:rsidR="00D50447" w:rsidRPr="00D94D94">
        <w:t xml:space="preserve"> territory. This reflects differences in notification requirements (e.g.</w:t>
      </w:r>
      <w:r w:rsidR="00A629D5">
        <w:t>,</w:t>
      </w:r>
      <w:r w:rsidR="00D50447" w:rsidRPr="00D94D94">
        <w:t xml:space="preserve"> depending on the jurisdiction, some diseases are primarily or completely notified by pathology laboratories rather than clinicians) and the fact that it is not possible to follow up all cases for diseases with a large volume of notifications and/or not requiring specific case-based public health action.</w:t>
      </w:r>
    </w:p>
    <w:p w14:paraId="338E4450" w14:textId="7A4A2635" w:rsidR="0080057D" w:rsidRDefault="00EA3B81" w:rsidP="00CA49D5">
      <w:pPr>
        <w:pStyle w:val="BodyText"/>
      </w:pPr>
      <w:r w:rsidRPr="00EA3B81">
        <w:t xml:space="preserve">In 2009, </w:t>
      </w:r>
      <w:r w:rsidR="00FA245A" w:rsidRPr="00FA245A">
        <w:t>Communicable Diseases Network Australia (CDNA)</w:t>
      </w:r>
      <w:r w:rsidRPr="00EA3B81">
        <w:t xml:space="preserve"> set </w:t>
      </w:r>
      <w:r w:rsidR="00354ECC">
        <w:t xml:space="preserve">Indigenous status </w:t>
      </w:r>
      <w:r w:rsidRPr="00EA3B81">
        <w:t>target thresholds of 95% completeness for 18 priority diseases and 80% completeness for the remainder of the notifiable diseases</w:t>
      </w:r>
      <w:r w:rsidR="004754C0">
        <w:t xml:space="preserve"> (including influenza)</w:t>
      </w:r>
      <w:r w:rsidRPr="00EA3B81">
        <w:t xml:space="preserve"> as part of its ‘Closing the Gap’ strategy.</w:t>
      </w:r>
      <w:r>
        <w:t xml:space="preserve"> </w:t>
      </w:r>
      <w:r w:rsidR="003252B9">
        <w:t xml:space="preserve">The </w:t>
      </w:r>
      <w:r w:rsidR="009A63C7">
        <w:t xml:space="preserve">Indigenous status </w:t>
      </w:r>
      <w:r w:rsidR="003252B9">
        <w:t>target thresholds</w:t>
      </w:r>
      <w:r w:rsidR="008973BB">
        <w:t xml:space="preserve"> for data completeness</w:t>
      </w:r>
      <w:r w:rsidR="003252B9">
        <w:t xml:space="preserve"> have not been reviewed since COVID-19 and RSV became nationally notifiable</w:t>
      </w:r>
      <w:r w:rsidR="00896EFD">
        <w:t>.</w:t>
      </w:r>
    </w:p>
    <w:p w14:paraId="7B25ACFB" w14:textId="571E420C" w:rsidR="00CA49D5" w:rsidRDefault="00CA49D5" w:rsidP="00CA49D5">
      <w:pPr>
        <w:pStyle w:val="BodyText"/>
      </w:pPr>
      <w:r>
        <w:t>The Indigenous status data completeness was assessed</w:t>
      </w:r>
      <w:r w:rsidR="00BA7263">
        <w:t xml:space="preserve">, </w:t>
      </w:r>
      <w:r>
        <w:t>reported as the proportion of complete notifications</w:t>
      </w:r>
      <w:r w:rsidR="0083748D">
        <w:t>,</w:t>
      </w:r>
      <w:r w:rsidR="00BA7263">
        <w:t xml:space="preserve"> and </w:t>
      </w:r>
      <w:r>
        <w:t xml:space="preserve">is summarised in </w:t>
      </w:r>
      <w:r w:rsidR="004D29F9">
        <w:t>Table 1</w:t>
      </w:r>
      <w:r>
        <w:t>.</w:t>
      </w:r>
      <w:r w:rsidR="0078676F">
        <w:t xml:space="preserve"> </w:t>
      </w:r>
      <w:r>
        <w:t>The percentage of data completeness was defined as:</w:t>
      </w:r>
    </w:p>
    <w:p w14:paraId="6F6A08E6" w14:textId="2F414E56" w:rsidR="00CA49D5" w:rsidRPr="00BA7263" w:rsidRDefault="00BA7263" w:rsidP="005B0BA6">
      <w:pPr>
        <w:pStyle w:val="BodyText"/>
        <w:spacing w:line="240" w:lineRule="auto"/>
      </w:pPr>
      <m:oMathPara>
        <m:oMath>
          <m:r>
            <w:rPr>
              <w:rFonts w:ascii="Cambria Math" w:hAnsi="Cambria Math"/>
            </w:rPr>
            <m:t>Percentage of data completeness = (total notifications – missing or unknown) / total notifications × 100</m:t>
          </m:r>
        </m:oMath>
      </m:oMathPara>
    </w:p>
    <w:p w14:paraId="51E4592A" w14:textId="4CC3735E" w:rsidR="00CA49D5" w:rsidRDefault="00CA49D5" w:rsidP="00CA49D5">
      <w:pPr>
        <w:pStyle w:val="BodyText"/>
      </w:pPr>
      <w:r>
        <w:t>Indigenous status was defined by the following nationally accepted criteria:</w:t>
      </w:r>
      <w:r w:rsidR="005F77FE">
        <w:fldChar w:fldCharType="begin"/>
      </w:r>
      <w:r w:rsidR="00112725">
        <w:instrText xml:space="preserve"> ADDIN EN.CITE &lt;EndNote&gt;&lt;Cite ExcludeYear="1"&gt;&lt;Author&gt;Australian Institute of Health and Welfare&lt;/Author&gt;&lt;RecNum&gt;2813&lt;/RecNum&gt;&lt;DisplayText&gt;&lt;style face="superscript"&gt;6&lt;/style&gt;&lt;/DisplayText&gt;&lt;record&gt;&lt;rec-number&gt;2813&lt;/rec-number&gt;&lt;foreign-keys&gt;&lt;key app="EN" db-id="ptaw2s0tmse5w0exvrh5d2vpdtxat2eaaazf" timestamp="1742518023"&gt;2813&lt;/key&gt;&lt;/foreign-keys&gt;&lt;ref-type name="Web Page"&gt;12&lt;/ref-type&gt;&lt;contributors&gt;&lt;authors&gt;&lt;author&gt;Australian Institute of Health and Welfare, &lt;/author&gt;&lt;/authors&gt;&lt;/contributors&gt;&lt;titles&gt;&lt;title&gt;Person—Indigenous status, code N; Identifying and definitional attributes&lt;/title&gt;&lt;/titles&gt;&lt;dates&gt;&lt;/dates&gt;&lt;pub-location&gt;Canberra&lt;/pub-location&gt;&lt;publisher&gt;Australian Institute of Health and Welfare&lt;/publisher&gt;&lt;work-type&gt;Internet&lt;/work-type&gt;&lt;urls&gt;&lt;related-urls&gt;&lt;url&gt;https://meteor.aihw.gov.au/content/602543&lt;/url&gt;&lt;/related-urls&gt;&lt;/urls&gt;&lt;/record&gt;&lt;/Cite&gt;&lt;/EndNote&gt;</w:instrText>
      </w:r>
      <w:r w:rsidR="005F77FE">
        <w:fldChar w:fldCharType="separate"/>
      </w:r>
      <w:r w:rsidR="00B80E3A" w:rsidRPr="00B80E3A">
        <w:rPr>
          <w:noProof/>
          <w:vertAlign w:val="superscript"/>
        </w:rPr>
        <w:t>6</w:t>
      </w:r>
      <w:r w:rsidR="005F77FE">
        <w:fldChar w:fldCharType="end"/>
      </w:r>
    </w:p>
    <w:p w14:paraId="403D729B" w14:textId="77777777" w:rsidR="00CA49D5" w:rsidRDefault="00CA49D5" w:rsidP="005B0BA6">
      <w:pPr>
        <w:pStyle w:val="BodyText"/>
        <w:spacing w:line="240" w:lineRule="auto"/>
      </w:pPr>
      <w:r>
        <w:t xml:space="preserve">1 = Indigenous – (Aboriginal but not Torres Strait Islander origin) </w:t>
      </w:r>
    </w:p>
    <w:p w14:paraId="10626FB1" w14:textId="77777777" w:rsidR="00CA49D5" w:rsidRDefault="00CA49D5" w:rsidP="005B0BA6">
      <w:pPr>
        <w:pStyle w:val="BodyText"/>
        <w:spacing w:line="240" w:lineRule="auto"/>
      </w:pPr>
      <w:r>
        <w:t xml:space="preserve">2 = Indigenous – (Torres Strait Islander but not Aboriginal origin) </w:t>
      </w:r>
    </w:p>
    <w:p w14:paraId="2B638270" w14:textId="77777777" w:rsidR="00CA49D5" w:rsidRDefault="00CA49D5" w:rsidP="005B0BA6">
      <w:pPr>
        <w:pStyle w:val="BodyText"/>
        <w:spacing w:line="240" w:lineRule="auto"/>
      </w:pPr>
      <w:r>
        <w:t xml:space="preserve">3 = Indigenous – (Aboriginal and Torres Strait Islander origin) </w:t>
      </w:r>
    </w:p>
    <w:p w14:paraId="238FD1D0" w14:textId="77777777" w:rsidR="00CA49D5" w:rsidRDefault="00CA49D5" w:rsidP="005B0BA6">
      <w:pPr>
        <w:pStyle w:val="BodyText"/>
        <w:spacing w:line="240" w:lineRule="auto"/>
      </w:pPr>
      <w:r>
        <w:t xml:space="preserve">4 = Not Indigenous – (not Aboriginal or Torres Strait Islander origin) </w:t>
      </w:r>
    </w:p>
    <w:p w14:paraId="5F70EB35" w14:textId="77777777" w:rsidR="00CA49D5" w:rsidRDefault="00CA49D5" w:rsidP="005B0BA6">
      <w:pPr>
        <w:pStyle w:val="BodyText"/>
        <w:spacing w:line="240" w:lineRule="auto"/>
      </w:pPr>
      <w:r>
        <w:t>9 = Not stated</w:t>
      </w:r>
    </w:p>
    <w:p w14:paraId="46F79962" w14:textId="093DB012" w:rsidR="007D6EE5" w:rsidRPr="000E02DC" w:rsidRDefault="0083748D" w:rsidP="000E02DC">
      <w:pPr>
        <w:pStyle w:val="BodyText"/>
      </w:pPr>
      <w:r w:rsidRPr="0083748D">
        <w:t xml:space="preserve">As this </w:t>
      </w:r>
      <w:r>
        <w:t>assessment</w:t>
      </w:r>
      <w:r w:rsidRPr="0083748D">
        <w:t xml:space="preserve"> of completeness relates to the ability </w:t>
      </w:r>
      <w:r w:rsidR="00D034B7">
        <w:t xml:space="preserve">of the data </w:t>
      </w:r>
      <w:r w:rsidRPr="0083748D">
        <w:t xml:space="preserve">to describe </w:t>
      </w:r>
      <w:r w:rsidR="0041507A">
        <w:t>the</w:t>
      </w:r>
      <w:r w:rsidRPr="0083748D">
        <w:t xml:space="preserve"> characteristics of notified cases, ‘Unknown’ or ‘Not stated’ responses were </w:t>
      </w:r>
      <w:r w:rsidR="00CE00FE">
        <w:t>considered incomplete</w:t>
      </w:r>
      <w:r w:rsidRPr="0083748D">
        <w:t>.</w:t>
      </w:r>
    </w:p>
    <w:p w14:paraId="16A31729" w14:textId="5A15A733" w:rsidR="00A715E6" w:rsidRPr="007F1986" w:rsidRDefault="0019761A" w:rsidP="0083748D">
      <w:pPr>
        <w:pStyle w:val="BodyText"/>
        <w:spacing w:line="240" w:lineRule="auto"/>
      </w:pPr>
      <w:r w:rsidRPr="007F1986">
        <w:rPr>
          <w:b/>
          <w:bCs/>
        </w:rPr>
        <w:t>Table 1: Indigenous status</w:t>
      </w:r>
      <w:r w:rsidR="000820BB">
        <w:rPr>
          <w:b/>
          <w:bCs/>
        </w:rPr>
        <w:t xml:space="preserve"> </w:t>
      </w:r>
      <w:r w:rsidR="00A13A99">
        <w:rPr>
          <w:b/>
          <w:bCs/>
        </w:rPr>
        <w:t xml:space="preserve">percentage of </w:t>
      </w:r>
      <w:r w:rsidR="000820BB">
        <w:rPr>
          <w:b/>
          <w:bCs/>
        </w:rPr>
        <w:t>data completeness</w:t>
      </w:r>
      <w:r w:rsidRPr="007F1986">
        <w:rPr>
          <w:b/>
          <w:bCs/>
        </w:rPr>
        <w:t xml:space="preserve"> </w:t>
      </w:r>
      <w:r w:rsidR="00EE1250" w:rsidRPr="007F1986">
        <w:rPr>
          <w:b/>
          <w:bCs/>
        </w:rPr>
        <w:t xml:space="preserve">in </w:t>
      </w:r>
      <w:r w:rsidR="00E64B92">
        <w:rPr>
          <w:b/>
          <w:bCs/>
        </w:rPr>
        <w:t xml:space="preserve">laboratory-confirmed </w:t>
      </w:r>
      <w:r w:rsidR="00EE1250" w:rsidRPr="007F1986">
        <w:rPr>
          <w:b/>
          <w:bCs/>
        </w:rPr>
        <w:t>notified</w:t>
      </w:r>
      <w:r w:rsidRPr="007F1986">
        <w:rPr>
          <w:b/>
          <w:bCs/>
        </w:rPr>
        <w:t xml:space="preserve"> cases by diagnosis date, Australia, </w:t>
      </w:r>
      <w:r w:rsidR="007F1986" w:rsidRPr="007F1986">
        <w:rPr>
          <w:b/>
          <w:bCs/>
        </w:rPr>
        <w:t xml:space="preserve">1 January </w:t>
      </w:r>
      <w:r w:rsidRPr="007F1986">
        <w:rPr>
          <w:b/>
          <w:bCs/>
        </w:rPr>
        <w:t xml:space="preserve">2022 to </w:t>
      </w:r>
      <w:r w:rsidR="007F1986" w:rsidRPr="007F1986">
        <w:rPr>
          <w:b/>
          <w:bCs/>
        </w:rPr>
        <w:t xml:space="preserve">31 December </w:t>
      </w:r>
      <w:r w:rsidRPr="007F1986">
        <w:rPr>
          <w:b/>
          <w:bCs/>
        </w:rPr>
        <w:t>2024</w:t>
      </w:r>
    </w:p>
    <w:tbl>
      <w:tblPr>
        <w:tblW w:w="5000" w:type="pct"/>
        <w:jc w:val="center"/>
        <w:tblLook w:val="0420" w:firstRow="1" w:lastRow="0" w:firstColumn="0" w:lastColumn="0" w:noHBand="0" w:noVBand="1"/>
        <w:tblDescription w:val="A table summarising laboratory-confirmed notified cases of COVID-19, influenza and RSV and Indigenous status data completeness by year, for cases with a diagnosis date from 1 January 2022 to 31 December 2024. In 2022, there were 4,632,556 COVID-19 cases and the percentage of data completeness for Indigenous status was 84.9%. In 2023, there were 341,646 COVID-19 cases and the percentage of data completeness for Indigenous status was 66.0%. In 2024, 302,250 COVID-19 cases and the percentage of data completeness for Indigenous status was 58.2%. In 2022, there were 233,455 influenza cases and the percentage of data completeness for Indigenous status was 53.6%. In 2023, there were 289,154 influenza cases and the percentage of data completeness for Indigenous status was 56.3%. In 2024, 365,589 influenza cases and the percentage of data completeness for Indigenous status was 52.3%. In 2022, there were 95,960 RSV cases and the percentage of data completeness for Indigenous status was 37.9%. In 2023, there were 128,123 RSV cases and the percentage of data completeness for Indigenous status was 51.1%. In 2024, 175,918 RSV cases and the percentage of data completeness for Indigenous status was 47.8%."/>
      </w:tblPr>
      <w:tblGrid>
        <w:gridCol w:w="5148"/>
        <w:gridCol w:w="1700"/>
        <w:gridCol w:w="1452"/>
        <w:gridCol w:w="1452"/>
      </w:tblGrid>
      <w:tr w:rsidR="00583447" w:rsidRPr="00BA61E6" w14:paraId="16A3172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A" w14:textId="53BEB97B" w:rsidR="00A715E6" w:rsidRPr="00BA61E6"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B"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C"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2D" w14:textId="77777777" w:rsidR="00A715E6" w:rsidRPr="00BA61E6" w:rsidRDefault="0019761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BA61E6">
              <w:rPr>
                <w:rFonts w:eastAsia="Arial" w:cs="Arial"/>
                <w:b/>
                <w:color w:val="033636"/>
                <w:sz w:val="16"/>
                <w:szCs w:val="16"/>
              </w:rPr>
              <w:t>2024</w:t>
            </w:r>
          </w:p>
        </w:tc>
      </w:tr>
      <w:tr w:rsidR="00583447" w:rsidRPr="0071772C" w14:paraId="16A31733" w14:textId="77777777" w:rsidTr="0071772C">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2F" w14:textId="6E1FF752" w:rsidR="00A715E6" w:rsidRPr="0071772C" w:rsidRDefault="00ED597B"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sidRPr="0071772C">
              <w:rPr>
                <w:rFonts w:eastAsia="Arial" w:cs="Arial"/>
                <w:b/>
                <w:bCs/>
                <w:color w:val="033636"/>
                <w:sz w:val="16"/>
                <w:szCs w:val="16"/>
              </w:rPr>
              <w:t>COVID</w:t>
            </w:r>
            <w:r w:rsidR="0071772C" w:rsidRPr="0071772C">
              <w:rPr>
                <w:rFonts w:eastAsia="Arial" w:cs="Arial"/>
                <w:b/>
                <w:bCs/>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0" w14:textId="315E9F1B"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1" w14:textId="334D23AE"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A31732" w14:textId="3847BDE7" w:rsidR="00A715E6" w:rsidRPr="0071772C" w:rsidRDefault="00A715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4CE551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92EDD" w14:textId="0DF1FEC9" w:rsidR="00BA61E6"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7BF82" w14:textId="1D29BEE1" w:rsidR="00BA61E6" w:rsidRPr="00BA61E6" w:rsidRDefault="005E0E61"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E0E61">
              <w:rPr>
                <w:rFonts w:eastAsia="Arial" w:cs="Arial"/>
                <w:color w:val="033636"/>
                <w:sz w:val="16"/>
                <w:szCs w:val="16"/>
              </w:rPr>
              <w:t>4,632,556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AB54C" w14:textId="2C928C13" w:rsidR="00BA61E6" w:rsidRPr="00BA61E6" w:rsidRDefault="00031C04"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031C04">
              <w:rPr>
                <w:rFonts w:eastAsia="Arial" w:cs="Arial"/>
                <w:color w:val="033636"/>
                <w:sz w:val="16"/>
                <w:szCs w:val="16"/>
              </w:rPr>
              <w:t>341,646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19DAA1" w14:textId="28604B56" w:rsidR="00BA61E6" w:rsidRPr="00BA61E6" w:rsidRDefault="00481EE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481EED">
              <w:rPr>
                <w:rFonts w:eastAsia="Arial" w:cs="Arial"/>
                <w:color w:val="033636"/>
                <w:sz w:val="16"/>
                <w:szCs w:val="16"/>
              </w:rPr>
              <w:t>302,250</w:t>
            </w:r>
          </w:p>
        </w:tc>
      </w:tr>
      <w:tr w:rsidR="00583447" w:rsidRPr="00BA61E6" w14:paraId="1056E7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9394C" w14:textId="32E2C89E" w:rsidR="0071772C"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7D920" w14:textId="0BBC398E" w:rsidR="0071772C" w:rsidRPr="00BA61E6" w:rsidRDefault="00E64B92"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64B92">
              <w:rPr>
                <w:rFonts w:eastAsia="Arial" w:cs="Arial"/>
                <w:color w:val="033636"/>
                <w:sz w:val="16"/>
                <w:szCs w:val="16"/>
              </w:rPr>
              <w:t>700</w:t>
            </w:r>
            <w:r>
              <w:rPr>
                <w:rFonts w:eastAsia="Arial" w:cs="Arial"/>
                <w:color w:val="033636"/>
                <w:sz w:val="16"/>
                <w:szCs w:val="16"/>
              </w:rPr>
              <w:t>,</w:t>
            </w:r>
            <w:r w:rsidRPr="00E64B92">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17A29" w14:textId="2689DCCF" w:rsidR="0071772C" w:rsidRPr="00BA61E6" w:rsidRDefault="00814E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14E9D">
              <w:rPr>
                <w:rFonts w:eastAsia="Arial" w:cs="Arial"/>
                <w:color w:val="033636"/>
                <w:sz w:val="16"/>
                <w:szCs w:val="16"/>
              </w:rPr>
              <w:t>116</w:t>
            </w:r>
            <w:r>
              <w:rPr>
                <w:rFonts w:eastAsia="Arial" w:cs="Arial"/>
                <w:color w:val="033636"/>
                <w:sz w:val="16"/>
                <w:szCs w:val="16"/>
              </w:rPr>
              <w:t>,</w:t>
            </w:r>
            <w:r w:rsidRPr="00814E9D">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8796C" w14:textId="485B031F" w:rsidR="0071772C" w:rsidRPr="00BA61E6" w:rsidRDefault="00814E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14E9D">
              <w:rPr>
                <w:rFonts w:eastAsia="Arial" w:cs="Arial"/>
                <w:color w:val="033636"/>
                <w:sz w:val="16"/>
                <w:szCs w:val="16"/>
              </w:rPr>
              <w:t>126</w:t>
            </w:r>
            <w:r>
              <w:rPr>
                <w:rFonts w:eastAsia="Arial" w:cs="Arial"/>
                <w:color w:val="033636"/>
                <w:sz w:val="16"/>
                <w:szCs w:val="16"/>
              </w:rPr>
              <w:t>,</w:t>
            </w:r>
            <w:r w:rsidRPr="00814E9D">
              <w:rPr>
                <w:rFonts w:eastAsia="Arial" w:cs="Arial"/>
                <w:color w:val="033636"/>
                <w:sz w:val="16"/>
                <w:szCs w:val="16"/>
              </w:rPr>
              <w:t>202</w:t>
            </w:r>
          </w:p>
        </w:tc>
      </w:tr>
      <w:tr w:rsidR="00583447" w:rsidRPr="00BA61E6" w14:paraId="468D5D79"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9127C" w14:textId="32C100B2" w:rsidR="00BA61E6"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70F98" w14:textId="77777777"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DE6F4" w14:textId="77777777"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1E2F9" w14:textId="37C39CF6" w:rsidR="00BA61E6" w:rsidRPr="00BD5738" w:rsidRDefault="00BA61E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BD5738">
              <w:rPr>
                <w:rFonts w:eastAsia="Arial" w:cs="Arial"/>
                <w:color w:val="033636"/>
                <w:sz w:val="16"/>
                <w:szCs w:val="16"/>
              </w:rPr>
              <w:t>5</w:t>
            </w:r>
            <w:r w:rsidR="004C373F" w:rsidRPr="00BD5738">
              <w:rPr>
                <w:rFonts w:eastAsia="Arial" w:cs="Arial"/>
                <w:color w:val="033636"/>
                <w:sz w:val="16"/>
                <w:szCs w:val="16"/>
              </w:rPr>
              <w:t>8</w:t>
            </w:r>
            <w:r w:rsidRPr="00BD5738">
              <w:rPr>
                <w:rFonts w:eastAsia="Arial" w:cs="Arial"/>
                <w:color w:val="033636"/>
                <w:sz w:val="16"/>
                <w:szCs w:val="16"/>
              </w:rPr>
              <w:t>.</w:t>
            </w:r>
            <w:r w:rsidR="00BD5738" w:rsidRPr="00BD5738">
              <w:rPr>
                <w:rFonts w:eastAsia="Arial" w:cs="Arial"/>
                <w:color w:val="033636"/>
                <w:sz w:val="16"/>
                <w:szCs w:val="16"/>
              </w:rPr>
              <w:t>2</w:t>
            </w:r>
            <w:r w:rsidRPr="00BD5738">
              <w:rPr>
                <w:rFonts w:eastAsia="Arial" w:cs="Arial"/>
                <w:color w:val="033636"/>
                <w:sz w:val="16"/>
                <w:szCs w:val="16"/>
              </w:rPr>
              <w:t>%</w:t>
            </w:r>
          </w:p>
        </w:tc>
      </w:tr>
      <w:tr w:rsidR="00583447" w:rsidRPr="0071772C" w14:paraId="36DD60E7"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0C5EBA4C" w14:textId="6160B752"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Pr>
                <w:rFonts w:eastAsia="Arial" w:cs="Arial"/>
                <w:b/>
                <w:bCs/>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91DB1DA"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33CD388"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F8BF25A"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20E458C5"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F6757" w14:textId="1244E42D"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C67EC" w14:textId="208137A2" w:rsidR="00583447" w:rsidRPr="00BA61E6" w:rsidRDefault="00017E32"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017E32">
              <w:rPr>
                <w:rFonts w:eastAsia="Arial" w:cs="Arial"/>
                <w:color w:val="033636"/>
                <w:sz w:val="16"/>
                <w:szCs w:val="16"/>
              </w:rPr>
              <w:t>233,455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B911D" w14:textId="4CEE035F" w:rsidR="00583447" w:rsidRPr="00BA61E6" w:rsidRDefault="00621033"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21033">
              <w:rPr>
                <w:rFonts w:eastAsia="Arial" w:cs="Arial"/>
                <w:color w:val="033636"/>
                <w:sz w:val="16"/>
                <w:szCs w:val="16"/>
              </w:rPr>
              <w:t>289,154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AF135" w14:textId="0BC0E9A7" w:rsidR="00583447" w:rsidRPr="00BA61E6" w:rsidRDefault="00D2499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D24995">
              <w:rPr>
                <w:rFonts w:eastAsia="Arial" w:cs="Arial"/>
                <w:color w:val="033636"/>
                <w:sz w:val="16"/>
                <w:szCs w:val="16"/>
              </w:rPr>
              <w:t>365,589</w:t>
            </w:r>
          </w:p>
        </w:tc>
      </w:tr>
      <w:tr w:rsidR="00481EED" w:rsidRPr="00BA61E6" w14:paraId="71743C7D"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736D9" w14:textId="77F2581A"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FF15B" w14:textId="1720BDA4" w:rsidR="00583447" w:rsidRPr="00BA61E6" w:rsidRDefault="0094116A"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94116A">
              <w:rPr>
                <w:rFonts w:eastAsia="Arial" w:cs="Arial"/>
                <w:color w:val="033636"/>
                <w:sz w:val="16"/>
                <w:szCs w:val="16"/>
              </w:rPr>
              <w:t>108</w:t>
            </w:r>
            <w:r>
              <w:rPr>
                <w:rFonts w:eastAsia="Arial" w:cs="Arial"/>
                <w:color w:val="033636"/>
                <w:sz w:val="16"/>
                <w:szCs w:val="16"/>
              </w:rPr>
              <w:t>,</w:t>
            </w:r>
            <w:r w:rsidRPr="0094116A">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B17AE" w14:textId="5405F752" w:rsidR="00583447" w:rsidRPr="00BA61E6" w:rsidRDefault="006F4B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F4B85">
              <w:rPr>
                <w:rFonts w:eastAsia="Arial" w:cs="Arial"/>
                <w:color w:val="033636"/>
                <w:sz w:val="16"/>
                <w:szCs w:val="16"/>
              </w:rPr>
              <w:t>126</w:t>
            </w:r>
            <w:r>
              <w:rPr>
                <w:rFonts w:eastAsia="Arial" w:cs="Arial"/>
                <w:color w:val="033636"/>
                <w:sz w:val="16"/>
                <w:szCs w:val="16"/>
              </w:rPr>
              <w:t>,</w:t>
            </w:r>
            <w:r w:rsidRPr="006F4B85">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8766E" w14:textId="2DC5F5BA" w:rsidR="00583447" w:rsidRPr="00BA61E6" w:rsidRDefault="006F4B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6F4B85">
              <w:rPr>
                <w:rFonts w:eastAsia="Arial" w:cs="Arial"/>
                <w:color w:val="033636"/>
                <w:sz w:val="16"/>
                <w:szCs w:val="16"/>
              </w:rPr>
              <w:t>174</w:t>
            </w:r>
            <w:r>
              <w:rPr>
                <w:rFonts w:eastAsia="Arial" w:cs="Arial"/>
                <w:color w:val="033636"/>
                <w:sz w:val="16"/>
                <w:szCs w:val="16"/>
              </w:rPr>
              <w:t>,</w:t>
            </w:r>
            <w:r w:rsidRPr="006F4B85">
              <w:rPr>
                <w:rFonts w:eastAsia="Arial" w:cs="Arial"/>
                <w:color w:val="033636"/>
                <w:sz w:val="16"/>
                <w:szCs w:val="16"/>
              </w:rPr>
              <w:t>215</w:t>
            </w:r>
          </w:p>
        </w:tc>
      </w:tr>
      <w:tr w:rsidR="00583447" w:rsidRPr="00BA61E6" w14:paraId="16A317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4" w14:textId="33241404"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5" w14:textId="77777777" w:rsidR="00583447" w:rsidRPr="0073624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3624A">
              <w:rPr>
                <w:rFonts w:eastAsia="Arial" w:cs="Arial"/>
                <w:color w:val="033636"/>
                <w:sz w:val="16"/>
                <w:szCs w:val="16"/>
              </w:rPr>
              <w:t>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6" w14:textId="77777777" w:rsidR="00583447" w:rsidRPr="0073624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3624A">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7" w14:textId="77777777" w:rsidR="00583447" w:rsidRPr="0094116A"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highlight w:val="yellow"/>
              </w:rPr>
            </w:pPr>
            <w:r w:rsidRPr="00820D66">
              <w:rPr>
                <w:rFonts w:eastAsia="Arial" w:cs="Arial"/>
                <w:color w:val="033636"/>
                <w:sz w:val="16"/>
                <w:szCs w:val="16"/>
              </w:rPr>
              <w:t>52.3%</w:t>
            </w:r>
          </w:p>
        </w:tc>
      </w:tr>
      <w:tr w:rsidR="00583447" w:rsidRPr="0071772C" w14:paraId="048860EC"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4AB84B5C" w14:textId="0048DE3B"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bCs/>
                <w:color w:val="033636"/>
                <w:sz w:val="16"/>
                <w:szCs w:val="16"/>
              </w:rPr>
            </w:pPr>
            <w:r>
              <w:rPr>
                <w:rFonts w:eastAsia="Arial" w:cs="Arial"/>
                <w:b/>
                <w:bCs/>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B2FDD18"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16419EF0"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6E7B2005" w14:textId="77777777" w:rsidR="0071772C" w:rsidRPr="0071772C" w:rsidRDefault="0071772C"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bCs/>
                <w:color w:val="033636"/>
                <w:sz w:val="16"/>
                <w:szCs w:val="16"/>
              </w:rPr>
            </w:pPr>
          </w:p>
        </w:tc>
      </w:tr>
      <w:tr w:rsidR="00481EED" w:rsidRPr="00BA61E6" w14:paraId="5D5B38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27926" w14:textId="5C7CEC6A"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E57E2" w14:textId="71F5BA2D" w:rsidR="00583447" w:rsidRPr="00BA61E6" w:rsidRDefault="00FE4A8F"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FE4A8F">
              <w:rPr>
                <w:rFonts w:eastAsia="Arial" w:cs="Arial"/>
                <w:color w:val="033636"/>
                <w:sz w:val="16"/>
                <w:szCs w:val="16"/>
              </w:rPr>
              <w:t>95,960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E51F8" w14:textId="0A7ACE34" w:rsidR="00583447" w:rsidRPr="00BA61E6" w:rsidRDefault="001D4785"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1D4785">
              <w:rPr>
                <w:rFonts w:eastAsia="Arial" w:cs="Arial"/>
                <w:color w:val="033636"/>
                <w:sz w:val="16"/>
                <w:szCs w:val="16"/>
              </w:rPr>
              <w:t>128,123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7B5AE6" w14:textId="25009A93" w:rsidR="00583447" w:rsidRPr="00BA61E6" w:rsidRDefault="0079519D"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79519D">
              <w:rPr>
                <w:rFonts w:eastAsia="Arial" w:cs="Arial"/>
                <w:color w:val="033636"/>
                <w:sz w:val="16"/>
                <w:szCs w:val="16"/>
              </w:rPr>
              <w:t>175,918</w:t>
            </w:r>
          </w:p>
        </w:tc>
      </w:tr>
      <w:tr w:rsidR="00481EED" w:rsidRPr="00BA61E6" w14:paraId="3DD748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85129" w14:textId="3F868B9B"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Unknown or incomplete notifications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E8463" w14:textId="56307902" w:rsidR="00583447" w:rsidRPr="00BA61E6" w:rsidRDefault="00AC68C6"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AC68C6">
              <w:rPr>
                <w:rFonts w:eastAsia="Arial" w:cs="Arial"/>
                <w:color w:val="033636"/>
                <w:sz w:val="16"/>
                <w:szCs w:val="16"/>
              </w:rPr>
              <w:t>59</w:t>
            </w:r>
            <w:r>
              <w:rPr>
                <w:rFonts w:eastAsia="Arial" w:cs="Arial"/>
                <w:color w:val="033636"/>
                <w:sz w:val="16"/>
                <w:szCs w:val="16"/>
              </w:rPr>
              <w:t>,</w:t>
            </w:r>
            <w:r w:rsidRPr="00AC68C6">
              <w:rPr>
                <w:rFonts w:eastAsia="Arial" w:cs="Arial"/>
                <w:color w:val="033636"/>
                <w:sz w:val="16"/>
                <w:szCs w:val="16"/>
              </w:rPr>
              <w:t>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9926C" w14:textId="02029744" w:rsidR="00583447" w:rsidRPr="00BA61E6" w:rsidRDefault="005A4E81"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A4E81">
              <w:rPr>
                <w:rFonts w:eastAsia="Arial" w:cs="Arial"/>
                <w:color w:val="033636"/>
                <w:sz w:val="16"/>
                <w:szCs w:val="16"/>
              </w:rPr>
              <w:t>62</w:t>
            </w:r>
            <w:r>
              <w:rPr>
                <w:rFonts w:eastAsia="Arial" w:cs="Arial"/>
                <w:color w:val="033636"/>
                <w:sz w:val="16"/>
                <w:szCs w:val="16"/>
              </w:rPr>
              <w:t>,</w:t>
            </w:r>
            <w:r w:rsidRPr="005A4E81">
              <w:rPr>
                <w:rFonts w:eastAsia="Arial" w:cs="Arial"/>
                <w:color w:val="033636"/>
                <w:sz w:val="16"/>
                <w:szCs w:val="16"/>
              </w:rPr>
              <w:t>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30583" w14:textId="1106526F" w:rsidR="00583447" w:rsidRPr="00BA61E6" w:rsidRDefault="00E06E3F"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E06E3F">
              <w:rPr>
                <w:rFonts w:eastAsia="Arial" w:cs="Arial"/>
                <w:color w:val="033636"/>
                <w:sz w:val="16"/>
                <w:szCs w:val="16"/>
              </w:rPr>
              <w:t>91</w:t>
            </w:r>
            <w:r>
              <w:rPr>
                <w:rFonts w:eastAsia="Arial" w:cs="Arial"/>
                <w:color w:val="033636"/>
                <w:sz w:val="16"/>
                <w:szCs w:val="16"/>
              </w:rPr>
              <w:t>,</w:t>
            </w:r>
            <w:r w:rsidRPr="00E06E3F">
              <w:rPr>
                <w:rFonts w:eastAsia="Arial" w:cs="Arial"/>
                <w:color w:val="033636"/>
                <w:sz w:val="16"/>
                <w:szCs w:val="16"/>
              </w:rPr>
              <w:t>783</w:t>
            </w:r>
          </w:p>
        </w:tc>
      </w:tr>
      <w:tr w:rsidR="00583447" w:rsidRPr="00BA61E6" w14:paraId="16A317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9" w14:textId="395A0DA7" w:rsidR="00583447" w:rsidRPr="00BA61E6"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Percent complete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A"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B"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3C" w14:textId="77777777" w:rsidR="00583447" w:rsidRPr="005F1A6C" w:rsidRDefault="00583447" w:rsidP="0083748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F1A6C">
              <w:rPr>
                <w:rFonts w:eastAsia="Arial" w:cs="Arial"/>
                <w:color w:val="033636"/>
                <w:sz w:val="16"/>
                <w:szCs w:val="16"/>
              </w:rPr>
              <w:t>47.8%</w:t>
            </w:r>
          </w:p>
        </w:tc>
      </w:tr>
    </w:tbl>
    <w:p w14:paraId="122361AE" w14:textId="77777777" w:rsidR="000E02DC" w:rsidRDefault="006C11F1" w:rsidP="000E02DC">
      <w:pPr>
        <w:pStyle w:val="BodyText"/>
        <w:spacing w:line="240" w:lineRule="auto"/>
        <w:rPr>
          <w:sz w:val="14"/>
          <w:szCs w:val="18"/>
        </w:rPr>
      </w:pPr>
      <w:r w:rsidRPr="006C11F1">
        <w:rPr>
          <w:sz w:val="14"/>
          <w:szCs w:val="18"/>
        </w:rPr>
        <w:t>Source: National Notifiable Diseases Surveillance System (NNDSS), extracted 5 March 2025</w:t>
      </w:r>
    </w:p>
    <w:p w14:paraId="0D031662" w14:textId="33300173" w:rsidR="000E02DC" w:rsidRDefault="000E02DC">
      <w:pPr>
        <w:spacing w:before="0" w:after="0" w:line="240" w:lineRule="auto"/>
      </w:pPr>
      <w:r>
        <w:br w:type="page"/>
      </w:r>
    </w:p>
    <w:p w14:paraId="12AFC449" w14:textId="4FD3F9CF" w:rsidR="00043A76" w:rsidRPr="000E02DC" w:rsidRDefault="00043A76" w:rsidP="000E02DC">
      <w:pPr>
        <w:pStyle w:val="BodyText"/>
        <w:spacing w:line="240" w:lineRule="auto"/>
        <w:rPr>
          <w:sz w:val="14"/>
          <w:szCs w:val="18"/>
          <w:highlight w:val="yellow"/>
        </w:rPr>
      </w:pPr>
      <w:r>
        <w:lastRenderedPageBreak/>
        <w:t xml:space="preserve">In 2024, </w:t>
      </w:r>
      <w:r w:rsidRPr="0006513F">
        <w:t xml:space="preserve">Indigenous status </w:t>
      </w:r>
      <w:r>
        <w:t xml:space="preserve">was complete for 58% of COVID-19 cases, 52% of influenza cases and 48% of RSV cases (Table 1). Data completeness of Indigenous status ranged from 8%–99% for COVID-19, 0%–99% for influenza, and 0%–99% for RSV across jurisdictions. </w:t>
      </w:r>
      <w:r w:rsidRPr="007974D7">
        <w:t>Interpreting</w:t>
      </w:r>
      <w:r>
        <w:t xml:space="preserve"> notified case data by</w:t>
      </w:r>
      <w:r w:rsidRPr="007974D7">
        <w:t xml:space="preserve"> </w:t>
      </w:r>
      <w:r>
        <w:t xml:space="preserve">Indigenous status when notification data are so </w:t>
      </w:r>
      <w:r w:rsidRPr="007974D7">
        <w:t xml:space="preserve">incomplete risks making </w:t>
      </w:r>
      <w:r>
        <w:t>incorrect interpretations and conclusions about the health and wellbeing of Aboriginal and Torres Strait Islander people. In Australia, a</w:t>
      </w:r>
      <w:r w:rsidRPr="00ED464D">
        <w:t xml:space="preserve"> strength-based approach to health and wellbeing for Aboriginal and Torres Strait Islander peoples is the focus, and deficits which can have a negative impact on health outcomes, are not emphasised</w:t>
      </w:r>
      <w:r>
        <w:t>.</w:t>
      </w:r>
      <w:r>
        <w:fldChar w:fldCharType="begin"/>
      </w:r>
      <w:r>
        <w:instrText xml:space="preserve"> ADDIN EN.CITE &lt;EndNote&gt;&lt;Cite&gt;&lt;Author&gt;Australian Government Department of Health and Aged Care and interim Australian Centre for Disease Control&lt;/Author&gt;&lt;Year&gt;2024&lt;/Year&gt;&lt;RecNum&gt;2809&lt;/RecNum&gt;&lt;DisplayText&gt;&lt;style face="superscript"&gt;1,7&lt;/style&gt;&lt;/DisplayText&gt;&lt;record&gt;&lt;rec-number&gt;2809&lt;/rec-number&gt;&lt;foreign-keys&gt;&lt;key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Cite&gt;&lt;Author&gt;Fogarty&lt;/Author&gt;&lt;Year&gt;2018&lt;/Year&gt;&lt;RecNum&gt;2836&lt;/RecNum&gt;&lt;record&gt;&lt;rec-number&gt;2836&lt;/rec-number&gt;&lt;foreign-keys&gt;&lt;key app="EN" db-id="ptaw2s0tmse5w0exvrh5d2vpdtxat2eaaazf" timestamp="1742787873"&gt;2836&lt;/key&gt;&lt;/foreign-keys&gt;&lt;ref-type name="Web Page"&gt;12&lt;/ref-type&gt;&lt;contributors&gt;&lt;authors&gt;&lt;author&gt;Fogarty, W., Lovell, M., Langenberg, J. &amp;amp; Heron, M-J&lt;/author&gt;&lt;/authors&gt;&lt;/contributors&gt;&lt;titles&gt;&lt;title&gt;Deficit Discourse and Strengths-based Approaches: Changing the Narrative of Aboriginal and Torres Strait Islander Health and Wellbeing&lt;/title&gt;&lt;/titles&gt;&lt;dates&gt;&lt;year&gt;2018&lt;/year&gt;&lt;/dates&gt;&lt;pub-location&gt;Melbourne&lt;/pub-location&gt;&lt;publisher&gt;The Lowitja Institute&lt;/publisher&gt;&lt;work-type&gt;Internet&lt;/work-type&gt;&lt;urls&gt;&lt;related-urls&gt;&lt;url&gt;https://www.lowitja.org.au/resource/deficit-discourse-strengths-based/&lt;/url&gt;&lt;/related-urls&gt;&lt;/urls&gt;&lt;/record&gt;&lt;/Cite&gt;&lt;/EndNote&gt;</w:instrText>
      </w:r>
      <w:r>
        <w:fldChar w:fldCharType="separate"/>
      </w:r>
      <w:r w:rsidRPr="009300C6">
        <w:rPr>
          <w:noProof/>
          <w:vertAlign w:val="superscript"/>
        </w:rPr>
        <w:t>1,7</w:t>
      </w:r>
      <w:r>
        <w:fldChar w:fldCharType="end"/>
      </w:r>
      <w:r>
        <w:t xml:space="preserve"> Therefore, no analyses of notified cases by Indigenous status are presented in this annual report.</w:t>
      </w:r>
    </w:p>
    <w:p w14:paraId="11E6355B" w14:textId="77777777" w:rsidR="00A524FC" w:rsidRDefault="00A524FC" w:rsidP="00A524FC">
      <w:r w:rsidRPr="00AE41A7">
        <w:t xml:space="preserve">Changes in surveillance practices may have been introduced in some jurisdictions and not in </w:t>
      </w:r>
      <w:proofErr w:type="gramStart"/>
      <w:r w:rsidRPr="00AE41A7">
        <w:t>others, and</w:t>
      </w:r>
      <w:proofErr w:type="gramEnd"/>
      <w:r w:rsidRPr="00AE41A7">
        <w:t xml:space="preserve"> must be taken into consideration when comparing data between jurisdictions. These include </w:t>
      </w:r>
      <w:r w:rsidRPr="00132375">
        <w:t>changes in case definitions; changes in reporting practices; changes in testing practices and screening programs; the use of less invasive and more sensitive diagnostic tests; periodic awareness campaigns; and the use of other public health and social measures.</w:t>
      </w:r>
    </w:p>
    <w:p w14:paraId="173D83CB" w14:textId="0391A78E" w:rsidR="000D594B" w:rsidRPr="00AE41A7" w:rsidRDefault="000D594B" w:rsidP="000D594B">
      <w:r>
        <w:t>In addition, t</w:t>
      </w:r>
      <w:r w:rsidRPr="005E4AD3">
        <w:t>he COVID-19 pandemic had considerable impacts on circulating acute respiratory infections and acute respiratory illness surveillance systems. Some COVID-19 related public health and social measures likely resulted in a true decrease in acute respiratory illnesses across 2020 and 2021. As data from these years may reduce five-year averages and affect analyses of usual seasonal trends, 2020 and 2021 are excluded when comparing the current respiratory season to historical periods. Where referenced</w:t>
      </w:r>
      <w:r w:rsidR="018A1D77">
        <w:t xml:space="preserve"> in this report</w:t>
      </w:r>
      <w:r w:rsidRPr="005E4AD3">
        <w:t>, the five-year average refers to the average of data from the years 2017–2019 and 2022–2023.</w:t>
      </w:r>
    </w:p>
    <w:p w14:paraId="7F0B3DB3" w14:textId="23DB25F4" w:rsidR="00862BB3" w:rsidRPr="009B0866" w:rsidRDefault="00862BB3" w:rsidP="00862BB3">
      <w:pPr>
        <w:rPr>
          <w:b/>
          <w:bCs/>
        </w:rPr>
      </w:pPr>
      <w:r w:rsidRPr="009B0866">
        <w:rPr>
          <w:b/>
          <w:bCs/>
        </w:rPr>
        <w:t xml:space="preserve">Notes on </w:t>
      </w:r>
      <w:r>
        <w:rPr>
          <w:b/>
          <w:bCs/>
        </w:rPr>
        <w:t>case definitions</w:t>
      </w:r>
    </w:p>
    <w:p w14:paraId="567EBD13" w14:textId="015BF742" w:rsidR="0045090D" w:rsidRDefault="00243B2F">
      <w:r w:rsidRPr="00243B2F">
        <w:t xml:space="preserve">Each notifiable disease is governed by a national surveillance case definition for reporting to the NNDSS. These case definitions were agreed by CDNA and were used by all jurisdictions for the first time in 2005. In </w:t>
      </w:r>
      <w:r w:rsidR="002902E5">
        <w:t>2024</w:t>
      </w:r>
      <w:r w:rsidRPr="00243B2F">
        <w:t>, the</w:t>
      </w:r>
      <w:r w:rsidR="00594554">
        <w:t xml:space="preserve"> COVID-19 national surveillance case definition was updated</w:t>
      </w:r>
      <w:r w:rsidR="00B900A7">
        <w:t xml:space="preserve"> </w:t>
      </w:r>
      <w:r w:rsidR="008F5308">
        <w:t xml:space="preserve">on 1 July </w:t>
      </w:r>
      <w:r w:rsidR="00B900A7">
        <w:t xml:space="preserve">to remove the requirement to </w:t>
      </w:r>
      <w:r w:rsidR="00073909">
        <w:t>notify probable cases (those positive by rapid antigen test</w:t>
      </w:r>
      <w:r w:rsidR="00DD1348">
        <w:t xml:space="preserve"> [RAT]</w:t>
      </w:r>
      <w:r w:rsidR="00073909">
        <w:t>)</w:t>
      </w:r>
      <w:r w:rsidR="00594554">
        <w:t xml:space="preserve">. </w:t>
      </w:r>
      <w:r w:rsidR="00BA7DED" w:rsidRPr="00BA7DED">
        <w:t xml:space="preserve"> </w:t>
      </w:r>
    </w:p>
    <w:p w14:paraId="4D0B2561" w14:textId="5B3D7390" w:rsidR="00862BB3" w:rsidRDefault="00BA7DED">
      <w:r w:rsidRPr="00BA7DED">
        <w:t>In addition, seven jurisdictions</w:t>
      </w:r>
      <w:r w:rsidR="00DD1348">
        <w:t xml:space="preserve"> had ceased </w:t>
      </w:r>
      <w:r w:rsidR="00B10FAC">
        <w:t xml:space="preserve">collecting and </w:t>
      </w:r>
      <w:r w:rsidR="00DD1348">
        <w:t xml:space="preserve">notifying </w:t>
      </w:r>
      <w:r w:rsidRPr="00BA7DED">
        <w:t xml:space="preserve">self-reported RAT results </w:t>
      </w:r>
      <w:r w:rsidR="00B10FAC">
        <w:t xml:space="preserve">to the NNDSS </w:t>
      </w:r>
      <w:r w:rsidRPr="00BA7DED">
        <w:t>prior to the change in the surveillance case definition: Vic. ceased on 1 July 2023, Qld on 1 September 2023, NSW on 1 October 2023, WA on 9 October 2023, the NT on 21 October 2023, the ACT on 22 December 2023</w:t>
      </w:r>
      <w:r w:rsidR="002D1EDD">
        <w:t>,</w:t>
      </w:r>
      <w:r w:rsidRPr="00BA7DED">
        <w:t xml:space="preserve"> and Tas. on 12 April 2024.</w:t>
      </w:r>
      <w:r w:rsidR="00B10FAC">
        <w:t xml:space="preserve"> For these reasons, </w:t>
      </w:r>
      <w:r w:rsidR="009D71E5">
        <w:t>a</w:t>
      </w:r>
      <w:r w:rsidR="009D71E5" w:rsidRPr="009D71E5">
        <w:t>nalyses</w:t>
      </w:r>
      <w:r w:rsidR="00BC71B3">
        <w:t xml:space="preserve"> of notified cases of COVID-19</w:t>
      </w:r>
      <w:r w:rsidR="009D71E5" w:rsidRPr="009D71E5">
        <w:t xml:space="preserve"> in this report </w:t>
      </w:r>
      <w:r w:rsidR="00BC442C">
        <w:t>are</w:t>
      </w:r>
      <w:r w:rsidR="009D71E5" w:rsidRPr="009D71E5">
        <w:t xml:space="preserve"> based</w:t>
      </w:r>
      <w:r w:rsidR="009D71E5">
        <w:t xml:space="preserve"> on laboratory-confirmed COVID-19 cases notified to the NNDSS</w:t>
      </w:r>
      <w:r w:rsidR="001964CF">
        <w:t xml:space="preserve"> and do not include probable COVID-19 cases</w:t>
      </w:r>
      <w:r w:rsidR="009D71E5">
        <w:t xml:space="preserve">. </w:t>
      </w:r>
    </w:p>
    <w:p w14:paraId="53897340" w14:textId="497ECD06" w:rsidR="00B40CB2" w:rsidRDefault="00B40CB2" w:rsidP="000E02DC">
      <w:r w:rsidRPr="002902E5">
        <w:t>Further details on all Australian national notifiable diseases and cases definitions are available online</w:t>
      </w:r>
      <w:r w:rsidR="00430606">
        <w:t>.</w:t>
      </w:r>
      <w:r w:rsidR="00DB4867">
        <w:fldChar w:fldCharType="begin"/>
      </w:r>
      <w:r w:rsidR="009300C6">
        <w:instrText xml:space="preserve"> ADDIN EN.CITE &lt;EndNote&gt;&lt;Cite&gt;&lt;Author&gt;Australian Government Department of Health and Aged Care&lt;/Author&gt;&lt;Year&gt;2022&lt;/Year&gt;&lt;RecNum&gt;2814&lt;/RecNum&gt;&lt;DisplayText&gt;&lt;style face="superscript"&gt;8&lt;/style&gt;&lt;/DisplayText&gt;&lt;record&gt;&lt;rec-number&gt;2814&lt;/rec-number&gt;&lt;foreign-keys&gt;&lt;key app="EN" db-id="ptaw2s0tmse5w0exvrh5d2vpdtxat2eaaazf" timestamp="1742518422"&gt;2814&lt;/key&gt;&lt;/foreign-keys&gt;&lt;ref-type name="Web Page"&gt;12&lt;/ref-type&gt;&lt;contributors&gt;&lt;authors&gt;&lt;author&gt;Australian Government Department of Health and Aged Care,&lt;/author&gt;&lt;/authors&gt;&lt;/contributors&gt;&lt;titles&gt;&lt;title&gt;CDNA surveillance case definitions&lt;/title&gt;&lt;/titles&gt;&lt;dates&gt;&lt;year&gt;2022&lt;/year&gt;&lt;/dates&gt;&lt;pub-location&gt;Canberra&lt;/pub-location&gt;&lt;publisher&gt;Australian Government Department of Health and Aged Care&lt;/publisher&gt;&lt;work-type&gt;Internet&lt;/work-type&gt;&lt;urls&gt;&lt;related-urls&gt;&lt;url&gt;https://www.health.gov.au/resources/collections/cdna-surveillance-case-definitions&lt;/url&gt;&lt;/related-urls&gt;&lt;/urls&gt;&lt;/record&gt;&lt;/Cite&gt;&lt;/EndNote&gt;</w:instrText>
      </w:r>
      <w:r w:rsidR="00DB4867">
        <w:fldChar w:fldCharType="separate"/>
      </w:r>
      <w:r w:rsidR="009300C6" w:rsidRPr="009300C6">
        <w:rPr>
          <w:noProof/>
          <w:vertAlign w:val="superscript"/>
        </w:rPr>
        <w:t>8</w:t>
      </w:r>
      <w:r w:rsidR="00DB4867">
        <w:fldChar w:fldCharType="end"/>
      </w:r>
    </w:p>
    <w:p w14:paraId="6BE36572" w14:textId="573CC83E" w:rsidR="006815C0" w:rsidRDefault="00250035" w:rsidP="000E02DC">
      <w:pPr>
        <w:pStyle w:val="Heading2"/>
      </w:pPr>
      <w:bookmarkStart w:id="8" w:name="_Toc194074609"/>
      <w:r w:rsidRPr="00250035">
        <w:t>ABS Provisional Mortality Statistics</w:t>
      </w:r>
      <w:bookmarkEnd w:id="8"/>
    </w:p>
    <w:p w14:paraId="16ADABE1" w14:textId="0635014A" w:rsidR="001B26B7" w:rsidRDefault="00C87BC9" w:rsidP="001B26B7">
      <w:r>
        <w:t>Death</w:t>
      </w:r>
      <w:r w:rsidR="00553FF4">
        <w:t>s</w:t>
      </w:r>
      <w:r w:rsidR="00814EBA">
        <w:t xml:space="preserve"> </w:t>
      </w:r>
      <w:r w:rsidR="006B4DDE" w:rsidRPr="006B4DDE">
        <w:rPr>
          <w:i/>
          <w:iCs/>
        </w:rPr>
        <w:t>involving</w:t>
      </w:r>
      <w:r w:rsidR="006B4DDE" w:rsidRPr="006B4DDE">
        <w:t xml:space="preserve"> acute respiratory infections</w:t>
      </w:r>
      <w:r w:rsidR="00814EBA">
        <w:t xml:space="preserve"> in t</w:t>
      </w:r>
      <w:r w:rsidR="000238C6">
        <w:t xml:space="preserve">his annual report </w:t>
      </w:r>
      <w:r w:rsidR="00814EBA">
        <w:t>are</w:t>
      </w:r>
      <w:r w:rsidR="000238C6">
        <w:t xml:space="preserve"> based </w:t>
      </w:r>
      <w:r w:rsidR="00B51032">
        <w:t xml:space="preserve">on </w:t>
      </w:r>
      <w:r w:rsidR="000238C6">
        <w:t>data from</w:t>
      </w:r>
      <w:r w:rsidR="00814EBA">
        <w:t xml:space="preserve"> the </w:t>
      </w:r>
      <w:r w:rsidR="00553FF4" w:rsidRPr="00553FF4">
        <w:t>ABS Provisional Mortality Statistic</w:t>
      </w:r>
      <w:r w:rsidR="00553FF4">
        <w:t>s</w:t>
      </w:r>
      <w:r w:rsidR="00740A0E">
        <w:t xml:space="preserve"> released</w:t>
      </w:r>
      <w:r w:rsidR="000B167E">
        <w:t xml:space="preserve"> 28 February 2025</w:t>
      </w:r>
      <w:r w:rsidR="005D2CF5">
        <w:t xml:space="preserve"> unless otherwise stated</w:t>
      </w:r>
      <w:r w:rsidR="00281B77">
        <w:t>.</w:t>
      </w:r>
      <w:r w:rsidR="007B2AA7">
        <w:fldChar w:fldCharType="begin"/>
      </w:r>
      <w:r w:rsidR="009300C6">
        <w:instrText xml:space="preserve"> ADDIN EN.CITE &lt;EndNote&gt;&lt;Cite&gt;&lt;Author&gt;Australian Bureau of Statistics&lt;/Author&gt;&lt;Year&gt;2025&lt;/Year&gt;&lt;RecNum&gt;2832&lt;/RecNum&gt;&lt;DisplayText&gt;&lt;style face="superscript"&gt;9&lt;/style&gt;&lt;/DisplayText&gt;&lt;record&gt;&lt;rec-number&gt;2832&lt;/rec-number&gt;&lt;foreign-keys&gt;&lt;key app="EN" db-id="ptaw2s0tmse5w0exvrh5d2vpdtxat2eaaazf" timestamp="1742534597"&gt;2832&lt;/key&gt;&lt;/foreign-keys&gt;&lt;ref-type name="Web Page"&gt;12&lt;/ref-type&gt;&lt;contributors&gt;&lt;authors&gt;&lt;author&gt;Australian Bureau of Statistics,&lt;/author&gt;&lt;/authors&gt;&lt;/contributors&gt;&lt;titles&gt;&lt;title&gt;Deaths due to COVID-19, influenza and RSV in Australia - 2022 - January 2025; Acute respiratory disease mortality in Australia&lt;/title&gt;&lt;/titles&gt;&lt;dates&gt;&lt;year&gt;2025&lt;/year&gt;&lt;/dates&gt;&lt;pub-location&gt;Canberra&lt;/pub-location&gt;&lt;publisher&gt;Australian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january-2025&lt;/url&gt;&lt;/related-urls&gt;&lt;/urls&gt;&lt;/record&gt;&lt;/Cite&gt;&lt;/EndNote&gt;</w:instrText>
      </w:r>
      <w:r w:rsidR="007B2AA7">
        <w:fldChar w:fldCharType="separate"/>
      </w:r>
      <w:r w:rsidR="009300C6" w:rsidRPr="009300C6">
        <w:rPr>
          <w:noProof/>
          <w:vertAlign w:val="superscript"/>
        </w:rPr>
        <w:t>9</w:t>
      </w:r>
      <w:r w:rsidR="007B2AA7">
        <w:fldChar w:fldCharType="end"/>
      </w:r>
    </w:p>
    <w:p w14:paraId="366C7B3E" w14:textId="6101772F" w:rsidR="006235C4" w:rsidRDefault="002D1D6B" w:rsidP="001B26B7">
      <w:r>
        <w:t>The Provisional Mortality Statistics are</w:t>
      </w:r>
      <w:r w:rsidRPr="00956D25">
        <w:t xml:space="preserve"> preliminary death counts by date of occurrence for Australia</w:t>
      </w:r>
      <w:r>
        <w:t>.</w:t>
      </w:r>
      <w:r w:rsidRPr="00955D63">
        <w:t xml:space="preserve"> </w:t>
      </w:r>
      <w:r w:rsidR="004F4AB0">
        <w:t>In Australia, t</w:t>
      </w:r>
      <w:r w:rsidR="001B26B7" w:rsidRPr="00955D63">
        <w:t xml:space="preserve">he registration of deaths is the responsibility of </w:t>
      </w:r>
      <w:r w:rsidR="00A24E27">
        <w:t xml:space="preserve">individual </w:t>
      </w:r>
      <w:r w:rsidR="001B26B7" w:rsidRPr="00955D63">
        <w:t xml:space="preserve">state and territory Registrars of Births, Deaths and Marriages. </w:t>
      </w:r>
      <w:r w:rsidR="003B7CE9" w:rsidRPr="003B7CE9">
        <w:t>It should be noted that legislative requirements for registering a death differ across jurisdictions and this can impact on the timeliness of registration and reporting.</w:t>
      </w:r>
      <w:r w:rsidR="003B7CE9">
        <w:t xml:space="preserve"> </w:t>
      </w:r>
      <w:r w:rsidR="00955D63" w:rsidRPr="00955D63">
        <w:t>When a death occurs, it is either certified by a doctor using a Medical Certificate of Cause of Death or referred to a coroner.</w:t>
      </w:r>
      <w:r w:rsidR="00E96FDF">
        <w:t xml:space="preserve"> </w:t>
      </w:r>
      <w:r w:rsidR="00E96FDF" w:rsidRPr="00E96FDF">
        <w:t xml:space="preserve">Other information about the </w:t>
      </w:r>
      <w:r w:rsidR="00E96FDF">
        <w:t>death</w:t>
      </w:r>
      <w:r w:rsidR="00E96FDF" w:rsidRPr="00E96FDF">
        <w:t xml:space="preserve"> is supplied via the Death Registration Form</w:t>
      </w:r>
      <w:r w:rsidR="00E96FDF">
        <w:t xml:space="preserve">. </w:t>
      </w:r>
      <w:r w:rsidR="007A6AF3" w:rsidRPr="007A6AF3">
        <w:t>Registrars require information from both sources to complete a death registration.</w:t>
      </w:r>
      <w:r w:rsidR="006A6867">
        <w:t xml:space="preserve"> </w:t>
      </w:r>
      <w:r w:rsidR="001B26B7" w:rsidRPr="007153E9">
        <w:t>Registrars then provide this information to the ABS for processing, coding and compilation into aggregate statistics. Registrars report all deaths that were registered in a month at the start of the following month.</w:t>
      </w:r>
      <w:r w:rsidR="00827615">
        <w:fldChar w:fldCharType="begin"/>
      </w:r>
      <w:r w:rsidR="009300C6">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827615">
        <w:fldChar w:fldCharType="separate"/>
      </w:r>
      <w:r w:rsidR="009300C6" w:rsidRPr="009300C6">
        <w:rPr>
          <w:noProof/>
          <w:vertAlign w:val="superscript"/>
        </w:rPr>
        <w:t>10</w:t>
      </w:r>
      <w:r w:rsidR="00827615">
        <w:fldChar w:fldCharType="end"/>
      </w:r>
    </w:p>
    <w:p w14:paraId="091E1804" w14:textId="6B89BB96" w:rsidR="00D2025D" w:rsidRDefault="00642269" w:rsidP="00D2025D">
      <w:r>
        <w:t>The International Classification of Diseases (ICD) is the international standard classification for epidemiological purposes and is designed to promote international comparability in the collection, processing, classification, and presentation of causes of death statistics. The ICD 10th revision is used for Australian causes of death statistics.</w:t>
      </w:r>
      <w:r w:rsidR="007F7345">
        <w:fldChar w:fldCharType="begin"/>
      </w:r>
      <w:r w:rsidR="009300C6">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7F7345">
        <w:fldChar w:fldCharType="separate"/>
      </w:r>
      <w:r w:rsidR="009300C6" w:rsidRPr="009300C6">
        <w:rPr>
          <w:noProof/>
          <w:vertAlign w:val="superscript"/>
        </w:rPr>
        <w:t>10</w:t>
      </w:r>
      <w:r w:rsidR="007F7345">
        <w:fldChar w:fldCharType="end"/>
      </w:r>
      <w:r>
        <w:t xml:space="preserve"> </w:t>
      </w:r>
      <w:r w:rsidR="00A050B3" w:rsidRPr="00A050B3">
        <w:t xml:space="preserve">Deaths involving acute respiratory infections in this annual report </w:t>
      </w:r>
      <w:r w:rsidR="00BD7FD1" w:rsidRPr="00BD7FD1">
        <w:t>have been coded to ICD-10 codes</w:t>
      </w:r>
      <w:r w:rsidR="00291EF2">
        <w:t xml:space="preserve">. </w:t>
      </w:r>
      <w:r w:rsidR="00F06AD9">
        <w:t xml:space="preserve">All deaths involving (both </w:t>
      </w:r>
      <w:r w:rsidR="00F06AD9" w:rsidRPr="00DE2673">
        <w:rPr>
          <w:i/>
          <w:iCs/>
        </w:rPr>
        <w:t>due to</w:t>
      </w:r>
      <w:r w:rsidR="00F06AD9">
        <w:t xml:space="preserve"> and </w:t>
      </w:r>
      <w:r w:rsidR="00F06AD9" w:rsidRPr="00DE2673">
        <w:rPr>
          <w:i/>
          <w:iCs/>
        </w:rPr>
        <w:t>with</w:t>
      </w:r>
      <w:r w:rsidR="00F06AD9">
        <w:t xml:space="preserve">) COVID-19 in this report have been coded to ICD-10 codes </w:t>
      </w:r>
      <w:r w:rsidR="00BD7FD1" w:rsidRPr="00BD7FD1">
        <w:t>U07.1-U07.2, U10.9 or U09.9</w:t>
      </w:r>
      <w:r w:rsidR="00F06AD9">
        <w:t xml:space="preserve">. All deaths involving (both </w:t>
      </w:r>
      <w:r w:rsidR="00F06AD9" w:rsidRPr="00AC1474">
        <w:rPr>
          <w:i/>
          <w:iCs/>
        </w:rPr>
        <w:t>due to</w:t>
      </w:r>
      <w:r w:rsidR="00F06AD9">
        <w:t xml:space="preserve"> and </w:t>
      </w:r>
      <w:r w:rsidR="00F06AD9" w:rsidRPr="00AC1474">
        <w:rPr>
          <w:i/>
          <w:iCs/>
        </w:rPr>
        <w:t>with</w:t>
      </w:r>
      <w:r w:rsidR="00F06AD9">
        <w:t xml:space="preserve">) influenza in this report have been coded to </w:t>
      </w:r>
      <w:r w:rsidR="00FB2A0F">
        <w:t xml:space="preserve">ICD-10 codes </w:t>
      </w:r>
      <w:r w:rsidR="00BD7FD1" w:rsidRPr="00BD7FD1">
        <w:t>J09-J11</w:t>
      </w:r>
      <w:r w:rsidR="00FB2A0F">
        <w:t xml:space="preserve">. All deaths involving (both </w:t>
      </w:r>
      <w:r w:rsidR="00FB2A0F" w:rsidRPr="00AC1474">
        <w:rPr>
          <w:i/>
          <w:iCs/>
        </w:rPr>
        <w:t>due to</w:t>
      </w:r>
      <w:r w:rsidR="00FB2A0F">
        <w:t xml:space="preserve"> and </w:t>
      </w:r>
      <w:r w:rsidR="00FB2A0F" w:rsidRPr="00AC1474">
        <w:rPr>
          <w:i/>
          <w:iCs/>
        </w:rPr>
        <w:t>with</w:t>
      </w:r>
      <w:r w:rsidR="00FB2A0F">
        <w:t xml:space="preserve">) RSV in this </w:t>
      </w:r>
      <w:r w:rsidR="00FB2A0F">
        <w:lastRenderedPageBreak/>
        <w:t>report have been coded to ICD-10 codes</w:t>
      </w:r>
      <w:r w:rsidR="00FB2A0F" w:rsidDel="00FB2A0F">
        <w:t xml:space="preserve"> </w:t>
      </w:r>
      <w:r w:rsidR="00BD7FD1" w:rsidRPr="00BD7FD1">
        <w:t>J12.1, J20.5, J21.0, B97.4.</w:t>
      </w:r>
      <w:r w:rsidR="00B46805">
        <w:fldChar w:fldCharType="begin"/>
      </w:r>
      <w:r w:rsidR="009300C6">
        <w:instrText xml:space="preserve"> ADDIN EN.CITE &lt;EndNote&gt;&lt;Cite&gt;&lt;Author&gt;Australian Bureau of Statistics&lt;/Author&gt;&lt;Year&gt;2025&lt;/Year&gt;&lt;RecNum&gt;2832&lt;/RecNum&gt;&lt;DisplayText&gt;&lt;style face="superscript"&gt;9&lt;/style&gt;&lt;/DisplayText&gt;&lt;record&gt;&lt;rec-number&gt;2832&lt;/rec-number&gt;&lt;foreign-keys&gt;&lt;key app="EN" db-id="ptaw2s0tmse5w0exvrh5d2vpdtxat2eaaazf" timestamp="1742534597"&gt;2832&lt;/key&gt;&lt;/foreign-keys&gt;&lt;ref-type name="Web Page"&gt;12&lt;/ref-type&gt;&lt;contributors&gt;&lt;authors&gt;&lt;author&gt;Australian Bureau of Statistics,&lt;/author&gt;&lt;/authors&gt;&lt;/contributors&gt;&lt;titles&gt;&lt;title&gt;Deaths due to COVID-19, influenza and RSV in Australia - 2022 - January 2025; Acute respiratory disease mortality in Australia&lt;/title&gt;&lt;/titles&gt;&lt;dates&gt;&lt;year&gt;2025&lt;/year&gt;&lt;/dates&gt;&lt;pub-location&gt;Canberra&lt;/pub-location&gt;&lt;publisher&gt;Australian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january-2025&lt;/url&gt;&lt;/related-urls&gt;&lt;/urls&gt;&lt;/record&gt;&lt;/Cite&gt;&lt;/EndNote&gt;</w:instrText>
      </w:r>
      <w:r w:rsidR="00B46805">
        <w:fldChar w:fldCharType="separate"/>
      </w:r>
      <w:r w:rsidR="009300C6" w:rsidRPr="009300C6">
        <w:rPr>
          <w:noProof/>
          <w:vertAlign w:val="superscript"/>
        </w:rPr>
        <w:t>9</w:t>
      </w:r>
      <w:r w:rsidR="00B46805">
        <w:fldChar w:fldCharType="end"/>
      </w:r>
      <w:r w:rsidR="00D2025D">
        <w:t xml:space="preserve"> </w:t>
      </w:r>
      <w:r w:rsidR="00D2025D" w:rsidRPr="00243046">
        <w:t>Further information can be found in the Provisional Mortality Statistics methodology</w:t>
      </w:r>
      <w:r w:rsidR="00D2025D">
        <w:t xml:space="preserve"> reports</w:t>
      </w:r>
      <w:r w:rsidR="00D2025D" w:rsidRPr="00243046">
        <w:t>.</w:t>
      </w:r>
      <w:r w:rsidR="00D2025D">
        <w:fldChar w:fldCharType="begin"/>
      </w:r>
      <w:r w:rsidR="00D2025D">
        <w:instrText xml:space="preserve"> ADDIN EN.CITE &lt;EndNote&gt;&lt;Cite&gt;&lt;Author&gt;Australian Bureau of Statistics&lt;/Author&gt;&lt;Year&gt;2024&lt;/Year&gt;&lt;RecNum&gt;2831&lt;/RecNum&gt;&lt;DisplayText&gt;&lt;style face="superscript"&gt;10&lt;/style&gt;&lt;/DisplayText&gt;&lt;record&gt;&lt;rec-number&gt;2831&lt;/rec-number&gt;&lt;foreign-keys&gt;&lt;key app="EN" db-id="ptaw2s0tmse5w0exvrh5d2vpdtxat2eaaazf" timestamp="1742530659"&gt;2831&lt;/key&gt;&lt;/foreign-keys&gt;&lt;ref-type name="Web Page"&gt;12&lt;/ref-type&gt;&lt;contributors&gt;&lt;authors&gt;&lt;author&gt;Australian Bureau of Statistics,&lt;/author&gt;&lt;/authors&gt;&lt;/contributors&gt;&lt;titles&gt;&lt;title&gt;Provisional Mortality Statistics methodology&lt;/title&gt;&lt;/titles&gt;&lt;dates&gt;&lt;year&gt;2024&lt;/year&gt;&lt;/dates&gt;&lt;pub-location&gt;Canberra&lt;/pub-location&gt;&lt;publisher&gt;Australian Bureau of Statistics&lt;/publisher&gt;&lt;work-type&gt;Internet&lt;/work-type&gt;&lt;urls&gt;&lt;related-urls&gt;&lt;url&gt;https://www.abs.gov.au/methodologies/provisional-mortality-statistics-methodology&lt;/url&gt;&lt;/related-urls&gt;&lt;/urls&gt;&lt;/record&gt;&lt;/Cite&gt;&lt;/EndNote&gt;</w:instrText>
      </w:r>
      <w:r w:rsidR="00D2025D">
        <w:fldChar w:fldCharType="separate"/>
      </w:r>
      <w:r w:rsidR="00D2025D" w:rsidRPr="009300C6">
        <w:rPr>
          <w:noProof/>
          <w:vertAlign w:val="superscript"/>
        </w:rPr>
        <w:t>10</w:t>
      </w:r>
      <w:r w:rsidR="00D2025D">
        <w:fldChar w:fldCharType="end"/>
      </w:r>
    </w:p>
    <w:p w14:paraId="3CFD77EA" w14:textId="77777777" w:rsidR="00857F5D" w:rsidRPr="00C977C6" w:rsidRDefault="00857F5D" w:rsidP="001D2466">
      <w:pPr>
        <w:pStyle w:val="Heading3"/>
      </w:pPr>
      <w:r w:rsidRPr="00C977C6">
        <w:t>Notes on interpretation</w:t>
      </w:r>
    </w:p>
    <w:p w14:paraId="651952A5" w14:textId="14496C49" w:rsidR="002D1F19" w:rsidRDefault="002D1F19" w:rsidP="00BA14F6">
      <w:r w:rsidRPr="002D1F19">
        <w:t xml:space="preserve">All </w:t>
      </w:r>
      <w:r>
        <w:t xml:space="preserve">death registrations </w:t>
      </w:r>
      <w:r w:rsidRPr="002D1F19">
        <w:t xml:space="preserve">data presented in this </w:t>
      </w:r>
      <w:r>
        <w:t>annual report</w:t>
      </w:r>
      <w:r w:rsidRPr="002D1F19">
        <w:t xml:space="preserve"> </w:t>
      </w:r>
      <w:r w:rsidR="00F34796">
        <w:t xml:space="preserve">are </w:t>
      </w:r>
      <w:r w:rsidRPr="002D1F19">
        <w:t>provisional</w:t>
      </w:r>
      <w:r w:rsidR="00F34796">
        <w:t xml:space="preserve"> and subject to change</w:t>
      </w:r>
      <w:r w:rsidRPr="002D1F19">
        <w:t>. It is expected that numbers of deaths due to these causes will increase for more recent time periods as more death registrations are received by the ABS.</w:t>
      </w:r>
    </w:p>
    <w:p w14:paraId="598361A8" w14:textId="208C3354" w:rsidR="00250035" w:rsidRDefault="00BA14F6" w:rsidP="000E02DC">
      <w:r w:rsidRPr="000279D5">
        <w:t xml:space="preserve">The Provisional Mortality Statistics data in this report </w:t>
      </w:r>
      <w:r w:rsidR="00B46AB5">
        <w:t>are</w:t>
      </w:r>
      <w:r w:rsidRPr="000279D5">
        <w:t xml:space="preserve"> not comparable with data reported in </w:t>
      </w:r>
      <w:r w:rsidR="000279D5" w:rsidRPr="000279D5">
        <w:t>Deaths, Australia,</w:t>
      </w:r>
      <w:r w:rsidRPr="000279D5">
        <w:t xml:space="preserve"> </w:t>
      </w:r>
      <w:r w:rsidR="000279D5" w:rsidRPr="000279D5">
        <w:t>Causes of Death, Australia, or other data sources such as notifications of deaths from surveillance system</w:t>
      </w:r>
      <w:r w:rsidR="000279D5" w:rsidRPr="0026520F">
        <w:t>s</w:t>
      </w:r>
      <w:r w:rsidR="00236981">
        <w:t xml:space="preserve"> and </w:t>
      </w:r>
      <w:r w:rsidR="00D2221F">
        <w:t>do</w:t>
      </w:r>
      <w:r w:rsidRPr="00980D40">
        <w:t xml:space="preserve"> not provide official estimates of excess mortality. </w:t>
      </w:r>
    </w:p>
    <w:p w14:paraId="66AFDBEF" w14:textId="0426C1B4" w:rsidR="00270EAD" w:rsidRDefault="00270EAD" w:rsidP="000E02DC">
      <w:pPr>
        <w:pStyle w:val="Heading2"/>
      </w:pPr>
      <w:bookmarkStart w:id="9" w:name="_Toc194074610"/>
      <w:r w:rsidRPr="00270EAD">
        <w:t>Australian Immunisation Register (AIR)</w:t>
      </w:r>
      <w:bookmarkEnd w:id="9"/>
    </w:p>
    <w:p w14:paraId="7F2C2292" w14:textId="206EAB9D" w:rsidR="00D611E8" w:rsidRDefault="00BF3EE8" w:rsidP="007258C9">
      <w:r>
        <w:t xml:space="preserve">Influenza vaccine coverage </w:t>
      </w:r>
      <w:r w:rsidR="0664A46C">
        <w:t xml:space="preserve">data </w:t>
      </w:r>
      <w:r>
        <w:t xml:space="preserve">in this </w:t>
      </w:r>
      <w:r w:rsidR="003A016C">
        <w:t>annual report are based on data from the AIR</w:t>
      </w:r>
      <w:r w:rsidR="00EB3D5B">
        <w:t>, a</w:t>
      </w:r>
      <w:r w:rsidR="0076679D">
        <w:t xml:space="preserve"> </w:t>
      </w:r>
      <w:r w:rsidR="00BC7CC8">
        <w:t xml:space="preserve">national register that records vaccines given to all people in Australia, </w:t>
      </w:r>
      <w:r w:rsidR="00F92C11">
        <w:t>with data extracted on 6 October 2024.</w:t>
      </w:r>
    </w:p>
    <w:p w14:paraId="103C9E9B" w14:textId="25861CF3" w:rsidR="002E46B7" w:rsidRDefault="002E46B7" w:rsidP="002E46B7">
      <w:r w:rsidRPr="00AF31C7">
        <w:t xml:space="preserve">The </w:t>
      </w:r>
      <w:r w:rsidR="002370F5">
        <w:t>register was initially established</w:t>
      </w:r>
      <w:r w:rsidR="00927901">
        <w:t xml:space="preserve"> in 1996</w:t>
      </w:r>
      <w:r w:rsidR="002370F5">
        <w:t xml:space="preserve"> as the </w:t>
      </w:r>
      <w:r w:rsidRPr="00AF31C7">
        <w:t xml:space="preserve">Australian Childhood Immunisation Register </w:t>
      </w:r>
      <w:r w:rsidR="00CC778B" w:rsidRPr="00AF31C7">
        <w:t xml:space="preserve">using </w:t>
      </w:r>
      <w:r w:rsidRPr="00AF31C7">
        <w:t>demographic data</w:t>
      </w:r>
      <w:r w:rsidR="00AF31C7" w:rsidRPr="00AF31C7">
        <w:t xml:space="preserve"> </w:t>
      </w:r>
      <w:r w:rsidR="00CC778B" w:rsidRPr="00DD66BD">
        <w:t>for</w:t>
      </w:r>
      <w:r w:rsidRPr="00DD66BD">
        <w:t xml:space="preserve"> all </w:t>
      </w:r>
      <w:r w:rsidR="002370F5" w:rsidRPr="00DD66BD">
        <w:t xml:space="preserve">Medicare </w:t>
      </w:r>
      <w:r w:rsidRPr="00DD66BD">
        <w:t xml:space="preserve">enrolled children aged &lt; 7 years. </w:t>
      </w:r>
      <w:r w:rsidR="00AF31C7" w:rsidRPr="00DD66BD">
        <w:t xml:space="preserve">In </w:t>
      </w:r>
      <w:r w:rsidRPr="00DD66BD">
        <w:t xml:space="preserve">2016, the </w:t>
      </w:r>
      <w:r w:rsidR="00AF31C7" w:rsidRPr="00DD66BD">
        <w:t>Australian Childhood Immunisation Register</w:t>
      </w:r>
      <w:r w:rsidRPr="00DD66BD">
        <w:t xml:space="preserve"> expanded to become the AIR, to </w:t>
      </w:r>
      <w:r w:rsidR="00740AF6" w:rsidRPr="00DD66BD">
        <w:t xml:space="preserve">record </w:t>
      </w:r>
      <w:r w:rsidRPr="00DD66BD">
        <w:t>vaccinations given from birth to death</w:t>
      </w:r>
      <w:r w:rsidR="00DD66BD" w:rsidRPr="00DD66BD">
        <w:t xml:space="preserve"> to all people in Australia</w:t>
      </w:r>
      <w:r w:rsidRPr="00DD66BD">
        <w:t>.</w:t>
      </w:r>
      <w:r w:rsidR="00C332D9">
        <w:t xml:space="preserve"> </w:t>
      </w:r>
      <w:r w:rsidR="00C332D9" w:rsidRPr="00C332D9">
        <w:t>Participation in the AIR is ‘opt-out’</w:t>
      </w:r>
      <w:r w:rsidR="006070EE">
        <w:t xml:space="preserve">, </w:t>
      </w:r>
      <w:r w:rsidR="00C332D9" w:rsidRPr="00C332D9">
        <w:t xml:space="preserve">so </w:t>
      </w:r>
      <w:r w:rsidR="004665A7">
        <w:t>it</w:t>
      </w:r>
      <w:r w:rsidR="006070EE">
        <w:t xml:space="preserve"> </w:t>
      </w:r>
      <w:r w:rsidR="00C332D9" w:rsidRPr="00C332D9">
        <w:t>constitutes a nearly complete population register for Australian residents.</w:t>
      </w:r>
      <w:r w:rsidR="001306A0" w:rsidRPr="00DD66BD">
        <w:fldChar w:fldCharType="begin"/>
      </w:r>
      <w:r w:rsidR="001306A0" w:rsidRPr="00DD66BD">
        <w:instrText xml:space="preserve"> ADDIN EN.CITE &lt;EndNote&gt;&lt;Cite&gt;&lt;Author&gt;National Centre for Immunisation Research and Surveillance&lt;/Author&gt;&lt;Year&gt;2024&lt;/Year&gt;&lt;RecNum&gt;2841&lt;/RecNum&gt;&lt;DisplayText&gt;&lt;style face="superscript"&gt;11&lt;/style&gt;&lt;/DisplayText&gt;&lt;record&gt;&lt;rec-number&gt;2841&lt;/rec-number&gt;&lt;foreign-keys&gt;&lt;key app="EN" db-id="ptaw2s0tmse5w0exvrh5d2vpdtxat2eaaazf" timestamp="1742853608"&gt;2841&lt;/key&gt;&lt;/foreign-keys&gt;&lt;ref-type name="Web Page"&gt;12&lt;/ref-type&gt;&lt;contributors&gt;&lt;authors&gt;&lt;author&gt;National Centre for Immunisation Research and Surveillance,&lt;/author&gt;&lt;/authors&gt;&lt;/contributors&gt;&lt;titles&gt;&lt;title&gt;History of immunisation in Australia; Immunisation policy history&lt;/title&gt;&lt;/titles&gt;&lt;dates&gt;&lt;year&gt;2024&lt;/year&gt;&lt;/dates&gt;&lt;pub-location&gt;Westmead&lt;/pub-location&gt;&lt;publisher&gt;National Centre for Immunisation Research and Surveillance&lt;/publisher&gt;&lt;work-type&gt;Internet&lt;/work-type&gt;&lt;urls&gt;&lt;related-urls&gt;&lt;url&gt;https://ncirs.org.au/health-professionals/history-immunisation-australia&lt;/url&gt;&lt;/related-urls&gt;&lt;/urls&gt;&lt;/record&gt;&lt;/Cite&gt;&lt;/EndNote&gt;</w:instrText>
      </w:r>
      <w:r w:rsidR="001306A0" w:rsidRPr="00DD66BD">
        <w:fldChar w:fldCharType="separate"/>
      </w:r>
      <w:r w:rsidR="001306A0" w:rsidRPr="00DD66BD">
        <w:rPr>
          <w:noProof/>
          <w:vertAlign w:val="superscript"/>
        </w:rPr>
        <w:t>11</w:t>
      </w:r>
      <w:r w:rsidR="001306A0" w:rsidRPr="00DD66BD">
        <w:fldChar w:fldCharType="end"/>
      </w:r>
    </w:p>
    <w:p w14:paraId="09674C9D" w14:textId="64D95A2A" w:rsidR="00A95DDB" w:rsidRDefault="00380F30">
      <w:r>
        <w:t>Immunisation d</w:t>
      </w:r>
      <w:r w:rsidR="00B75FD9">
        <w:t xml:space="preserve">ata are transferred to the </w:t>
      </w:r>
      <w:r w:rsidR="007B194F">
        <w:t>register</w:t>
      </w:r>
      <w:r w:rsidR="00B75FD9">
        <w:t xml:space="preserve"> when a recognised </w:t>
      </w:r>
      <w:r w:rsidR="007B194F">
        <w:t xml:space="preserve">Australian-based </w:t>
      </w:r>
      <w:r w:rsidR="00F32737">
        <w:t>i</w:t>
      </w:r>
      <w:r w:rsidR="00B75FD9">
        <w:t xml:space="preserve">mmunisation provider supplies details of an eligible vaccination. This occurs predominantly via </w:t>
      </w:r>
      <w:r w:rsidR="006B6149">
        <w:t>general medical</w:t>
      </w:r>
      <w:r w:rsidR="00B75FD9">
        <w:t xml:space="preserve"> practice managemen</w:t>
      </w:r>
      <w:r w:rsidR="00B75FD9" w:rsidRPr="00E431A4">
        <w:t xml:space="preserve">t software or </w:t>
      </w:r>
      <w:r w:rsidR="006B6149" w:rsidRPr="00E431A4">
        <w:t>via</w:t>
      </w:r>
      <w:r w:rsidR="00B75FD9" w:rsidRPr="00E431A4">
        <w:t xml:space="preserve"> direct data entry on the </w:t>
      </w:r>
      <w:r w:rsidR="000F4D99" w:rsidRPr="00E431A4">
        <w:t>register</w:t>
      </w:r>
      <w:r w:rsidR="00B75FD9" w:rsidRPr="00E431A4">
        <w:t xml:space="preserve"> website</w:t>
      </w:r>
      <w:r w:rsidR="000F4D99" w:rsidRPr="00E431A4">
        <w:t>.</w:t>
      </w:r>
      <w:r w:rsidR="009E4971" w:rsidRPr="00E431A4">
        <w:t xml:space="preserve"> </w:t>
      </w:r>
      <w:r w:rsidR="00A95DDB">
        <w:t>Health</w:t>
      </w:r>
      <w:r w:rsidR="00611CBE">
        <w:t>care</w:t>
      </w:r>
      <w:r w:rsidR="00A95DDB">
        <w:t xml:space="preserve"> practi</w:t>
      </w:r>
      <w:r w:rsidR="00523EC3">
        <w:t>ti</w:t>
      </w:r>
      <w:r w:rsidR="00A95DDB">
        <w:t>on</w:t>
      </w:r>
      <w:r w:rsidR="00523EC3">
        <w:t xml:space="preserve">ers </w:t>
      </w:r>
      <w:proofErr w:type="gramStart"/>
      <w:r w:rsidR="00523EC3">
        <w:t>are able to</w:t>
      </w:r>
      <w:proofErr w:type="gramEnd"/>
      <w:r w:rsidR="00523EC3">
        <w:t xml:space="preserve"> access immunisation data from the register</w:t>
      </w:r>
      <w:r w:rsidR="002828CF">
        <w:t xml:space="preserve">, enabling </w:t>
      </w:r>
      <w:r w:rsidR="007B3058">
        <w:t>them</w:t>
      </w:r>
      <w:r w:rsidR="00611CBE">
        <w:t xml:space="preserve"> to </w:t>
      </w:r>
      <w:r w:rsidR="002828CF" w:rsidRPr="002828CF">
        <w:t xml:space="preserve">provide </w:t>
      </w:r>
      <w:r w:rsidR="00435243">
        <w:t>preventative</w:t>
      </w:r>
      <w:r w:rsidR="002828CF" w:rsidRPr="002828CF">
        <w:t xml:space="preserve"> patient care by ensuring that individuals receive necessary vaccines </w:t>
      </w:r>
      <w:r w:rsidR="002503B2">
        <w:t xml:space="preserve">as per </w:t>
      </w:r>
      <w:r w:rsidR="00D61723">
        <w:t>national and local</w:t>
      </w:r>
      <w:r w:rsidR="002503B2">
        <w:t xml:space="preserve"> immunisation </w:t>
      </w:r>
      <w:r w:rsidR="00EA655D">
        <w:t>sched</w:t>
      </w:r>
      <w:r w:rsidR="005C7D56">
        <w:t>ule</w:t>
      </w:r>
      <w:r w:rsidR="00D61723">
        <w:t>s</w:t>
      </w:r>
      <w:r w:rsidR="002828CF" w:rsidRPr="002828CF">
        <w:t>.</w:t>
      </w:r>
      <w:r w:rsidR="00523EC3">
        <w:t xml:space="preserve"> </w:t>
      </w:r>
    </w:p>
    <w:p w14:paraId="592F3387" w14:textId="7BDA608B" w:rsidR="00270EAD" w:rsidRDefault="007258C9">
      <w:r w:rsidRPr="00033A2E">
        <w:t xml:space="preserve">Mandatory reporting to the </w:t>
      </w:r>
      <w:r w:rsidR="009E4971" w:rsidRPr="00033A2E">
        <w:t>register</w:t>
      </w:r>
      <w:r w:rsidRPr="00033A2E">
        <w:t xml:space="preserve"> was introduced</w:t>
      </w:r>
      <w:r w:rsidR="00137B1F">
        <w:t xml:space="preserve"> for</w:t>
      </w:r>
      <w:r w:rsidR="00A42640">
        <w:t xml:space="preserve"> COVID-19 vaccines from 20 February 2021, for influenza vaccines from 1 March 2021, and </w:t>
      </w:r>
      <w:r w:rsidRPr="00033A2E">
        <w:t>for all vaccines given to people of any age under the N</w:t>
      </w:r>
      <w:r w:rsidR="009E4971" w:rsidRPr="00033A2E">
        <w:t xml:space="preserve">ational </w:t>
      </w:r>
      <w:r w:rsidRPr="00033A2E">
        <w:t>I</w:t>
      </w:r>
      <w:r w:rsidR="009E4971" w:rsidRPr="00033A2E">
        <w:t xml:space="preserve">mmunisation </w:t>
      </w:r>
      <w:r w:rsidRPr="00033A2E">
        <w:t>P</w:t>
      </w:r>
      <w:r w:rsidR="009E4971" w:rsidRPr="00033A2E">
        <w:t>rogram</w:t>
      </w:r>
      <w:r w:rsidR="00A42640">
        <w:t xml:space="preserve"> from 1 July 2021</w:t>
      </w:r>
      <w:r w:rsidRPr="00033A2E">
        <w:t>.</w:t>
      </w:r>
      <w:r w:rsidR="00AF413D">
        <w:fldChar w:fldCharType="begin"/>
      </w:r>
      <w:r w:rsidR="00AF413D">
        <w:instrText xml:space="preserve"> ADDIN EN.CITE &lt;EndNote&gt;&lt;Cite&gt;&lt;Author&gt;National Centre for Immunisation Research and Surveillance&lt;/Author&gt;&lt;Year&gt;2024&lt;/Year&gt;&lt;RecNum&gt;2841&lt;/RecNum&gt;&lt;DisplayText&gt;&lt;style face="superscript"&gt;11&lt;/style&gt;&lt;/DisplayText&gt;&lt;record&gt;&lt;rec-number&gt;2841&lt;/rec-number&gt;&lt;foreign-keys&gt;&lt;key app="EN" db-id="ptaw2s0tmse5w0exvrh5d2vpdtxat2eaaazf" timestamp="1742853608"&gt;2841&lt;/key&gt;&lt;/foreign-keys&gt;&lt;ref-type name="Web Page"&gt;12&lt;/ref-type&gt;&lt;contributors&gt;&lt;authors&gt;&lt;author&gt;National Centre for Immunisation Research and Surveillance,&lt;/author&gt;&lt;/authors&gt;&lt;/contributors&gt;&lt;titles&gt;&lt;title&gt;History of immunisation in Australia; Immunisation policy history&lt;/title&gt;&lt;/titles&gt;&lt;dates&gt;&lt;year&gt;2024&lt;/year&gt;&lt;/dates&gt;&lt;pub-location&gt;Westmead&lt;/pub-location&gt;&lt;publisher&gt;National Centre for Immunisation Research and Surveillance&lt;/publisher&gt;&lt;work-type&gt;Internet&lt;/work-type&gt;&lt;urls&gt;&lt;related-urls&gt;&lt;url&gt;https://ncirs.org.au/health-professionals/history-immunisation-australia&lt;/url&gt;&lt;/related-urls&gt;&lt;/urls&gt;&lt;/record&gt;&lt;/Cite&gt;&lt;/EndNote&gt;</w:instrText>
      </w:r>
      <w:r w:rsidR="00AF413D">
        <w:fldChar w:fldCharType="separate"/>
      </w:r>
      <w:r w:rsidR="00AF413D" w:rsidRPr="00AF413D">
        <w:rPr>
          <w:noProof/>
          <w:vertAlign w:val="superscript"/>
        </w:rPr>
        <w:t>11</w:t>
      </w:r>
      <w:r w:rsidR="00AF413D">
        <w:fldChar w:fldCharType="end"/>
      </w:r>
    </w:p>
    <w:p w14:paraId="5BB25828" w14:textId="3D99D051" w:rsidR="007258C9" w:rsidRDefault="46BCD27C" w:rsidP="000E02DC">
      <w:r>
        <w:t xml:space="preserve">Influenza vaccination coverage was calculated using the number of Medicare registered people in the relevant age group with at least one dose of influenza vaccine recorded in the AIR in the report </w:t>
      </w:r>
      <w:proofErr w:type="spellStart"/>
      <w:r>
        <w:t>eyar</w:t>
      </w:r>
      <w:proofErr w:type="spellEnd"/>
      <w:r>
        <w:t xml:space="preserve"> as the numerator </w:t>
      </w:r>
      <w:r w:rsidR="00040F21">
        <w:t xml:space="preserve">and the total number of </w:t>
      </w:r>
      <w:r w:rsidR="00D23DFF">
        <w:t>people</w:t>
      </w:r>
      <w:r w:rsidR="00040F21">
        <w:t xml:space="preserve"> registered on the AIR in each relevant age group as the denominator. Vaccination numerators were based on age at vaccination and age group denominators based on age </w:t>
      </w:r>
      <w:proofErr w:type="gramStart"/>
      <w:r w:rsidR="00040F21">
        <w:t>at</w:t>
      </w:r>
      <w:proofErr w:type="gramEnd"/>
      <w:r w:rsidR="00040F21">
        <w:t xml:space="preserve"> </w:t>
      </w:r>
      <w:r w:rsidR="00A130C3">
        <w:t>1 July</w:t>
      </w:r>
      <w:r w:rsidR="003E00C6">
        <w:t xml:space="preserve"> of the report year (i.e., 2024)</w:t>
      </w:r>
      <w:r w:rsidR="00040F21">
        <w:t>.</w:t>
      </w:r>
      <w:r w:rsidR="0065241B">
        <w:t xml:space="preserve"> If a person becomes end-dated (deceased or permanently left Australia)</w:t>
      </w:r>
      <w:r w:rsidR="00034BEA">
        <w:t xml:space="preserve"> within the report year</w:t>
      </w:r>
      <w:r w:rsidR="000953F0">
        <w:t>, they are excluded from the number of persons vaccinated and therefore coverage measures.</w:t>
      </w:r>
      <w:r w:rsidR="00040F21">
        <w:t xml:space="preserve"> </w:t>
      </w:r>
      <w:r w:rsidR="002672AD">
        <w:t xml:space="preserve">Vaccine coverage is expressed as the proportion of complete immunisation by </w:t>
      </w:r>
      <w:proofErr w:type="gramStart"/>
      <w:r w:rsidR="002672AD">
        <w:t>particular age</w:t>
      </w:r>
      <w:proofErr w:type="gramEnd"/>
      <w:r w:rsidR="009621BD">
        <w:t xml:space="preserve"> group</w:t>
      </w:r>
      <w:r w:rsidR="002672AD">
        <w:t>s.</w:t>
      </w:r>
      <w:r w:rsidR="008D38CA">
        <w:t xml:space="preserve"> Vaccine coverage data in this annual report may differ slightly from coverage estimates published elsewhere due to differences in calculation methodologies and/or different data </w:t>
      </w:r>
      <w:r w:rsidR="00146894">
        <w:t>extraction</w:t>
      </w:r>
      <w:r w:rsidR="008D38CA">
        <w:t xml:space="preserve"> dates.</w:t>
      </w:r>
    </w:p>
    <w:p w14:paraId="52D22FB7" w14:textId="04777B44" w:rsidR="006815C0" w:rsidRDefault="006815C0" w:rsidP="000E02DC">
      <w:pPr>
        <w:pStyle w:val="Heading2"/>
      </w:pPr>
      <w:bookmarkStart w:id="10" w:name="_Toc194074611"/>
      <w:proofErr w:type="spellStart"/>
      <w:r>
        <w:t>FluTracking</w:t>
      </w:r>
      <w:bookmarkEnd w:id="10"/>
      <w:proofErr w:type="spellEnd"/>
    </w:p>
    <w:p w14:paraId="523C1744" w14:textId="77777777" w:rsidR="00BA0516" w:rsidRDefault="00AD5BE9" w:rsidP="00DC0083">
      <w:r>
        <w:t>Self-reported respiratory illness and testing behaviours</w:t>
      </w:r>
      <w:r w:rsidR="00D54082">
        <w:t xml:space="preserve"> in this annual report are based on data</w:t>
      </w:r>
      <w:r w:rsidR="00927BF1">
        <w:t xml:space="preserve"> voluntarily reported through </w:t>
      </w:r>
      <w:r w:rsidR="00CD5A30">
        <w:t>weekly surveys</w:t>
      </w:r>
      <w:r w:rsidR="00971B2E">
        <w:t xml:space="preserve"> conducted by </w:t>
      </w:r>
      <w:proofErr w:type="spellStart"/>
      <w:r w:rsidR="00971B2E">
        <w:t>FluTracking</w:t>
      </w:r>
      <w:proofErr w:type="spellEnd"/>
      <w:r w:rsidR="00971B2E">
        <w:t>, with data extracted on 19 March 2025.</w:t>
      </w:r>
      <w:r w:rsidR="00D54082">
        <w:t xml:space="preserve"> </w:t>
      </w:r>
    </w:p>
    <w:p w14:paraId="31461E1B" w14:textId="16C7BBD7" w:rsidR="00DC0083" w:rsidRPr="00E46068" w:rsidRDefault="00BA0516" w:rsidP="00DC0083">
      <w:r w:rsidRPr="00E46068">
        <w:t xml:space="preserve">In 2024, approximately 50,000 people completed a </w:t>
      </w:r>
      <w:proofErr w:type="spellStart"/>
      <w:r w:rsidRPr="00E46068">
        <w:t>FluTracking</w:t>
      </w:r>
      <w:proofErr w:type="spellEnd"/>
      <w:r w:rsidRPr="00E46068">
        <w:t xml:space="preserve"> survey each week in Australia.</w:t>
      </w:r>
      <w:r>
        <w:t xml:space="preserve"> </w:t>
      </w:r>
      <w:proofErr w:type="spellStart"/>
      <w:r w:rsidR="00DC0083" w:rsidRPr="0092341D">
        <w:t>FluTracking</w:t>
      </w:r>
      <w:proofErr w:type="spellEnd"/>
      <w:r w:rsidR="00DC0083" w:rsidRPr="0092341D">
        <w:t xml:space="preserve"> provides consistent community level surveillance of respiratory illness activity in all jurisdictions and over time</w:t>
      </w:r>
      <w:r w:rsidR="0092341D" w:rsidRPr="00B00014">
        <w:t>, as data are not biased by health-seeking behaviour, clinician testing practices or differences in jurisdictional surveillance methods.</w:t>
      </w:r>
      <w:r w:rsidR="00996FAB">
        <w:fldChar w:fldCharType="begin"/>
      </w:r>
      <w:r w:rsidR="001306A0">
        <w:instrText xml:space="preserve"> ADDIN EN.CITE &lt;EndNote&gt;&lt;Cite&gt;&lt;Author&gt;Carlson&lt;/Author&gt;&lt;Year&gt;2023&lt;/Year&gt;&lt;RecNum&gt;2835&lt;/RecNum&gt;&lt;DisplayText&gt;&lt;style face="superscript"&gt;12&lt;/style&gt;&lt;/DisplayText&gt;&lt;record&gt;&lt;rec-number&gt;2835&lt;/rec-number&gt;&lt;foreign-keys&gt;&lt;key app="EN" db-id="ptaw2s0tmse5w0exvrh5d2vpdtxat2eaaazf" timestamp="1742786151"&gt;2835&lt;/key&gt;&lt;/foreign-keys&gt;&lt;ref-type name="Journal Article"&gt;17&lt;/ref-type&gt;&lt;contributors&gt;&lt;authors&gt;&lt;author&gt;Carlson, Sandra J &lt;/author&gt;&lt;author&gt;Innes, Reilly J I&lt;/author&gt;&lt;author&gt;Howard, Zachary L&lt;/author&gt;&lt;author&gt;Baldwin,  Zoe &lt;/author&gt;&lt;author&gt;Butler, Michelle&lt;/author&gt;&lt;author&gt;Dalton, Craig B &lt;/author&gt;&lt;/authors&gt;&lt;/contributors&gt;&lt;titles&gt;&lt;title&gt;FluTracking: Weekly online community-based surveillance of influenza-like illness in Australia, 2019 Annual Report&lt;/title&gt;&lt;secondary-title&gt;Commun Dis Intell&lt;/secondary-title&gt;&lt;/titles&gt;&lt;periodical&gt;&lt;full-title&gt;Commun Dis Intell&lt;/full-title&gt;&lt;/periodical&gt;&lt;volume&gt;47&lt;/volume&gt;&lt;dates&gt;&lt;year&gt;2023&lt;/year&gt;&lt;/dates&gt;&lt;urls&gt;&lt;/urls&gt;&lt;electronic-resource-num&gt;doi: https://doi.org/10.33321/cdi.2023.47.14&lt;/electronic-resource-num&gt;&lt;/record&gt;&lt;/Cite&gt;&lt;/EndNote&gt;</w:instrText>
      </w:r>
      <w:r w:rsidR="00996FAB">
        <w:fldChar w:fldCharType="separate"/>
      </w:r>
      <w:r w:rsidR="001306A0" w:rsidRPr="001306A0">
        <w:rPr>
          <w:noProof/>
          <w:vertAlign w:val="superscript"/>
        </w:rPr>
        <w:t>12</w:t>
      </w:r>
      <w:r w:rsidR="00996FAB">
        <w:fldChar w:fldCharType="end"/>
      </w:r>
      <w:r>
        <w:t xml:space="preserve"> </w:t>
      </w:r>
    </w:p>
    <w:p w14:paraId="16B99874" w14:textId="30F98600" w:rsidR="00A82454" w:rsidRDefault="002D385A" w:rsidP="00DC0083">
      <w:r>
        <w:t>Across all years, a participant was defined as anyone who had a survey submitted by themselves or on their behalf</w:t>
      </w:r>
      <w:r w:rsidRPr="00FC3628">
        <w:t xml:space="preserve">. </w:t>
      </w:r>
      <w:r w:rsidR="00DC0083" w:rsidRPr="00FC3628">
        <w:t>For fever and cough percentage calculations, the numerator includes all participants who completed a survey for the current week and reported new fever and cough symptoms, and the denominator includes all participants who completed a survey for that week.</w:t>
      </w:r>
      <w:r w:rsidR="00CE579C">
        <w:t xml:space="preserve"> All participants</w:t>
      </w:r>
      <w:r w:rsidR="00CE4187">
        <w:t xml:space="preserve"> were asked to enter the results of any </w:t>
      </w:r>
      <w:r w:rsidR="00FC3F58" w:rsidRPr="00FC3F58">
        <w:t>severe acute respiratory syndrome coronavirus 2 (SARS-CoV-2)</w:t>
      </w:r>
      <w:r w:rsidR="00FC3F58">
        <w:t xml:space="preserve"> RAT or </w:t>
      </w:r>
      <w:r w:rsidR="00CD2AF4" w:rsidRPr="00203C5E">
        <w:t>polymerase chain reaction</w:t>
      </w:r>
      <w:r w:rsidR="00CD2AF4">
        <w:t xml:space="preserve"> </w:t>
      </w:r>
      <w:r w:rsidR="00FC3F58">
        <w:t>(PCR)</w:t>
      </w:r>
      <w:r w:rsidR="00F14034">
        <w:t xml:space="preserve"> </w:t>
      </w:r>
      <w:r w:rsidR="00F14034">
        <w:lastRenderedPageBreak/>
        <w:t xml:space="preserve">tests, or any influenza PCR tests performed. </w:t>
      </w:r>
      <w:r w:rsidR="00272B64">
        <w:t xml:space="preserve">Participants may be represented in both </w:t>
      </w:r>
      <w:r w:rsidR="00272B64" w:rsidRPr="00272B64">
        <w:t>SARS-CoV-2 RAT or PCR</w:t>
      </w:r>
      <w:r w:rsidR="00272B64">
        <w:t xml:space="preserve"> proportions</w:t>
      </w:r>
      <w:r w:rsidR="00A82454">
        <w:t>.</w:t>
      </w:r>
      <w:r w:rsidR="00A82454">
        <w:fldChar w:fldCharType="begin"/>
      </w:r>
      <w:r w:rsidR="00A82454">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rsidR="00A82454">
        <w:fldChar w:fldCharType="separate"/>
      </w:r>
      <w:r w:rsidR="00A82454" w:rsidRPr="001306A0">
        <w:rPr>
          <w:noProof/>
          <w:vertAlign w:val="superscript"/>
        </w:rPr>
        <w:t>13</w:t>
      </w:r>
      <w:r w:rsidR="00A82454">
        <w:fldChar w:fldCharType="end"/>
      </w:r>
    </w:p>
    <w:p w14:paraId="1676B891" w14:textId="55A0D935" w:rsidR="00CE579C" w:rsidRDefault="001F04CB" w:rsidP="00DC0083">
      <w:r>
        <w:t>Part</w:t>
      </w:r>
      <w:r w:rsidR="00131B6C">
        <w:t>icipants who reported time off work or normal duties, or who sought medical advice/care</w:t>
      </w:r>
      <w:r w:rsidR="00167DF2">
        <w:t xml:space="preserve"> at any time while reporting new fever and cough symptoms were recorded in the same survey week of the report of new fever and cough symptoms.</w:t>
      </w:r>
      <w:r w:rsidR="00E8642D">
        <w:fldChar w:fldCharType="begin"/>
      </w:r>
      <w:r w:rsidR="001306A0">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rsidR="00E8642D">
        <w:fldChar w:fldCharType="separate"/>
      </w:r>
      <w:r w:rsidR="001306A0" w:rsidRPr="001306A0">
        <w:rPr>
          <w:noProof/>
          <w:vertAlign w:val="superscript"/>
        </w:rPr>
        <w:t>13</w:t>
      </w:r>
      <w:r w:rsidR="00E8642D">
        <w:fldChar w:fldCharType="end"/>
      </w:r>
    </w:p>
    <w:p w14:paraId="05AA97E7" w14:textId="77777777" w:rsidR="002F4C91" w:rsidRPr="007E2EE7" w:rsidRDefault="002F4C91" w:rsidP="001D2466">
      <w:pPr>
        <w:pStyle w:val="Heading3"/>
      </w:pPr>
      <w:r w:rsidRPr="007E2EE7">
        <w:t>Notes on interpretation</w:t>
      </w:r>
    </w:p>
    <w:p w14:paraId="0673070C" w14:textId="7DB2A860" w:rsidR="002413B1" w:rsidRDefault="00E677B9" w:rsidP="00642713">
      <w:proofErr w:type="spellStart"/>
      <w:r w:rsidRPr="00E677B9">
        <w:t>FluTracking</w:t>
      </w:r>
      <w:proofErr w:type="spellEnd"/>
      <w:r w:rsidRPr="00E677B9">
        <w:t xml:space="preserve"> uses the direct method</w:t>
      </w:r>
      <w:r>
        <w:t xml:space="preserve"> for age standardisation</w:t>
      </w:r>
      <w:r w:rsidRPr="00E677B9">
        <w:t>, which combines data from different age groups to get an overall picture</w:t>
      </w:r>
      <w:r>
        <w:t>.</w:t>
      </w:r>
      <w:r>
        <w:fldChar w:fldCharType="begin"/>
      </w:r>
      <w:r>
        <w:instrText xml:space="preserve"> ADDIN EN.CITE &lt;EndNote&gt;&lt;Cite ExcludeYear="1"&gt;&lt;Author&gt;FluTracking&lt;/Author&gt;&lt;RecNum&gt;2840&lt;/RecNum&gt;&lt;DisplayText&gt;&lt;style face="superscript"&gt;13&lt;/style&gt;&lt;/DisplayText&gt;&lt;record&gt;&lt;rec-number&gt;2840&lt;/rec-number&gt;&lt;foreign-keys&gt;&lt;key app="EN" db-id="ptaw2s0tmse5w0exvrh5d2vpdtxat2eaaazf" timestamp="1742796166"&gt;2840&lt;/key&gt;&lt;/foreign-keys&gt;&lt;ref-type name="Web Page"&gt;12&lt;/ref-type&gt;&lt;contributors&gt;&lt;authors&gt;&lt;author&gt;FluTracking,&lt;/author&gt;&lt;/authors&gt;&lt;/contributors&gt;&lt;titles&gt;&lt;title&gt;Methods for calculating Fever and Cough Incidence&lt;/title&gt;&lt;/titles&gt;&lt;dates&gt;&lt;/dates&gt;&lt;pub-location&gt;Wallsend&lt;/pub-location&gt;&lt;publisher&gt;FluTracking&lt;/publisher&gt;&lt;work-type&gt;Internet&lt;/work-type&gt;&lt;urls&gt;&lt;related-urls&gt;&lt;url&gt;https://info.flutracking.net/methods/&lt;/url&gt;&lt;/related-urls&gt;&lt;/urls&gt;&lt;/record&gt;&lt;/Cite&gt;&lt;/EndNote&gt;</w:instrText>
      </w:r>
      <w:r>
        <w:fldChar w:fldCharType="separate"/>
      </w:r>
      <w:r w:rsidRPr="001306A0">
        <w:rPr>
          <w:noProof/>
          <w:vertAlign w:val="superscript"/>
        </w:rPr>
        <w:t>13</w:t>
      </w:r>
      <w:r>
        <w:fldChar w:fldCharType="end"/>
      </w:r>
      <w:r w:rsidR="0000716E">
        <w:t xml:space="preserve"> </w:t>
      </w:r>
      <w:r w:rsidR="002413B1" w:rsidRPr="00E46068">
        <w:t>Participants are given the option to opt-out over the summer period and as a result there is a reduced sample size from October to April.</w:t>
      </w:r>
    </w:p>
    <w:p w14:paraId="7D5ECF58" w14:textId="50D9931C" w:rsidR="00272B64" w:rsidRDefault="00EE2ABD" w:rsidP="000E02DC">
      <w:r w:rsidRPr="00B00014">
        <w:t xml:space="preserve">Aboriginal and Torres Strait Islander </w:t>
      </w:r>
      <w:r w:rsidR="002D385A" w:rsidRPr="007E2EE7">
        <w:t xml:space="preserve">status has been included in the </w:t>
      </w:r>
      <w:proofErr w:type="spellStart"/>
      <w:r w:rsidR="002D385A" w:rsidRPr="007E2EE7">
        <w:t>FluTracking</w:t>
      </w:r>
      <w:proofErr w:type="spellEnd"/>
      <w:r w:rsidR="002D385A" w:rsidRPr="007E2EE7">
        <w:t xml:space="preserve"> registration survey since 2012.</w:t>
      </w:r>
      <w:r w:rsidRPr="00B00014">
        <w:t xml:space="preserve"> </w:t>
      </w:r>
      <w:r w:rsidR="007C3B04" w:rsidRPr="00B00014">
        <w:t xml:space="preserve">The percentage of participants who identified as Aboriginal and Torres Strait Islander </w:t>
      </w:r>
      <w:r w:rsidR="007E2EE7" w:rsidRPr="00B00014">
        <w:t xml:space="preserve">are underrepresented in the </w:t>
      </w:r>
      <w:proofErr w:type="spellStart"/>
      <w:r w:rsidR="007E2EE7" w:rsidRPr="00B00014">
        <w:t>FluTracking</w:t>
      </w:r>
      <w:proofErr w:type="spellEnd"/>
      <w:r w:rsidR="007E2EE7" w:rsidRPr="00B00014">
        <w:t xml:space="preserve"> data, compared with the Australian population.</w:t>
      </w:r>
      <w:r w:rsidR="00B00014">
        <w:fldChar w:fldCharType="begin"/>
      </w:r>
      <w:r w:rsidR="001306A0">
        <w:instrText xml:space="preserve"> ADDIN EN.CITE &lt;EndNote&gt;&lt;Cite&gt;&lt;Author&gt;Carlson&lt;/Author&gt;&lt;Year&gt;2023&lt;/Year&gt;&lt;RecNum&gt;2835&lt;/RecNum&gt;&lt;DisplayText&gt;&lt;style face="superscript"&gt;12&lt;/style&gt;&lt;/DisplayText&gt;&lt;record&gt;&lt;rec-number&gt;2835&lt;/rec-number&gt;&lt;foreign-keys&gt;&lt;key app="EN" db-id="ptaw2s0tmse5w0exvrh5d2vpdtxat2eaaazf" timestamp="1742786151"&gt;2835&lt;/key&gt;&lt;/foreign-keys&gt;&lt;ref-type name="Journal Article"&gt;17&lt;/ref-type&gt;&lt;contributors&gt;&lt;authors&gt;&lt;author&gt;Carlson, Sandra J &lt;/author&gt;&lt;author&gt;Innes, Reilly J I&lt;/author&gt;&lt;author&gt;Howard, Zachary L&lt;/author&gt;&lt;author&gt;Baldwin,  Zoe &lt;/author&gt;&lt;author&gt;Butler, Michelle&lt;/author&gt;&lt;author&gt;Dalton, Craig B &lt;/author&gt;&lt;/authors&gt;&lt;/contributors&gt;&lt;titles&gt;&lt;title&gt;FluTracking: Weekly online community-based surveillance of influenza-like illness in Australia, 2019 Annual Report&lt;/title&gt;&lt;secondary-title&gt;Commun Dis Intell&lt;/secondary-title&gt;&lt;/titles&gt;&lt;periodical&gt;&lt;full-title&gt;Commun Dis Intell&lt;/full-title&gt;&lt;/periodical&gt;&lt;volume&gt;47&lt;/volume&gt;&lt;dates&gt;&lt;year&gt;2023&lt;/year&gt;&lt;/dates&gt;&lt;urls&gt;&lt;/urls&gt;&lt;electronic-resource-num&gt;doi: https://doi.org/10.33321/cdi.2023.47.14&lt;/electronic-resource-num&gt;&lt;/record&gt;&lt;/Cite&gt;&lt;/EndNote&gt;</w:instrText>
      </w:r>
      <w:r w:rsidR="00B00014">
        <w:fldChar w:fldCharType="separate"/>
      </w:r>
      <w:r w:rsidR="001306A0" w:rsidRPr="001306A0">
        <w:rPr>
          <w:noProof/>
          <w:vertAlign w:val="superscript"/>
        </w:rPr>
        <w:t>12</w:t>
      </w:r>
      <w:r w:rsidR="00B00014">
        <w:fldChar w:fldCharType="end"/>
      </w:r>
    </w:p>
    <w:p w14:paraId="542627FC" w14:textId="196C17EE" w:rsidR="006815C0" w:rsidRDefault="00564274">
      <w:r w:rsidRPr="00564274">
        <w:rPr>
          <w:rFonts w:cs="Arial"/>
          <w:b/>
          <w:bCs/>
          <w:sz w:val="26"/>
          <w:szCs w:val="26"/>
        </w:rPr>
        <w:t>Australian Sentinel Practices Research Network (ASPREN)</w:t>
      </w:r>
    </w:p>
    <w:p w14:paraId="12C93443" w14:textId="333C62FA" w:rsidR="005E17E1" w:rsidRDefault="005E17E1" w:rsidP="001D2466">
      <w:pPr>
        <w:pStyle w:val="ListBullet"/>
        <w:numPr>
          <w:ilvl w:val="0"/>
          <w:numId w:val="0"/>
        </w:numPr>
      </w:pPr>
      <w:r>
        <w:t xml:space="preserve">Influenza-like-illness </w:t>
      </w:r>
      <w:r w:rsidR="00765CD4">
        <w:t xml:space="preserve">(ILI) </w:t>
      </w:r>
      <w:r w:rsidR="00B1011D">
        <w:t xml:space="preserve">and community virological </w:t>
      </w:r>
      <w:r>
        <w:t>trends</w:t>
      </w:r>
      <w:r w:rsidR="00A937ED">
        <w:t xml:space="preserve"> in this annual report are based on da</w:t>
      </w:r>
      <w:r w:rsidR="00A937ED" w:rsidRPr="00BE7A5B">
        <w:t>ta</w:t>
      </w:r>
      <w:r w:rsidR="00A937ED" w:rsidRPr="00EC5A9B">
        <w:t xml:space="preserve"> </w:t>
      </w:r>
      <w:r w:rsidRPr="00EC5A9B">
        <w:t xml:space="preserve">from </w:t>
      </w:r>
      <w:r w:rsidR="00BD1F10" w:rsidRPr="00EC5A9B">
        <w:t>ASPREN</w:t>
      </w:r>
      <w:r w:rsidR="00BE7A5B" w:rsidRPr="00EC5A9B">
        <w:t>,</w:t>
      </w:r>
      <w:r w:rsidR="00BD1F10" w:rsidRPr="00EC5A9B">
        <w:t xml:space="preserve"> </w:t>
      </w:r>
      <w:r w:rsidR="00CA6460" w:rsidRPr="00BE7A5B">
        <w:t>a year-round</w:t>
      </w:r>
      <w:r w:rsidR="00DA3A48">
        <w:t>, nationally representative,</w:t>
      </w:r>
      <w:r w:rsidR="00CA6460" w:rsidRPr="00BE7A5B">
        <w:t xml:space="preserve"> network of sentinel general practices sites</w:t>
      </w:r>
      <w:r w:rsidR="003570CC" w:rsidRPr="00EC5A9B">
        <w:t xml:space="preserve">, with data extracted on </w:t>
      </w:r>
      <w:r w:rsidR="00BE7A5B" w:rsidRPr="00EC5A9B">
        <w:t xml:space="preserve">26 </w:t>
      </w:r>
      <w:r w:rsidR="003570CC" w:rsidRPr="00EC5A9B">
        <w:t>February 2025.</w:t>
      </w:r>
      <w:r w:rsidR="00CA6460" w:rsidRPr="00BE7A5B">
        <w:t xml:space="preserve"> </w:t>
      </w:r>
    </w:p>
    <w:p w14:paraId="4BA2EC79" w14:textId="6A0B0C0F" w:rsidR="00E84452" w:rsidRDefault="00E84452" w:rsidP="001D2466">
      <w:pPr>
        <w:pStyle w:val="ListBullet"/>
        <w:numPr>
          <w:ilvl w:val="0"/>
          <w:numId w:val="0"/>
        </w:numPr>
      </w:pPr>
      <w:r>
        <w:t>In 2024, over 450 general practitioners and nurse practitioners</w:t>
      </w:r>
      <w:r w:rsidR="004F19E1">
        <w:t xml:space="preserve"> from 225 sentinel sites across</w:t>
      </w:r>
      <w:r w:rsidR="00AD547E">
        <w:t xml:space="preserve"> all jurisdictions</w:t>
      </w:r>
      <w:r w:rsidR="00583A0B">
        <w:t xml:space="preserve"> reported presentations of defined medical conditions each week. Defined medical conditions</w:t>
      </w:r>
      <w:r w:rsidR="00860C8E">
        <w:t xml:space="preserve"> monitored in 2024</w:t>
      </w:r>
      <w:r w:rsidR="00583A0B">
        <w:t xml:space="preserve"> </w:t>
      </w:r>
      <w:r w:rsidR="00860C8E">
        <w:t>included</w:t>
      </w:r>
      <w:r w:rsidR="00583A0B">
        <w:t xml:space="preserve"> </w:t>
      </w:r>
      <w:r w:rsidR="00765CD4">
        <w:t>ILI</w:t>
      </w:r>
      <w:r w:rsidR="00860C8E">
        <w:t>, gastroenteritis, chickenpox</w:t>
      </w:r>
      <w:r w:rsidR="003672C3">
        <w:t>,</w:t>
      </w:r>
      <w:r w:rsidR="00860C8E">
        <w:t xml:space="preserve"> and shingles. </w:t>
      </w:r>
      <w:r w:rsidR="00FB4DE3">
        <w:t xml:space="preserve">Participating practitioners are required to report the total number of patients seen weekly (i.e., weekly consultations) as well as notifying when they see a patient fitting the relevant case definition. </w:t>
      </w:r>
      <w:r w:rsidR="00765CD4">
        <w:t>ILI</w:t>
      </w:r>
      <w:r w:rsidR="001A4C82">
        <w:t xml:space="preserve"> wa</w:t>
      </w:r>
      <w:r w:rsidR="009455CD">
        <w:t xml:space="preserve">s defined as </w:t>
      </w:r>
      <w:r w:rsidR="009455CD" w:rsidRPr="009455CD">
        <w:t>an acute respiratory infection with fever (patient reported or measured) and cough with an onset within the last 7 days</w:t>
      </w:r>
      <w:r w:rsidR="001A4C82">
        <w:t>, aligning with the World Health Organization (WHO) surveillance case definition for ILI</w:t>
      </w:r>
      <w:r w:rsidR="009455CD" w:rsidRPr="009455CD">
        <w:t>.</w:t>
      </w:r>
      <w:r w:rsidR="001A4C82">
        <w:fldChar w:fldCharType="begin"/>
      </w:r>
      <w:r w:rsidR="001306A0">
        <w:instrText xml:space="preserve"> ADDIN EN.CITE &lt;EndNote&gt;&lt;Cite&gt;&lt;Author&gt;Global Influenza Programme&lt;/Author&gt;&lt;Year&gt;2025&lt;/Year&gt;&lt;RecNum&gt;2839&lt;/RecNum&gt;&lt;DisplayText&gt;&lt;style face="superscript"&gt;14&lt;/style&gt;&lt;/DisplayText&gt;&lt;record&gt;&lt;rec-number&gt;2839&lt;/rec-number&gt;&lt;foreign-keys&gt;&lt;key app="EN" db-id="ptaw2s0tmse5w0exvrh5d2vpdtxat2eaaazf" timestamp="1742790793"&gt;2839&lt;/key&gt;&lt;/foreign-keys&gt;&lt;ref-type name="Web Page"&gt;12&lt;/ref-type&gt;&lt;contributors&gt;&lt;authors&gt;&lt;author&gt;Global Influenza Programme,&lt;/author&gt;&lt;/authors&gt;&lt;/contributors&gt;&lt;titles&gt;&lt;title&gt;WHO surveillance case definitions for ILI and SARI&lt;/title&gt;&lt;/titles&gt;&lt;dates&gt;&lt;year&gt;2025&lt;/year&gt;&lt;/dates&gt;&lt;pub-location&gt;Geneva&lt;/pub-location&gt;&lt;publisher&gt;World Health Organization&lt;/publisher&gt;&lt;work-type&gt;Internet&lt;/work-type&gt;&lt;urls&gt;&lt;related-urls&gt;&lt;url&gt;https://www.who.int/teams/global-influenza-programme/surveillance-and-monitoring/case-definitions-for-ili-and-sari&lt;/url&gt;&lt;/related-urls&gt;&lt;/urls&gt;&lt;/record&gt;&lt;/Cite&gt;&lt;/EndNote&gt;</w:instrText>
      </w:r>
      <w:r w:rsidR="001A4C82">
        <w:fldChar w:fldCharType="separate"/>
      </w:r>
      <w:r w:rsidR="001306A0" w:rsidRPr="001306A0">
        <w:rPr>
          <w:noProof/>
          <w:vertAlign w:val="superscript"/>
        </w:rPr>
        <w:t>14</w:t>
      </w:r>
      <w:r w:rsidR="001A4C82">
        <w:fldChar w:fldCharType="end"/>
      </w:r>
    </w:p>
    <w:p w14:paraId="0533A726" w14:textId="3FFF42DB" w:rsidR="009455CD" w:rsidRPr="00EC5A9B" w:rsidRDefault="00555468" w:rsidP="001D2466">
      <w:pPr>
        <w:pStyle w:val="ListBullet"/>
        <w:numPr>
          <w:ilvl w:val="0"/>
          <w:numId w:val="0"/>
        </w:numPr>
      </w:pPr>
      <w:r w:rsidRPr="00EC5A9B">
        <w:t>Consistent with international general practice surveillance systems, rate</w:t>
      </w:r>
      <w:r w:rsidR="00DA3A48">
        <w:t>s are</w:t>
      </w:r>
      <w:r w:rsidRPr="00EC5A9B">
        <w:t xml:space="preserve"> reported as the number of ILI notifications per 1,000 consultations per week</w:t>
      </w:r>
      <w:r w:rsidR="00EC5A9B" w:rsidRPr="00EC5A9B">
        <w:t xml:space="preserve">. </w:t>
      </w:r>
    </w:p>
    <w:p w14:paraId="091C6211" w14:textId="72E2FD1B" w:rsidR="006815C0" w:rsidRDefault="00C11B9B" w:rsidP="00C11B9B">
      <w:r>
        <w:t xml:space="preserve">Virological surveillance at sentinel </w:t>
      </w:r>
      <w:r w:rsidR="00875EEF">
        <w:t>general practices</w:t>
      </w:r>
      <w:r>
        <w:t xml:space="preserve"> sites provides insight into the prevalence of respiratory viruses circulating in the community</w:t>
      </w:r>
      <w:r w:rsidR="00875EEF">
        <w:t>.</w:t>
      </w:r>
      <w:r w:rsidR="00A13379">
        <w:t xml:space="preserve"> A systematic sample of ILI patients (i.e. the first three patients presenting with an ILI, plus all ILI patients aged &lt;=5 years and </w:t>
      </w:r>
      <w:r w:rsidR="001F362E">
        <w:t>&gt;=</w:t>
      </w:r>
      <w:r w:rsidR="00A23DF9">
        <w:t>65 years</w:t>
      </w:r>
      <w:r w:rsidR="001F362E">
        <w:t>) were invited by the practi</w:t>
      </w:r>
      <w:r w:rsidR="009D0786">
        <w:t>tioner to participate in virological surveillance activities.</w:t>
      </w:r>
      <w:r>
        <w:t xml:space="preserve"> </w:t>
      </w:r>
      <w:r w:rsidR="00737136">
        <w:t xml:space="preserve">Nasal </w:t>
      </w:r>
      <w:r w:rsidR="005D10AE">
        <w:t xml:space="preserve">respiratory </w:t>
      </w:r>
      <w:r w:rsidR="00737136">
        <w:t xml:space="preserve">swabs </w:t>
      </w:r>
      <w:r w:rsidR="00FE2C47">
        <w:t>were taken by practitioners</w:t>
      </w:r>
      <w:r w:rsidR="00E84DCF">
        <w:t xml:space="preserve"> and samples were </w:t>
      </w:r>
      <w:r>
        <w:t>sent to SA Pathology</w:t>
      </w:r>
      <w:r w:rsidR="00A47AC6">
        <w:t xml:space="preserve"> in Adelaide, </w:t>
      </w:r>
      <w:r w:rsidR="005B1319">
        <w:t>SA</w:t>
      </w:r>
      <w:r w:rsidR="0016053E">
        <w:t>.</w:t>
      </w:r>
      <w:r w:rsidR="00BA4385">
        <w:t xml:space="preserve"> </w:t>
      </w:r>
      <w:r w:rsidR="00CA1499">
        <w:t xml:space="preserve">Respiratory swab samples were tested for viral and bacterial respiratory pathogens via a multiplex real-time reverse transcription polymerase chain reaction (RT-PCR) assay using SA Pathology’s in-house </w:t>
      </w:r>
      <w:r w:rsidR="00B27B98">
        <w:t>primers and wer</w:t>
      </w:r>
      <w:r w:rsidR="00BA4385">
        <w:t>e subtyped using SA Pathology’s</w:t>
      </w:r>
      <w:r w:rsidR="00073E15">
        <w:t xml:space="preserve"> genomic sequencing approach</w:t>
      </w:r>
      <w:r w:rsidR="007B76CD">
        <w:t xml:space="preserve">. </w:t>
      </w:r>
    </w:p>
    <w:p w14:paraId="00B680B6" w14:textId="279EAE52" w:rsidR="001C4411" w:rsidRDefault="006F3797" w:rsidP="00C11B9B">
      <w:r>
        <w:t xml:space="preserve">All </w:t>
      </w:r>
      <w:r w:rsidR="000600E1">
        <w:t xml:space="preserve">positive influenza samples are sent to the WHO Collaborating </w:t>
      </w:r>
      <w:r w:rsidR="000C6B4F">
        <w:t>C</w:t>
      </w:r>
      <w:r w:rsidR="000600E1">
        <w:t>entre for Reference and Research on In</w:t>
      </w:r>
      <w:r w:rsidR="11F942DA">
        <w:t>f</w:t>
      </w:r>
      <w:r w:rsidR="000600E1">
        <w:t>luenza</w:t>
      </w:r>
      <w:r w:rsidR="00F5177E">
        <w:t xml:space="preserve"> and data are used to </w:t>
      </w:r>
      <w:r w:rsidR="00B954D9">
        <w:t xml:space="preserve">guide national and international influenza vaccine strain selection. In addition, data are used to calculate community-based vaccine effectiveness (VE) estimates. </w:t>
      </w:r>
      <w:r w:rsidR="00FD212B">
        <w:t xml:space="preserve">To estimate VE against general practice attendance with influenza, data on patients with ILI who were tested for respiratory pathogens are used in a test-negative observational study. In this design, VE estimates </w:t>
      </w:r>
      <w:r w:rsidR="00E361FB">
        <w:t>are</w:t>
      </w:r>
      <w:r w:rsidR="00FD212B">
        <w:t xml:space="preserve"> 1 minus the odds ratio of vaccination</w:t>
      </w:r>
      <w:r w:rsidR="00F04B40">
        <w:t xml:space="preserve"> in</w:t>
      </w:r>
      <w:r w:rsidR="00853284">
        <w:t xml:space="preserve"> positive patients compared to test negative control patients</w:t>
      </w:r>
      <w:r w:rsidR="00FD212B">
        <w:t>.</w:t>
      </w:r>
    </w:p>
    <w:p w14:paraId="2982EA2E" w14:textId="36FF3D56" w:rsidR="0016047C" w:rsidRPr="001661DA" w:rsidRDefault="0016047C" w:rsidP="001D2466">
      <w:pPr>
        <w:pStyle w:val="Heading3"/>
      </w:pPr>
      <w:r w:rsidRPr="001661DA">
        <w:t>Notes on interpretation</w:t>
      </w:r>
    </w:p>
    <w:p w14:paraId="38A27260" w14:textId="0F738EEF" w:rsidR="00F34A46" w:rsidRPr="001661DA" w:rsidRDefault="0016047C" w:rsidP="001D2466">
      <w:pPr>
        <w:pStyle w:val="ListBullet"/>
        <w:numPr>
          <w:ilvl w:val="0"/>
          <w:numId w:val="0"/>
        </w:numPr>
      </w:pPr>
      <w:r w:rsidRPr="001661DA">
        <w:t>Changes in the health</w:t>
      </w:r>
      <w:r w:rsidR="009126B3">
        <w:t>-</w:t>
      </w:r>
      <w:r w:rsidRPr="001661DA">
        <w:t xml:space="preserve">seeking behaviour at sentinel general practices sites due to the availability of telehealth and respiratory clinics may </w:t>
      </w:r>
      <w:r w:rsidR="001661DA" w:rsidRPr="001661DA">
        <w:t xml:space="preserve">have </w:t>
      </w:r>
      <w:r w:rsidRPr="001661DA">
        <w:t>result</w:t>
      </w:r>
      <w:r w:rsidR="001661DA" w:rsidRPr="001661DA">
        <w:t>ed</w:t>
      </w:r>
      <w:r w:rsidRPr="001661DA">
        <w:t xml:space="preserve"> in fewer presentations to general practice</w:t>
      </w:r>
      <w:r w:rsidR="00D373D5" w:rsidRPr="001661DA">
        <w:t xml:space="preserve"> in recent years, </w:t>
      </w:r>
      <w:r w:rsidR="001661DA" w:rsidRPr="001661DA">
        <w:t xml:space="preserve">potentially </w:t>
      </w:r>
      <w:r w:rsidR="00D23345" w:rsidRPr="001661DA">
        <w:t xml:space="preserve">underestimating </w:t>
      </w:r>
      <w:r w:rsidR="00157247" w:rsidRPr="001661DA">
        <w:t>the number of ILI notifications per week</w:t>
      </w:r>
      <w:r w:rsidR="00FA672E">
        <w:t xml:space="preserve"> compared to pre-COVID-19 pandemic years</w:t>
      </w:r>
      <w:r w:rsidR="001661DA" w:rsidRPr="001661DA">
        <w:t xml:space="preserve">. Similarly, changes to </w:t>
      </w:r>
      <w:r w:rsidR="00633A85">
        <w:t xml:space="preserve">virological </w:t>
      </w:r>
      <w:r w:rsidR="001661DA" w:rsidRPr="001661DA">
        <w:t>swabbing practices at sentinel general practice sites, due to the availability of telehealth and respiratory clinics, may result in a lower number of swabs being taken</w:t>
      </w:r>
      <w:r w:rsidR="00633A85">
        <w:t xml:space="preserve"> in recent years</w:t>
      </w:r>
      <w:r w:rsidR="001661DA" w:rsidRPr="001661DA">
        <w:t xml:space="preserve">. </w:t>
      </w:r>
      <w:r w:rsidR="00D23345" w:rsidRPr="001661DA">
        <w:t>T</w:t>
      </w:r>
      <w:r w:rsidR="00D373D5" w:rsidRPr="001661DA">
        <w:t>herefore</w:t>
      </w:r>
      <w:r w:rsidR="00D23345" w:rsidRPr="001661DA">
        <w:t xml:space="preserve">, comparisons to </w:t>
      </w:r>
      <w:r w:rsidR="00F207FA">
        <w:t>pre-COVID-19 pandemic seasons</w:t>
      </w:r>
      <w:r w:rsidR="00D23345" w:rsidRPr="001661DA">
        <w:t xml:space="preserve"> should be interpreted with caution. </w:t>
      </w:r>
    </w:p>
    <w:p w14:paraId="2E9D43DF" w14:textId="45ED714A" w:rsidR="00470088" w:rsidRDefault="00484236" w:rsidP="000E02DC">
      <w:r>
        <w:t xml:space="preserve">Overall, virological surveillance was representative; however, at a jurisdictional level SA </w:t>
      </w:r>
      <w:r w:rsidR="6305C6A8">
        <w:t>is</w:t>
      </w:r>
      <w:r>
        <w:t xml:space="preserve"> overrepresented, while swabs from the NT are underrepresented.</w:t>
      </w:r>
    </w:p>
    <w:p w14:paraId="5DEA44CF" w14:textId="65261254" w:rsidR="00470088" w:rsidRDefault="008172DE" w:rsidP="000E02DC">
      <w:pPr>
        <w:pStyle w:val="Heading2"/>
      </w:pPr>
      <w:bookmarkStart w:id="11" w:name="_Toc194074612"/>
      <w:r w:rsidRPr="008172DE">
        <w:lastRenderedPageBreak/>
        <w:t>Influenza Complications Alert Network (FluCAN)</w:t>
      </w:r>
      <w:bookmarkEnd w:id="11"/>
    </w:p>
    <w:p w14:paraId="76FEC16F" w14:textId="6FF76338" w:rsidR="00274522" w:rsidRDefault="008B7346" w:rsidP="001D2466">
      <w:pPr>
        <w:pStyle w:val="ListBullet"/>
        <w:numPr>
          <w:ilvl w:val="0"/>
          <w:numId w:val="0"/>
        </w:numPr>
      </w:pPr>
      <w:r>
        <w:t>Hospital admissions</w:t>
      </w:r>
      <w:r w:rsidR="00A937ED">
        <w:t xml:space="preserve"> </w:t>
      </w:r>
      <w:r w:rsidR="05A4BBE9">
        <w:t xml:space="preserve">(not including emergency department presentations without subsequent hospital admission) </w:t>
      </w:r>
      <w:r w:rsidR="00A937ED">
        <w:t>in this annual report are based on data</w:t>
      </w:r>
      <w:r>
        <w:t xml:space="preserve"> from</w:t>
      </w:r>
      <w:r w:rsidR="00A937ED">
        <w:t xml:space="preserve"> </w:t>
      </w:r>
      <w:r w:rsidR="005B2BD0">
        <w:t>FluCAN</w:t>
      </w:r>
      <w:r w:rsidR="008825DE">
        <w:t xml:space="preserve">, </w:t>
      </w:r>
      <w:r w:rsidR="009036FF">
        <w:t>a sentinel hospital-based surveillance program</w:t>
      </w:r>
      <w:r w:rsidR="00B7187A">
        <w:t xml:space="preserve">, </w:t>
      </w:r>
      <w:r w:rsidR="008825DE">
        <w:t>with data extracted on</w:t>
      </w:r>
      <w:r w:rsidR="008A0A0A">
        <w:t xml:space="preserve"> 13 March 2025.</w:t>
      </w:r>
    </w:p>
    <w:p w14:paraId="5BD095C5" w14:textId="42DD0B2E" w:rsidR="0061088C" w:rsidRDefault="00EF4EBE" w:rsidP="001D2466">
      <w:pPr>
        <w:pStyle w:val="ListBullet"/>
        <w:numPr>
          <w:ilvl w:val="0"/>
          <w:numId w:val="0"/>
        </w:numPr>
      </w:pPr>
      <w:r>
        <w:t xml:space="preserve">In 2024, </w:t>
      </w:r>
      <w:r w:rsidR="00BF5C04">
        <w:t xml:space="preserve">22 sentinel hospital sites </w:t>
      </w:r>
      <w:r w:rsidR="002A4E49">
        <w:t>across all jurisdictions</w:t>
      </w:r>
      <w:r w:rsidR="008F262A">
        <w:t xml:space="preserve"> reported </w:t>
      </w:r>
      <w:r w:rsidR="002507E3">
        <w:t xml:space="preserve">detailed clinical and laboratory information about </w:t>
      </w:r>
      <w:r w:rsidR="008F262A">
        <w:t xml:space="preserve">hospital admissions with </w:t>
      </w:r>
      <w:r w:rsidR="00A52008">
        <w:t>COVID-19, influenza or RSV</w:t>
      </w:r>
      <w:r w:rsidR="00846FB6">
        <w:t xml:space="preserve"> infections</w:t>
      </w:r>
      <w:r w:rsidR="00A52008">
        <w:t>.</w:t>
      </w:r>
      <w:r w:rsidR="002507E3">
        <w:t xml:space="preserve"> A</w:t>
      </w:r>
      <w:r w:rsidR="006D65EF">
        <w:t xml:space="preserve">n </w:t>
      </w:r>
      <w:r w:rsidR="00426811">
        <w:t xml:space="preserve">acute respiratory </w:t>
      </w:r>
      <w:r w:rsidR="006D65EF">
        <w:t xml:space="preserve">infection was </w:t>
      </w:r>
      <w:r w:rsidR="00A04F66">
        <w:t>laboratory</w:t>
      </w:r>
      <w:r w:rsidR="00426811">
        <w:t xml:space="preserve"> </w:t>
      </w:r>
      <w:r w:rsidR="006D65EF">
        <w:t>confirmed by PCR.</w:t>
      </w:r>
      <w:r w:rsidR="0061088C">
        <w:t xml:space="preserve"> Surveillance was conducted from April to December for influenza and RSV, and for t</w:t>
      </w:r>
      <w:r w:rsidR="00B941B4">
        <w:t xml:space="preserve">he full calendar year for COVID-19. </w:t>
      </w:r>
      <w:r w:rsidR="002507E3">
        <w:t>Data from a sample of patients who were admitted with an acute respiratory infection but tested negative for influenza were collected as controls</w:t>
      </w:r>
      <w:r w:rsidR="2551BED1">
        <w:t xml:space="preserve"> for vaccine effectiveness estimates</w:t>
      </w:r>
      <w:r w:rsidR="002507E3">
        <w:t>.</w:t>
      </w:r>
    </w:p>
    <w:p w14:paraId="17A2B2D2" w14:textId="76065465" w:rsidR="005B2BD0" w:rsidRPr="001B33D9" w:rsidRDefault="005B2BD0" w:rsidP="001D2466">
      <w:pPr>
        <w:pStyle w:val="ListBullet"/>
        <w:numPr>
          <w:ilvl w:val="0"/>
          <w:numId w:val="0"/>
        </w:numPr>
      </w:pPr>
      <w:r w:rsidRPr="00150BA0">
        <w:t>Date of admission is used for all patient analyses, except where the patient acquired their infection in hospital. For patients who acquired their infection in hospital (defined as the date of onset &gt;7 days after date of admissio</w:t>
      </w:r>
      <w:r w:rsidRPr="001B33D9">
        <w:t>n), date of onset is used.</w:t>
      </w:r>
    </w:p>
    <w:p w14:paraId="6E4CB3F2" w14:textId="6D7A71DC" w:rsidR="00953003" w:rsidRDefault="001B33D9" w:rsidP="001D2466">
      <w:pPr>
        <w:pStyle w:val="ListBullet"/>
        <w:numPr>
          <w:ilvl w:val="0"/>
          <w:numId w:val="0"/>
        </w:numPr>
      </w:pPr>
      <w:r w:rsidRPr="001B33D9">
        <w:t>In addition, data are used to calculate hospital-based VE estimates.</w:t>
      </w:r>
      <w:r w:rsidR="00F04B40" w:rsidRPr="001B33D9">
        <w:t xml:space="preserve"> To estimate </w:t>
      </w:r>
      <w:r w:rsidRPr="001B33D9">
        <w:t>VE</w:t>
      </w:r>
      <w:r w:rsidR="00F04B40" w:rsidRPr="001B33D9">
        <w:t xml:space="preserve"> against hospitalisation with influenza, data from all participating</w:t>
      </w:r>
      <w:r w:rsidRPr="001B33D9">
        <w:t xml:space="preserve"> </w:t>
      </w:r>
      <w:r w:rsidR="00F04B40" w:rsidRPr="001B33D9">
        <w:t xml:space="preserve">sentinel hospital sites are used in a test-negative incidence density observational study. In this design, </w:t>
      </w:r>
      <w:r w:rsidRPr="001B33D9">
        <w:t>VE</w:t>
      </w:r>
      <w:r w:rsidR="00F04B40" w:rsidRPr="001B33D9">
        <w:t xml:space="preserve"> is estimated as 1 minus the odds ratio of vaccination in case patients compared to test negative control patients.</w:t>
      </w:r>
    </w:p>
    <w:p w14:paraId="0EC04E90" w14:textId="1BB6A35E" w:rsidR="00DA7779" w:rsidRPr="001661DA" w:rsidRDefault="00DA7779" w:rsidP="001D2466">
      <w:pPr>
        <w:pStyle w:val="Heading3"/>
      </w:pPr>
      <w:r w:rsidRPr="001661DA">
        <w:t>Notes on interpretation</w:t>
      </w:r>
    </w:p>
    <w:p w14:paraId="120DC5F0" w14:textId="67738E2A" w:rsidR="002A4E49" w:rsidRDefault="001039CA" w:rsidP="001D2466">
      <w:pPr>
        <w:pStyle w:val="ListBullet"/>
        <w:numPr>
          <w:ilvl w:val="0"/>
          <w:numId w:val="0"/>
        </w:numPr>
      </w:pPr>
      <w:r w:rsidRPr="00913B6E">
        <w:t>It</w:t>
      </w:r>
      <w:r w:rsidR="002A4E49" w:rsidRPr="00913B6E">
        <w:t xml:space="preserve"> is important to note these</w:t>
      </w:r>
      <w:r w:rsidR="00640CE0" w:rsidRPr="00913B6E">
        <w:t xml:space="preserve"> sentinel hospital</w:t>
      </w:r>
      <w:r w:rsidR="002A4E49" w:rsidRPr="00913B6E">
        <w:t xml:space="preserve"> data reflect patients with severe acute respiratory illnesses who are hospitalised or admitted to intensive care with PCR confirmed infection; data are therefore not generalisable.</w:t>
      </w:r>
      <w:r w:rsidR="002A4E49" w:rsidRPr="002A4E49">
        <w:t xml:space="preserve"> </w:t>
      </w:r>
    </w:p>
    <w:p w14:paraId="26998869" w14:textId="20A369A5" w:rsidR="002B1C7E" w:rsidRPr="001661DA" w:rsidRDefault="00C0530C" w:rsidP="001D2466">
      <w:pPr>
        <w:pStyle w:val="ListBullet"/>
        <w:numPr>
          <w:ilvl w:val="0"/>
          <w:numId w:val="0"/>
        </w:numPr>
      </w:pPr>
      <w:r w:rsidRPr="00C0530C">
        <w:t xml:space="preserve">Surveillance for sentinel hospital admissions with influenza and RSV did not begin until </w:t>
      </w:r>
      <w:r w:rsidR="001141C4">
        <w:t xml:space="preserve">1 </w:t>
      </w:r>
      <w:r w:rsidRPr="00C0530C">
        <w:t>April 2024</w:t>
      </w:r>
      <w:r w:rsidR="001141C4">
        <w:t>. The</w:t>
      </w:r>
      <w:r w:rsidR="009A18B4">
        <w:t xml:space="preserve"> </w:t>
      </w:r>
      <w:r w:rsidR="001141C4">
        <w:t xml:space="preserve">data in this annual report </w:t>
      </w:r>
      <w:r w:rsidRPr="00C0530C">
        <w:t xml:space="preserve">are reflective of sentinel hospital admissions with influenza </w:t>
      </w:r>
      <w:r w:rsidR="00D329F4">
        <w:t>or</w:t>
      </w:r>
      <w:r w:rsidRPr="00C0530C">
        <w:t xml:space="preserve"> RSV from 1 April to 31 December 2024.</w:t>
      </w:r>
      <w:r w:rsidR="00F334C3">
        <w:t xml:space="preserve"> </w:t>
      </w:r>
      <w:r w:rsidR="002B1C7E">
        <w:t>C</w:t>
      </w:r>
      <w:r w:rsidR="002B1C7E" w:rsidRPr="001661DA">
        <w:t>omparisons to previous seasons</w:t>
      </w:r>
      <w:r w:rsidR="002B1C7E">
        <w:t xml:space="preserve"> (when surveillance was conducted over a different </w:t>
      </w:r>
      <w:proofErr w:type="gramStart"/>
      <w:r w:rsidR="002B1C7E">
        <w:t>period of time</w:t>
      </w:r>
      <w:proofErr w:type="gramEnd"/>
      <w:r w:rsidR="002B1C7E">
        <w:t xml:space="preserve">) </w:t>
      </w:r>
      <w:r w:rsidR="002B1C7E" w:rsidRPr="001661DA">
        <w:t xml:space="preserve">should be interpreted with caution. </w:t>
      </w:r>
    </w:p>
    <w:p w14:paraId="1D458BC1" w14:textId="65EB2CF3" w:rsidR="00953003" w:rsidRPr="009D58C4" w:rsidRDefault="00953003" w:rsidP="001D2466">
      <w:pPr>
        <w:pStyle w:val="ListBullet"/>
        <w:numPr>
          <w:ilvl w:val="0"/>
          <w:numId w:val="0"/>
        </w:numPr>
      </w:pPr>
      <w:r w:rsidRPr="007B2672">
        <w:t xml:space="preserve">The Paediatric Active Enhanced Disease Surveillance (PAEDS) network contribute data on paediatric (those aged 16 years or under) admissions at sentinel hospital sites. This provides enhanced surveillance of these at-risk populations. Consequently, children are overrepresented in the data and the age distribution may not reflect the age distribution of hospitalisations nationally. For this reason, children and adults </w:t>
      </w:r>
      <w:r>
        <w:t xml:space="preserve">admitted to </w:t>
      </w:r>
      <w:r w:rsidRPr="009D58C4">
        <w:t xml:space="preserve">sentinel hospitals are reported on separately in this annual report. </w:t>
      </w:r>
    </w:p>
    <w:p w14:paraId="5A70C364" w14:textId="411FEEBD" w:rsidR="008172DE" w:rsidRDefault="002A4E49" w:rsidP="001D2466">
      <w:pPr>
        <w:pStyle w:val="ListBullet"/>
        <w:numPr>
          <w:ilvl w:val="0"/>
          <w:numId w:val="0"/>
        </w:numPr>
      </w:pPr>
      <w:r w:rsidRPr="009D58C4">
        <w:t xml:space="preserve">Some jurisdictions (Vic.) are overrepresented amongst participating </w:t>
      </w:r>
      <w:r w:rsidR="007233D4" w:rsidRPr="009D58C4">
        <w:t xml:space="preserve">sentinel hospital </w:t>
      </w:r>
      <w:r w:rsidRPr="009D58C4">
        <w:t>sites</w:t>
      </w:r>
      <w:r w:rsidR="007233D4" w:rsidRPr="009D58C4">
        <w:t xml:space="preserve">. </w:t>
      </w:r>
      <w:proofErr w:type="gramStart"/>
      <w:r w:rsidR="007233D4" w:rsidRPr="009D58C4">
        <w:t>T</w:t>
      </w:r>
      <w:r w:rsidRPr="009D58C4">
        <w:t>he majority of</w:t>
      </w:r>
      <w:proofErr w:type="gramEnd"/>
      <w:r w:rsidRPr="009D58C4">
        <w:t xml:space="preserve"> </w:t>
      </w:r>
      <w:r w:rsidR="007233D4" w:rsidRPr="009D58C4">
        <w:t xml:space="preserve">sentinel hospital </w:t>
      </w:r>
      <w:r w:rsidRPr="009D58C4">
        <w:t>sites are in major cities, there</w:t>
      </w:r>
      <w:r w:rsidR="007233D4" w:rsidRPr="009D58C4">
        <w:t xml:space="preserve">fore, </w:t>
      </w:r>
      <w:r w:rsidR="009D58C4" w:rsidRPr="009D58C4">
        <w:t>hospital</w:t>
      </w:r>
      <w:r w:rsidR="00C0530C">
        <w:t xml:space="preserve"> admissions </w:t>
      </w:r>
      <w:r w:rsidRPr="009D58C4">
        <w:t>in regional and remote areas</w:t>
      </w:r>
      <w:r w:rsidR="009D58C4" w:rsidRPr="009D58C4">
        <w:t xml:space="preserve"> </w:t>
      </w:r>
      <w:r w:rsidR="00A84A88">
        <w:t>are</w:t>
      </w:r>
      <w:r w:rsidR="009D58C4" w:rsidRPr="009D58C4">
        <w:t xml:space="preserve"> underrepresented</w:t>
      </w:r>
      <w:r w:rsidRPr="009D58C4">
        <w:t>.</w:t>
      </w:r>
    </w:p>
    <w:p w14:paraId="02728378" w14:textId="3A95DEA8" w:rsidR="008172DE" w:rsidRDefault="005F7CA4" w:rsidP="000E02DC">
      <w:pPr>
        <w:pStyle w:val="Heading2"/>
      </w:pPr>
      <w:bookmarkStart w:id="12" w:name="_Toc194074613"/>
      <w:r w:rsidRPr="005F7CA4">
        <w:t>Short Period Incidence Study of Severe Acute Respiratory Infection (SPRINT-SARI) Australia</w:t>
      </w:r>
      <w:bookmarkEnd w:id="12"/>
    </w:p>
    <w:p w14:paraId="16F41326" w14:textId="0C857D16" w:rsidR="00F13226" w:rsidRDefault="00D0536D" w:rsidP="001D2466">
      <w:pPr>
        <w:pStyle w:val="ListBullet"/>
        <w:numPr>
          <w:ilvl w:val="0"/>
          <w:numId w:val="0"/>
        </w:numPr>
      </w:pPr>
      <w:r>
        <w:t>Intensive care admissions</w:t>
      </w:r>
      <w:r w:rsidR="00A937ED">
        <w:t xml:space="preserve"> in this annual report are based on data</w:t>
      </w:r>
      <w:r w:rsidR="0087606F">
        <w:t xml:space="preserve"> from</w:t>
      </w:r>
      <w:r w:rsidR="00A937ED" w:rsidRPr="00D94F3A">
        <w:rPr>
          <w:szCs w:val="22"/>
        </w:rPr>
        <w:t xml:space="preserve"> </w:t>
      </w:r>
      <w:r w:rsidR="0077557A" w:rsidRPr="00265371">
        <w:rPr>
          <w:szCs w:val="22"/>
        </w:rPr>
        <w:t>SPRINT-SARI Australia</w:t>
      </w:r>
      <w:r w:rsidR="00F13226" w:rsidRPr="00D94F3A">
        <w:rPr>
          <w:szCs w:val="22"/>
        </w:rPr>
        <w:t xml:space="preserve">, </w:t>
      </w:r>
      <w:r w:rsidR="00F13226" w:rsidRPr="00265371">
        <w:t xml:space="preserve">a sentinel intensive </w:t>
      </w:r>
      <w:proofErr w:type="gramStart"/>
      <w:r w:rsidR="00F13226" w:rsidRPr="00265371">
        <w:t>care</w:t>
      </w:r>
      <w:r w:rsidR="00A734E4" w:rsidRPr="00265371">
        <w:t xml:space="preserve"> </w:t>
      </w:r>
      <w:r w:rsidR="00704F9C">
        <w:t>based</w:t>
      </w:r>
      <w:proofErr w:type="gramEnd"/>
      <w:r w:rsidR="00704F9C">
        <w:t xml:space="preserve"> surveillance </w:t>
      </w:r>
      <w:r w:rsidR="00E23C0D">
        <w:t xml:space="preserve">system and </w:t>
      </w:r>
      <w:r w:rsidR="00A734E4" w:rsidRPr="00265371">
        <w:t>research network</w:t>
      </w:r>
      <w:r w:rsidR="00F13226" w:rsidRPr="00265371">
        <w:t>,</w:t>
      </w:r>
      <w:r w:rsidR="00A734E4" w:rsidRPr="00265371">
        <w:t xml:space="preserve"> with data extracted 26 February 2025. </w:t>
      </w:r>
    </w:p>
    <w:p w14:paraId="20D1BE1F" w14:textId="4513C3BF" w:rsidR="00D94F3A" w:rsidRDefault="0008799A" w:rsidP="001D2466">
      <w:pPr>
        <w:pStyle w:val="ListBullet"/>
        <w:numPr>
          <w:ilvl w:val="0"/>
          <w:numId w:val="0"/>
        </w:numPr>
        <w:rPr>
          <w:highlight w:val="yellow"/>
        </w:rPr>
      </w:pPr>
      <w:r>
        <w:t>In 2024,</w:t>
      </w:r>
      <w:r w:rsidR="00D94F3A">
        <w:t xml:space="preserve"> approxima</w:t>
      </w:r>
      <w:r w:rsidR="00D94F3A" w:rsidRPr="00D94F3A">
        <w:t>tely</w:t>
      </w:r>
      <w:r w:rsidRPr="00D94F3A">
        <w:t xml:space="preserve"> </w:t>
      </w:r>
      <w:r w:rsidR="00D94F3A" w:rsidRPr="00D94F3A">
        <w:t>7</w:t>
      </w:r>
      <w:r w:rsidR="002B5286">
        <w:t>6</w:t>
      </w:r>
      <w:r w:rsidR="00C95693">
        <w:t xml:space="preserve"> sentinel</w:t>
      </w:r>
      <w:r w:rsidR="00D94F3A" w:rsidRPr="00D94F3A">
        <w:t xml:space="preserve"> intensive care sites </w:t>
      </w:r>
      <w:r w:rsidR="00ED7AA3">
        <w:t xml:space="preserve">across all jurisdictions </w:t>
      </w:r>
      <w:r w:rsidR="00D94F3A" w:rsidRPr="00D94F3A">
        <w:t xml:space="preserve">contributed </w:t>
      </w:r>
      <w:r w:rsidR="0077557A" w:rsidRPr="00D94F3A">
        <w:t xml:space="preserve">data on the </w:t>
      </w:r>
      <w:r w:rsidR="00EF4CA7">
        <w:t>demographics, clinical</w:t>
      </w:r>
      <w:r w:rsidR="0077557A" w:rsidRPr="00D94F3A">
        <w:t xml:space="preserve"> characteristics, interventions</w:t>
      </w:r>
      <w:r w:rsidR="00375B74">
        <w:t>,</w:t>
      </w:r>
      <w:r w:rsidR="0077557A" w:rsidRPr="00D94F3A">
        <w:t xml:space="preserve"> </w:t>
      </w:r>
      <w:r w:rsidR="007F1983">
        <w:t xml:space="preserve">and outcomes </w:t>
      </w:r>
      <w:r w:rsidR="0077557A" w:rsidRPr="00D94F3A">
        <w:t xml:space="preserve">for patients admitted </w:t>
      </w:r>
      <w:r w:rsidR="007F1983">
        <w:t>to a</w:t>
      </w:r>
      <w:r w:rsidR="00391707">
        <w:t xml:space="preserve"> participating</w:t>
      </w:r>
      <w:r w:rsidR="007F1983">
        <w:t xml:space="preserve"> intensive care</w:t>
      </w:r>
      <w:r w:rsidR="0077557A" w:rsidRPr="00D94F3A">
        <w:t xml:space="preserve"> with </w:t>
      </w:r>
      <w:r w:rsidR="00B316BB">
        <w:t xml:space="preserve">a </w:t>
      </w:r>
      <w:r w:rsidR="0077557A" w:rsidRPr="00D94F3A">
        <w:t xml:space="preserve">severe acute respiratory infection. </w:t>
      </w:r>
      <w:r w:rsidR="0027468D" w:rsidRPr="0027468D">
        <w:t xml:space="preserve">These </w:t>
      </w:r>
      <w:r w:rsidR="008707BE">
        <w:t>participating</w:t>
      </w:r>
      <w:r w:rsidR="0027468D" w:rsidRPr="0027468D">
        <w:t xml:space="preserve"> intensive care sites include</w:t>
      </w:r>
      <w:r w:rsidR="0077557A" w:rsidRPr="00D94F3A">
        <w:t xml:space="preserve"> intensive care units </w:t>
      </w:r>
      <w:r w:rsidR="0027468D" w:rsidRPr="0027468D">
        <w:t>and</w:t>
      </w:r>
      <w:r w:rsidR="0077557A" w:rsidRPr="00D94F3A">
        <w:t xml:space="preserve"> high dependency units </w:t>
      </w:r>
      <w:r w:rsidR="0027468D" w:rsidRPr="0027468D">
        <w:t>managed by an intensive care team.</w:t>
      </w:r>
      <w:r w:rsidR="0027468D">
        <w:t xml:space="preserve"> </w:t>
      </w:r>
      <w:r w:rsidR="00A83624">
        <w:t xml:space="preserve">Data are entered into </w:t>
      </w:r>
      <w:r w:rsidR="006E4570">
        <w:t>an internationally</w:t>
      </w:r>
      <w:r w:rsidR="00152675">
        <w:t xml:space="preserve"> </w:t>
      </w:r>
      <w:r w:rsidR="003E40DD">
        <w:t>standardised case report form</w:t>
      </w:r>
      <w:r w:rsidR="00152675">
        <w:t xml:space="preserve"> by the research co</w:t>
      </w:r>
      <w:r w:rsidR="00FC262C">
        <w:t xml:space="preserve">ordinator at </w:t>
      </w:r>
      <w:r w:rsidR="008707BE">
        <w:t xml:space="preserve">the participating site. </w:t>
      </w:r>
      <w:r w:rsidR="00E804E1" w:rsidRPr="00E804E1">
        <w:t xml:space="preserve">Whenever possible, </w:t>
      </w:r>
      <w:r w:rsidR="00E804E1">
        <w:t xml:space="preserve">patient </w:t>
      </w:r>
      <w:r w:rsidR="00E804E1" w:rsidRPr="00E804E1">
        <w:t>transfers were aggregated into one record.</w:t>
      </w:r>
      <w:r w:rsidR="001536F7">
        <w:fldChar w:fldCharType="begin"/>
      </w:r>
      <w:r w:rsidR="001536F7">
        <w:instrText xml:space="preserve"> ADDIN EN.CITE &lt;EndNote&gt;&lt;Cite&gt;&lt;Author&gt;Australian and New Zealand Intensive Care Research Centre (ANZIC-RC)&lt;/Author&gt;&lt;Year&gt;2025&lt;/Year&gt;&lt;RecNum&gt;2842&lt;/RecNum&gt;&lt;DisplayText&gt;&lt;style face="superscript"&gt;15&lt;/style&gt;&lt;/DisplayText&gt;&lt;record&gt;&lt;rec-number&gt;2842&lt;/rec-number&gt;&lt;foreign-keys&gt;&lt;key app="EN" db-id="ptaw2s0tmse5w0exvrh5d2vpdtxat2eaaazf" timestamp="1742857314"&gt;2842&lt;/key&gt;&lt;/foreign-keys&gt;&lt;ref-type name="Web Page"&gt;12&lt;/ref-type&gt;&lt;contributors&gt;&lt;authors&gt;&lt;author&gt;Australian and New Zealand Intensive Care Research Centre (ANZIC-RC),&lt;/author&gt;&lt;/authors&gt;&lt;/contributors&gt;&lt;titles&gt;&lt;title&gt;SPRINT-SARI (Australia)&lt;/title&gt;&lt;/titles&gt;&lt;dates&gt;&lt;year&gt;2025&lt;/year&gt;&lt;/dates&gt;&lt;pub-location&gt;Melbourne&lt;/pub-location&gt;&lt;publisher&gt;Monash University&lt;/publisher&gt;&lt;work-type&gt;Internet&lt;/work-type&gt;&lt;urls&gt;&lt;related-urls&gt;&lt;url&gt;https://www.monash.edu/medicine/sphpm/anzicrc/research/sprint-sari&lt;/url&gt;&lt;/related-urls&gt;&lt;/urls&gt;&lt;/record&gt;&lt;/Cite&gt;&lt;/EndNote&gt;</w:instrText>
      </w:r>
      <w:r w:rsidR="001536F7">
        <w:fldChar w:fldCharType="separate"/>
      </w:r>
      <w:r w:rsidR="001536F7" w:rsidRPr="001536F7">
        <w:rPr>
          <w:noProof/>
          <w:vertAlign w:val="superscript"/>
        </w:rPr>
        <w:t>15</w:t>
      </w:r>
      <w:r w:rsidR="001536F7">
        <w:fldChar w:fldCharType="end"/>
      </w:r>
    </w:p>
    <w:p w14:paraId="06BBA4B8" w14:textId="3497BBE9" w:rsidR="0077557A" w:rsidRPr="00AB1B9A" w:rsidRDefault="00DF0DEB" w:rsidP="001D2466">
      <w:pPr>
        <w:pStyle w:val="ListBullet"/>
        <w:numPr>
          <w:ilvl w:val="0"/>
          <w:numId w:val="0"/>
        </w:numPr>
      </w:pPr>
      <w:r w:rsidRPr="00AB1B9A">
        <w:t xml:space="preserve">In response to the COVID-19 pandemic SPRINT-SARI Australia commenced in early 2020. </w:t>
      </w:r>
      <w:r w:rsidR="00125C71" w:rsidRPr="00AB1B9A">
        <w:t xml:space="preserve">From </w:t>
      </w:r>
      <w:r w:rsidR="00C07A80" w:rsidRPr="00AB1B9A">
        <w:t>2020–2022</w:t>
      </w:r>
      <w:r w:rsidR="00CF1CCF" w:rsidRPr="00AB1B9A">
        <w:t xml:space="preserve"> SPRINT-SARI Australia</w:t>
      </w:r>
      <w:r w:rsidR="00D11B58" w:rsidRPr="00AB1B9A">
        <w:t xml:space="preserve"> collected data on </w:t>
      </w:r>
      <w:r w:rsidR="00603C63" w:rsidRPr="00AB1B9A">
        <w:t>patients admitted with</w:t>
      </w:r>
      <w:r w:rsidR="00D11B58" w:rsidRPr="00AB1B9A">
        <w:t xml:space="preserve"> COVID-19</w:t>
      </w:r>
      <w:r w:rsidR="00603C63" w:rsidRPr="00AB1B9A">
        <w:t>. From late 2022</w:t>
      </w:r>
      <w:r w:rsidR="00757D47" w:rsidRPr="00AB1B9A">
        <w:t xml:space="preserve">, data </w:t>
      </w:r>
      <w:r w:rsidR="00751101" w:rsidRPr="00AB1B9A">
        <w:t xml:space="preserve">collection </w:t>
      </w:r>
      <w:r w:rsidR="00176DB4" w:rsidRPr="00AB1B9A">
        <w:t xml:space="preserve">began </w:t>
      </w:r>
      <w:r w:rsidR="00751101" w:rsidRPr="00AB1B9A">
        <w:t>for</w:t>
      </w:r>
      <w:r w:rsidR="00757D47" w:rsidRPr="00AB1B9A">
        <w:t xml:space="preserve"> patients </w:t>
      </w:r>
      <w:r w:rsidR="00757D47">
        <w:t xml:space="preserve">with </w:t>
      </w:r>
      <w:r w:rsidR="00176DB4" w:rsidRPr="00176DB4">
        <w:t xml:space="preserve">a primary admission to </w:t>
      </w:r>
      <w:r w:rsidR="00176DB4">
        <w:t>intensive care</w:t>
      </w:r>
      <w:r w:rsidR="00176DB4" w:rsidRPr="00176DB4">
        <w:t xml:space="preserve"> for the management of acute respiratory failure </w:t>
      </w:r>
      <w:r w:rsidR="00BF47D4">
        <w:t>(</w:t>
      </w:r>
      <w:r w:rsidR="00176DB4" w:rsidRPr="00176DB4">
        <w:t>or complication</w:t>
      </w:r>
      <w:r w:rsidR="00BF47D4">
        <w:t>)</w:t>
      </w:r>
      <w:r w:rsidR="00176DB4" w:rsidRPr="00176DB4">
        <w:t xml:space="preserve"> and </w:t>
      </w:r>
      <w:r w:rsidR="005A1342" w:rsidRPr="005A1342">
        <w:t>a PCR confirmed</w:t>
      </w:r>
      <w:r w:rsidR="00757D47" w:rsidRPr="00AB1B9A">
        <w:t xml:space="preserve"> </w:t>
      </w:r>
      <w:r w:rsidR="00761BEF" w:rsidRPr="00AB1B9A">
        <w:t>viral severe acute respiratory infection</w:t>
      </w:r>
      <w:r w:rsidR="005A1342" w:rsidRPr="00AB1B9A">
        <w:t xml:space="preserve"> such as influenza, parainfluenza or RSV.</w:t>
      </w:r>
      <w:r w:rsidR="00995B6C">
        <w:fldChar w:fldCharType="begin"/>
      </w:r>
      <w:r w:rsidR="00995B6C">
        <w:instrText xml:space="preserve"> ADDIN EN.CITE &lt;EndNote&gt;&lt;Cite&gt;&lt;Author&gt;Australian and New Zealand Intensive Care Research Centre (ANZIC-RC)&lt;/Author&gt;&lt;Year&gt;2025&lt;/Year&gt;&lt;RecNum&gt;2842&lt;/RecNum&gt;&lt;DisplayText&gt;&lt;style face="superscript"&gt;15&lt;/style&gt;&lt;/DisplayText&gt;&lt;record&gt;&lt;rec-number&gt;2842&lt;/rec-number&gt;&lt;foreign-keys&gt;&lt;key app="EN" db-id="ptaw2s0tmse5w0exvrh5d2vpdtxat2eaaazf" timestamp="1742857314"&gt;2842&lt;/key&gt;&lt;/foreign-keys&gt;&lt;ref-type name="Web Page"&gt;12&lt;/ref-type&gt;&lt;contributors&gt;&lt;authors&gt;&lt;author&gt;Australian and New Zealand Intensive Care Research Centre (ANZIC-RC),&lt;/author&gt;&lt;/authors&gt;&lt;/contributors&gt;&lt;titles&gt;&lt;title&gt;SPRINT-SARI (Australia)&lt;/title&gt;&lt;/titles&gt;&lt;dates&gt;&lt;year&gt;2025&lt;/year&gt;&lt;/dates&gt;&lt;pub-location&gt;Melbourne&lt;/pub-location&gt;&lt;publisher&gt;Monash University&lt;/publisher&gt;&lt;work-type&gt;Internet&lt;/work-type&gt;&lt;urls&gt;&lt;related-urls&gt;&lt;url&gt;https://www.monash.edu/medicine/sphpm/anzicrc/research/sprint-sari&lt;/url&gt;&lt;/related-urls&gt;&lt;/urls&gt;&lt;/record&gt;&lt;/Cite&gt;&lt;/EndNote&gt;</w:instrText>
      </w:r>
      <w:r w:rsidR="00995B6C">
        <w:fldChar w:fldCharType="separate"/>
      </w:r>
      <w:r w:rsidR="00995B6C" w:rsidRPr="00995B6C">
        <w:rPr>
          <w:noProof/>
          <w:vertAlign w:val="superscript"/>
        </w:rPr>
        <w:t>15</w:t>
      </w:r>
      <w:r w:rsidR="00995B6C">
        <w:fldChar w:fldCharType="end"/>
      </w:r>
      <w:r w:rsidR="00761BEF" w:rsidRPr="00AB1B9A">
        <w:t xml:space="preserve"> </w:t>
      </w:r>
      <w:r w:rsidR="003F6A7C" w:rsidRPr="00150BA0">
        <w:t>Date of admission is used for all patient analyses</w:t>
      </w:r>
      <w:r w:rsidR="003F6A7C">
        <w:t>.</w:t>
      </w:r>
    </w:p>
    <w:p w14:paraId="7D535282" w14:textId="77777777" w:rsidR="00AB33A2" w:rsidRPr="001661DA" w:rsidRDefault="00AB33A2" w:rsidP="000E02DC">
      <w:pPr>
        <w:pStyle w:val="Heading3"/>
      </w:pPr>
      <w:r w:rsidRPr="001661DA">
        <w:lastRenderedPageBreak/>
        <w:t>Notes on interpretation</w:t>
      </w:r>
    </w:p>
    <w:p w14:paraId="67AAEACD" w14:textId="66E5527A" w:rsidR="0077557A" w:rsidRDefault="00AB33A2" w:rsidP="0077557A">
      <w:r w:rsidRPr="004D6952">
        <w:t>I</w:t>
      </w:r>
      <w:r w:rsidR="0077557A" w:rsidRPr="00402156">
        <w:t xml:space="preserve">t is important to note these </w:t>
      </w:r>
      <w:r w:rsidR="00402156" w:rsidRPr="004D6952">
        <w:t xml:space="preserve">sentinel intensive care </w:t>
      </w:r>
      <w:r w:rsidR="0077557A" w:rsidRPr="00402156">
        <w:t>data reflect the sickest patients with severe acute respiratory infections who are admitted to intensive care; data are therefore not generalisable.</w:t>
      </w:r>
    </w:p>
    <w:p w14:paraId="5D401395" w14:textId="0CECAF0E" w:rsidR="00A40D90" w:rsidRPr="001661DA" w:rsidRDefault="00A40D90" w:rsidP="001D2466">
      <w:pPr>
        <w:pStyle w:val="ListBullet"/>
        <w:numPr>
          <w:ilvl w:val="0"/>
          <w:numId w:val="0"/>
        </w:numPr>
      </w:pPr>
      <w:r w:rsidRPr="00C0530C">
        <w:t xml:space="preserve">Surveillance for sentinel hospital admissions with </w:t>
      </w:r>
      <w:r>
        <w:t>other viral severe acute respiratory infections di</w:t>
      </w:r>
      <w:r w:rsidRPr="00C0530C">
        <w:t xml:space="preserve">d not begin until </w:t>
      </w:r>
      <w:r>
        <w:t>late 2022. C</w:t>
      </w:r>
      <w:r w:rsidRPr="001661DA">
        <w:t>omparisons to previous seasons</w:t>
      </w:r>
      <w:r>
        <w:t xml:space="preserve"> </w:t>
      </w:r>
      <w:r w:rsidRPr="001661DA">
        <w:t xml:space="preserve">should be interpreted with caution. </w:t>
      </w:r>
    </w:p>
    <w:p w14:paraId="36A89546" w14:textId="01168DC0" w:rsidR="005F7CA4" w:rsidRDefault="000813A1" w:rsidP="000E02DC">
      <w:r w:rsidRPr="004D6952">
        <w:t xml:space="preserve">There are a range of diagnostic testing procedures utilised across public and private hospitals within Australia. Diagnostic testing can be by nucleic acid amplification tests (NAATs), including PCR tests, or immunoassays (rapid antigen tests). Each sentinel site will use these diagnostic methods variably and there are multiple manufacturers. SPRINT-SARI does not specify which diagnostic testing method should be utilised as this is the domain for the participating hospital site </w:t>
      </w:r>
      <w:r w:rsidR="00E5064E">
        <w:t>(local policy)</w:t>
      </w:r>
      <w:r w:rsidRPr="004D6952">
        <w:t xml:space="preserve"> and treating clinicians. For this reason, virological data from SPRINT-SARI should be interpreted with caution. </w:t>
      </w:r>
    </w:p>
    <w:p w14:paraId="17390AD2" w14:textId="39389956" w:rsidR="005F7CA4" w:rsidRDefault="005F7CA4" w:rsidP="000E02DC">
      <w:pPr>
        <w:pStyle w:val="Heading2"/>
      </w:pPr>
      <w:bookmarkStart w:id="13" w:name="_Toc194074614"/>
      <w:r w:rsidRPr="005F7CA4">
        <w:t>Critical Health Resource Information System (CHRIS)</w:t>
      </w:r>
      <w:bookmarkEnd w:id="13"/>
    </w:p>
    <w:p w14:paraId="25049636" w14:textId="077D49D8" w:rsidR="004572BE" w:rsidRDefault="00A937ED">
      <w:pPr>
        <w:rPr>
          <w:highlight w:val="yellow"/>
        </w:rPr>
      </w:pPr>
      <w:r>
        <w:t>C</w:t>
      </w:r>
      <w:r w:rsidR="006E308C">
        <w:t xml:space="preserve">OVID-19 occupancy and staff unavailability data </w:t>
      </w:r>
      <w:r>
        <w:t xml:space="preserve">in this annual report are based on data </w:t>
      </w:r>
      <w:r w:rsidR="004572BE">
        <w:t>from</w:t>
      </w:r>
      <w:r w:rsidRPr="00460EF3">
        <w:t xml:space="preserve"> </w:t>
      </w:r>
      <w:r w:rsidR="00943B6C" w:rsidRPr="00460EF3">
        <w:t>CHRIS</w:t>
      </w:r>
      <w:r w:rsidR="004572BE" w:rsidRPr="00460EF3">
        <w:t>,</w:t>
      </w:r>
      <w:r w:rsidR="00460EF3" w:rsidRPr="00460EF3">
        <w:t xml:space="preserve"> </w:t>
      </w:r>
      <w:r w:rsidR="00943B6C" w:rsidRPr="00460EF3">
        <w:t xml:space="preserve">a real-time system </w:t>
      </w:r>
      <w:r w:rsidR="003D5ECA">
        <w:t>that monitors</w:t>
      </w:r>
      <w:r w:rsidR="00943B6C" w:rsidRPr="00460EF3">
        <w:t xml:space="preserve"> intensive care</w:t>
      </w:r>
      <w:r w:rsidR="00943B6C" w:rsidRPr="00460EF3" w:rsidDel="00104B6B">
        <w:t xml:space="preserve"> </w:t>
      </w:r>
      <w:r w:rsidR="00943B6C" w:rsidRPr="00460EF3">
        <w:t>activity, capacity, and resourcing</w:t>
      </w:r>
      <w:r w:rsidR="004572BE" w:rsidRPr="00460EF3">
        <w:t xml:space="preserve">, </w:t>
      </w:r>
      <w:r w:rsidR="00460EF3" w:rsidRPr="00460EF3">
        <w:rPr>
          <w:szCs w:val="18"/>
        </w:rPr>
        <w:t>extracted 5 March 2025.</w:t>
      </w:r>
    </w:p>
    <w:p w14:paraId="438871F6" w14:textId="767B8E75" w:rsidR="004572BE" w:rsidRPr="00E44238" w:rsidRDefault="003D3B81">
      <w:r w:rsidRPr="00E44238">
        <w:t xml:space="preserve">In 2024, </w:t>
      </w:r>
      <w:r w:rsidR="008301ED" w:rsidRPr="00E44238">
        <w:t xml:space="preserve">CHRIS </w:t>
      </w:r>
      <w:r w:rsidR="001C5672" w:rsidRPr="00E44238">
        <w:t>received data from all 191 adult and paediatric intensive care units (over 2,300 intensive care beds) across all jurisdictions</w:t>
      </w:r>
      <w:r w:rsidR="00715F91" w:rsidRPr="00E44238">
        <w:t>.</w:t>
      </w:r>
      <w:r w:rsidR="00E90AF0">
        <w:t xml:space="preserve"> This includes public and private intensive care unit</w:t>
      </w:r>
      <w:r w:rsidR="00997AA5">
        <w:t>s.</w:t>
      </w:r>
      <w:r w:rsidR="008A02E3">
        <w:t xml:space="preserve"> Intensive care staff enter data twice daily</w:t>
      </w:r>
      <w:r w:rsidR="00E4126B">
        <w:t xml:space="preserve">, providing real-time data on </w:t>
      </w:r>
      <w:r w:rsidR="00EA6CCC">
        <w:t>intensive care activity and capacity</w:t>
      </w:r>
      <w:r w:rsidR="008A02E3">
        <w:t>.</w:t>
      </w:r>
      <w:r w:rsidR="00244B22">
        <w:fldChar w:fldCharType="begin"/>
      </w:r>
      <w:r w:rsidR="00C364E0">
        <w:instrText xml:space="preserve"> ADDIN EN.CITE &lt;EndNote&gt;&lt;Cite&gt;&lt;Author&gt;Pilcher&lt;/Author&gt;&lt;Year&gt;2021&lt;/Year&gt;&lt;RecNum&gt;2844&lt;/RecNum&gt;&lt;DisplayText&gt;&lt;style face="superscript"&gt;16&lt;/style&gt;&lt;/DisplayText&gt;&lt;record&gt;&lt;rec-number&gt;2844&lt;/rec-number&gt;&lt;foreign-keys&gt;&lt;key app="EN" db-id="ptaw2s0tmse5w0exvrh5d2vpdtxat2eaaazf" timestamp="1742881433"&gt;2844&lt;/key&gt;&lt;/foreign-keys&gt;&lt;ref-type name="Journal Article"&gt;17&lt;/ref-type&gt;&lt;contributors&gt;&lt;authors&gt;&lt;author&gt;Pilcher, David &lt;/author&gt;&lt;author&gt;Coatsworth, Nicholas R &lt;/author&gt;&lt;author&gt;Rosenow, Melissa &lt;/author&gt;&lt;author&gt;McClure,  Jason &lt;/author&gt;&lt;/authors&gt;&lt;/contributors&gt;&lt;titles&gt;&lt;title&gt;A national system for monitoring intensive care unit demand and capacity: the Critical Health Resources Information System (CHRIS)&lt;/title&gt;&lt;secondary-title&gt;Med J Aust&lt;/secondary-title&gt;&lt;/titles&gt;&lt;periodical&gt;&lt;full-title&gt;Med J Aust&lt;/full-title&gt;&lt;/periodical&gt;&lt;pages&gt;297-298.e1&lt;/pages&gt;&lt;volume&gt;214&lt;/volume&gt;&lt;number&gt;7&lt;/number&gt;&lt;dates&gt;&lt;year&gt;2021&lt;/year&gt;&lt;/dates&gt;&lt;urls&gt;&lt;/urls&gt;&lt;electronic-resource-num&gt;doi: https://doi.org/10.5694/mja2.50988&lt;/electronic-resource-num&gt;&lt;/record&gt;&lt;/Cite&gt;&lt;/EndNote&gt;</w:instrText>
      </w:r>
      <w:r w:rsidR="00244B22">
        <w:fldChar w:fldCharType="separate"/>
      </w:r>
      <w:r w:rsidR="00244B22" w:rsidRPr="00244B22">
        <w:rPr>
          <w:noProof/>
          <w:vertAlign w:val="superscript"/>
        </w:rPr>
        <w:t>16</w:t>
      </w:r>
      <w:r w:rsidR="00244B22">
        <w:fldChar w:fldCharType="end"/>
      </w:r>
      <w:r w:rsidR="008A02E3">
        <w:t xml:space="preserve"> </w:t>
      </w:r>
      <w:r w:rsidR="00476EEB" w:rsidRPr="00150BA0">
        <w:t xml:space="preserve">Date of </w:t>
      </w:r>
      <w:r w:rsidR="00476EEB">
        <w:t>report</w:t>
      </w:r>
      <w:r w:rsidR="00476EEB" w:rsidRPr="00150BA0">
        <w:t xml:space="preserve"> is used for all analyses</w:t>
      </w:r>
      <w:r w:rsidR="00476EEB">
        <w:t>.</w:t>
      </w:r>
    </w:p>
    <w:p w14:paraId="3D07FF4C" w14:textId="77777777" w:rsidR="000F75D1" w:rsidRPr="001661DA" w:rsidRDefault="000F75D1" w:rsidP="000E02DC">
      <w:pPr>
        <w:pStyle w:val="Heading3"/>
      </w:pPr>
      <w:r w:rsidRPr="001661DA">
        <w:t>Notes on interpretation</w:t>
      </w:r>
    </w:p>
    <w:p w14:paraId="49B6C11C" w14:textId="77777777" w:rsidR="000F75D1" w:rsidRDefault="000F75D1" w:rsidP="000F75D1">
      <w:r>
        <w:t>Average number of ventilated and non-ventilated COVID-19 cases in intensive care includes only active COVID-19 cases (those in isolation) and does not include cleared COVID-19 cases.</w:t>
      </w:r>
    </w:p>
    <w:p w14:paraId="46ADAB91" w14:textId="58BC3871" w:rsidR="000F75D1" w:rsidRDefault="005B2A6E" w:rsidP="000E02DC">
      <w:r>
        <w:t>Unavailable i</w:t>
      </w:r>
      <w:r w:rsidR="000F75D1">
        <w:t xml:space="preserve">ntensive care staff include both medical and nursing staff. </w:t>
      </w:r>
      <w:r w:rsidR="00AB3DA5">
        <w:t>S</w:t>
      </w:r>
      <w:r w:rsidR="00AB3DA5" w:rsidRPr="00AB3DA5">
        <w:t xml:space="preserve">taff </w:t>
      </w:r>
      <w:r w:rsidR="00AB3DA5">
        <w:t>un</w:t>
      </w:r>
      <w:r w:rsidR="00AB3DA5" w:rsidRPr="00AB3DA5">
        <w:t>availability should be interpreted with caution, as hospitals may have varying policies on when staff can return to work after having COVID-19 or having been exposed to COVID-19.</w:t>
      </w:r>
      <w:r w:rsidR="5FEB85BE">
        <w:t xml:space="preserve"> </w:t>
      </w:r>
      <w:r w:rsidR="000F75D1">
        <w:t xml:space="preserve">Staff unavailability will be underestimated in </w:t>
      </w:r>
      <w:r w:rsidR="002320B5">
        <w:t>NSW</w:t>
      </w:r>
      <w:r w:rsidR="000F75D1">
        <w:t xml:space="preserve"> as most public hospitals in </w:t>
      </w:r>
      <w:r w:rsidR="002320B5">
        <w:t>NSW</w:t>
      </w:r>
      <w:r w:rsidR="000F75D1">
        <w:t xml:space="preserve"> do not report staff unavailability.</w:t>
      </w:r>
    </w:p>
    <w:p w14:paraId="2A9B6821" w14:textId="77777777" w:rsidR="00A307CF" w:rsidRDefault="00A307CF" w:rsidP="000E02DC">
      <w:pPr>
        <w:pStyle w:val="Heading2"/>
      </w:pPr>
      <w:bookmarkStart w:id="14" w:name="_Toc194074615"/>
      <w:r w:rsidRPr="00C061B5">
        <w:t>Sentinel laboratories</w:t>
      </w:r>
      <w:bookmarkEnd w:id="14"/>
    </w:p>
    <w:p w14:paraId="50F61C1E" w14:textId="188C827A" w:rsidR="00436904" w:rsidRDefault="00436904" w:rsidP="001D2466">
      <w:pPr>
        <w:pStyle w:val="ListBullet"/>
        <w:numPr>
          <w:ilvl w:val="0"/>
          <w:numId w:val="0"/>
        </w:numPr>
        <w:rPr>
          <w:highlight w:val="yellow"/>
        </w:rPr>
      </w:pPr>
      <w:r>
        <w:t>T</w:t>
      </w:r>
      <w:r w:rsidRPr="00436904">
        <w:t xml:space="preserve">he number of </w:t>
      </w:r>
      <w:r>
        <w:t xml:space="preserve">laboratory </w:t>
      </w:r>
      <w:r w:rsidRPr="00436904">
        <w:t>tests undertaken, positive results, and the detected viruses</w:t>
      </w:r>
      <w:r w:rsidR="00A307CF">
        <w:t xml:space="preserve"> in this annual report are based on data</w:t>
      </w:r>
      <w:r w:rsidR="00A307CF" w:rsidRPr="00E0426C">
        <w:t xml:space="preserve"> </w:t>
      </w:r>
      <w:r w:rsidRPr="00E0426C">
        <w:t>from s</w:t>
      </w:r>
      <w:r w:rsidR="00A307CF" w:rsidRPr="00E0426C">
        <w:t>entinel laboratories</w:t>
      </w:r>
      <w:r w:rsidR="005A0C38" w:rsidRPr="00E0426C">
        <w:t xml:space="preserve">, as </w:t>
      </w:r>
      <w:r w:rsidR="00E0426C" w:rsidRPr="00E0426C">
        <w:t>of</w:t>
      </w:r>
      <w:r w:rsidR="005A0C38" w:rsidRPr="00E0426C">
        <w:t xml:space="preserve"> 5 March 2025.</w:t>
      </w:r>
      <w:r w:rsidR="00A307CF" w:rsidRPr="00E0426C">
        <w:t xml:space="preserve"> </w:t>
      </w:r>
    </w:p>
    <w:p w14:paraId="26F67110" w14:textId="1226AEB9" w:rsidR="00A307CF" w:rsidRPr="003D771B" w:rsidRDefault="00A811DC" w:rsidP="001D2466">
      <w:pPr>
        <w:pStyle w:val="ListBullet"/>
        <w:numPr>
          <w:ilvl w:val="0"/>
          <w:numId w:val="0"/>
        </w:numPr>
      </w:pPr>
      <w:r w:rsidRPr="003D771B">
        <w:t xml:space="preserve">Sentinel laboratories </w:t>
      </w:r>
      <w:r w:rsidR="00A307CF" w:rsidRPr="003D771B">
        <w:t xml:space="preserve">are a surveillance network of laboratories that collect data on diagnostic respiratory pathogen testing. Sentinel laboratories are not intended to capture all diagnostic testing occurring, rather, sentinel laboratories aim to provide a representative sample of people tested for respiratory viruses in Australia. </w:t>
      </w:r>
    </w:p>
    <w:p w14:paraId="575C39B2" w14:textId="686EBF68" w:rsidR="00A307CF" w:rsidRPr="0019130E" w:rsidRDefault="003D771B" w:rsidP="001D2466">
      <w:pPr>
        <w:pStyle w:val="ListBullet"/>
        <w:numPr>
          <w:ilvl w:val="0"/>
          <w:numId w:val="0"/>
        </w:numPr>
      </w:pPr>
      <w:r w:rsidRPr="007A6870">
        <w:t>In 2024, s</w:t>
      </w:r>
      <w:r w:rsidR="00A307CF" w:rsidRPr="007A6870">
        <w:t>entinel laboratories include</w:t>
      </w:r>
      <w:r w:rsidRPr="007A6870">
        <w:t>d</w:t>
      </w:r>
      <w:r w:rsidR="00A307CF" w:rsidRPr="007A6870">
        <w:t xml:space="preserve"> </w:t>
      </w:r>
      <w:r w:rsidR="005B1319">
        <w:t>SA</w:t>
      </w:r>
      <w:r w:rsidRPr="007A6870">
        <w:t xml:space="preserve"> (SA Pathology)</w:t>
      </w:r>
      <w:r w:rsidR="00A307CF" w:rsidRPr="007A6870">
        <w:t xml:space="preserve"> and Tasmania</w:t>
      </w:r>
      <w:r w:rsidR="002A1774" w:rsidRPr="007A6870">
        <w:t xml:space="preserve"> (</w:t>
      </w:r>
      <w:r w:rsidR="00551C47">
        <w:t xml:space="preserve">Hobart Pathology, Launceston Pathology, </w:t>
      </w:r>
      <w:proofErr w:type="gramStart"/>
      <w:r w:rsidR="00551C47">
        <w:t>North West</w:t>
      </w:r>
      <w:proofErr w:type="gramEnd"/>
      <w:r w:rsidR="00551C47">
        <w:t xml:space="preserve"> Pathology, and </w:t>
      </w:r>
      <w:r w:rsidR="00CC4A69">
        <w:t>Royal Hobart</w:t>
      </w:r>
      <w:r w:rsidR="00A04E44">
        <w:t xml:space="preserve"> Hospital Pathology</w:t>
      </w:r>
      <w:r w:rsidR="002A1774" w:rsidRPr="007A6870">
        <w:t>)</w:t>
      </w:r>
      <w:r w:rsidR="00A307CF" w:rsidRPr="007A6870">
        <w:t xml:space="preserve">, and the National Influenza Centres. </w:t>
      </w:r>
      <w:r w:rsidR="00A307CF" w:rsidRPr="0019130E">
        <w:t xml:space="preserve">In Australia, the National Influenza Centres are: </w:t>
      </w:r>
    </w:p>
    <w:p w14:paraId="081E3510" w14:textId="6DD7D43E" w:rsidR="00A307CF" w:rsidRPr="005276D5" w:rsidRDefault="00A307CF" w:rsidP="001D2466">
      <w:pPr>
        <w:pStyle w:val="ListBullet"/>
        <w:numPr>
          <w:ilvl w:val="0"/>
          <w:numId w:val="61"/>
        </w:numPr>
      </w:pPr>
      <w:r w:rsidRPr="005276D5">
        <w:t>Institute of Clinical Pathology and Medical Research in N</w:t>
      </w:r>
      <w:r w:rsidR="009F1E10" w:rsidRPr="005276D5">
        <w:t>SW</w:t>
      </w:r>
      <w:r w:rsidRPr="005276D5">
        <w:t xml:space="preserve"> </w:t>
      </w:r>
    </w:p>
    <w:p w14:paraId="09E660A9" w14:textId="02E48601" w:rsidR="00A307CF" w:rsidRPr="005276D5" w:rsidRDefault="00A307CF" w:rsidP="001D2466">
      <w:pPr>
        <w:pStyle w:val="ListBullet"/>
        <w:numPr>
          <w:ilvl w:val="0"/>
          <w:numId w:val="61"/>
        </w:numPr>
      </w:pPr>
      <w:proofErr w:type="spellStart"/>
      <w:r w:rsidRPr="005276D5">
        <w:t>PathWest</w:t>
      </w:r>
      <w:proofErr w:type="spellEnd"/>
      <w:r w:rsidRPr="005276D5">
        <w:t xml:space="preserve"> Laboratory Medicine in W</w:t>
      </w:r>
      <w:r w:rsidR="009F1E10" w:rsidRPr="005276D5">
        <w:t>A</w:t>
      </w:r>
      <w:r w:rsidRPr="005276D5">
        <w:t xml:space="preserve"> </w:t>
      </w:r>
    </w:p>
    <w:p w14:paraId="6616EF8F" w14:textId="43913627" w:rsidR="00A307CF" w:rsidRPr="005276D5" w:rsidRDefault="00A307CF" w:rsidP="001D2466">
      <w:pPr>
        <w:pStyle w:val="ListBullet"/>
        <w:numPr>
          <w:ilvl w:val="0"/>
          <w:numId w:val="61"/>
        </w:numPr>
      </w:pPr>
      <w:r w:rsidRPr="005276D5">
        <w:t>Victorian Infectious Diseases Reference Laboratory in Vic.</w:t>
      </w:r>
    </w:p>
    <w:p w14:paraId="50265D7D" w14:textId="2B4B01D6" w:rsidR="00112D25" w:rsidRPr="000E02DC" w:rsidRDefault="00A307CF" w:rsidP="001D2466">
      <w:pPr>
        <w:pStyle w:val="ListBullet"/>
        <w:numPr>
          <w:ilvl w:val="0"/>
          <w:numId w:val="0"/>
        </w:numPr>
      </w:pPr>
      <w:r w:rsidRPr="002E7879">
        <w:t>The National Influenza Centres</w:t>
      </w:r>
      <w:r w:rsidR="00702A44" w:rsidRPr="002E7879">
        <w:t xml:space="preserve"> </w:t>
      </w:r>
      <w:r w:rsidR="001F5651" w:rsidRPr="002E7879">
        <w:t>are</w:t>
      </w:r>
      <w:r w:rsidR="001478C3" w:rsidRPr="002E7879">
        <w:t xml:space="preserve"> designated</w:t>
      </w:r>
      <w:r w:rsidR="001F5651" w:rsidRPr="002E7879">
        <w:t xml:space="preserve"> institutions </w:t>
      </w:r>
      <w:r w:rsidR="001478C3" w:rsidRPr="002E7879">
        <w:t xml:space="preserve">that </w:t>
      </w:r>
      <w:r w:rsidR="00702A44" w:rsidRPr="002E7879">
        <w:t xml:space="preserve">collect virus specimens in their country and perform preliminary analysis. </w:t>
      </w:r>
      <w:r w:rsidR="001478C3" w:rsidRPr="002E7879">
        <w:t>The</w:t>
      </w:r>
      <w:r w:rsidR="00B53248" w:rsidRPr="002E7879">
        <w:t xml:space="preserve"> National Influenza Centres then forward representative clinical specimens and isolated viruses to the WHO Collaborating Centre for Reference and Research on Influenza</w:t>
      </w:r>
      <w:r w:rsidR="00DE01AE" w:rsidRPr="002E7879">
        <w:t xml:space="preserve"> for advanced antigenic and genetic analysis. </w:t>
      </w:r>
      <w:r w:rsidR="00E809AF" w:rsidRPr="002E7879">
        <w:t>The National Influenza Centres form an important part of the</w:t>
      </w:r>
      <w:r w:rsidRPr="002E7879">
        <w:t xml:space="preserve"> WHO Global Influenza Surveillance and Response System</w:t>
      </w:r>
      <w:r w:rsidR="002E7879" w:rsidRPr="002E7879">
        <w:t>.</w:t>
      </w:r>
      <w:r w:rsidR="00DF6BAA">
        <w:fldChar w:fldCharType="begin"/>
      </w:r>
      <w:r w:rsidR="00C364E0">
        <w:instrText xml:space="preserve"> ADDIN EN.CITE &lt;EndNote&gt;&lt;Cite&gt;&lt;Author&gt;Global Influenza Programme&lt;/Author&gt;&lt;Year&gt;2025&lt;/Year&gt;&lt;RecNum&gt;2845&lt;/RecNum&gt;&lt;DisplayText&gt;&lt;style face="superscript"&gt;17&lt;/style&gt;&lt;/DisplayText&gt;&lt;record&gt;&lt;rec-number&gt;2845&lt;/rec-number&gt;&lt;foreign-keys&gt;&lt;key app="EN" db-id="ptaw2s0tmse5w0exvrh5d2vpdtxat2eaaazf" timestamp="1742881861"&gt;2845&lt;/key&gt;&lt;/foreign-keys&gt;&lt;ref-type name="Web Page"&gt;12&lt;/ref-type&gt;&lt;contributors&gt;&lt;authors&gt;&lt;author&gt;Global Influenza Programme,&lt;/author&gt;&lt;/authors&gt;&lt;/contributors&gt;&lt;titles&gt;&lt;title&gt;National Influenza Centres&lt;/title&gt;&lt;/titles&gt;&lt;dates&gt;&lt;year&gt;2025&lt;/year&gt;&lt;/dates&gt;&lt;pub-location&gt;Geneva&lt;/pub-location&gt;&lt;publisher&gt;World Health Organization&lt;/publisher&gt;&lt;work-type&gt;Internet&lt;/work-type&gt;&lt;urls&gt;&lt;related-urls&gt;&lt;url&gt;https://www.who.int/initiatives/global-influenza-surveillance-and-response-system/national-influenza-centres&lt;/url&gt;&lt;/related-urls&gt;&lt;/urls&gt;&lt;/record&gt;&lt;/Cite&gt;&lt;/EndNote&gt;</w:instrText>
      </w:r>
      <w:r w:rsidR="00DF6BAA">
        <w:fldChar w:fldCharType="separate"/>
      </w:r>
      <w:r w:rsidR="00DF6BAA" w:rsidRPr="00DF6BAA">
        <w:rPr>
          <w:noProof/>
          <w:vertAlign w:val="superscript"/>
        </w:rPr>
        <w:t>17</w:t>
      </w:r>
      <w:r w:rsidR="00DF6BAA">
        <w:fldChar w:fldCharType="end"/>
      </w:r>
    </w:p>
    <w:p w14:paraId="43FEDA0B" w14:textId="3307DFED" w:rsidR="00970B73" w:rsidRPr="001661DA" w:rsidRDefault="00970B73" w:rsidP="000E02DC">
      <w:pPr>
        <w:pStyle w:val="Heading3"/>
      </w:pPr>
      <w:r w:rsidRPr="001661DA">
        <w:t>Notes on interpretation</w:t>
      </w:r>
    </w:p>
    <w:p w14:paraId="64533057" w14:textId="46B788B0" w:rsidR="00970B73" w:rsidRDefault="00970B73" w:rsidP="000E02DC">
      <w:r w:rsidRPr="00B85A34">
        <w:t>Sentinel laboratory testing data are influenced by jurisdictional and laboratory testing practices and should be interpreted with caution.</w:t>
      </w:r>
    </w:p>
    <w:p w14:paraId="4EF8F5F0" w14:textId="5CBC03E3" w:rsidR="005F7CA4" w:rsidRDefault="008A44AB" w:rsidP="000E02DC">
      <w:pPr>
        <w:pStyle w:val="Heading2"/>
      </w:pPr>
      <w:bookmarkStart w:id="15" w:name="_Toc194074616"/>
      <w:proofErr w:type="spellStart"/>
      <w:r w:rsidRPr="008A44AB">
        <w:lastRenderedPageBreak/>
        <w:t>AusTrakka</w:t>
      </w:r>
      <w:bookmarkEnd w:id="15"/>
      <w:proofErr w:type="spellEnd"/>
    </w:p>
    <w:p w14:paraId="70DA748E" w14:textId="6B2D839B" w:rsidR="000C1492" w:rsidRDefault="00A307CF" w:rsidP="002C2C8B">
      <w:pPr>
        <w:rPr>
          <w:highlight w:val="yellow"/>
        </w:rPr>
      </w:pPr>
      <w:r>
        <w:t>SARS-CoV-2 sequencing data</w:t>
      </w:r>
      <w:r w:rsidR="00A937ED">
        <w:t xml:space="preserve"> in this annual report are based on </w:t>
      </w:r>
      <w:r w:rsidR="00A937ED" w:rsidRPr="00FB5A39">
        <w:t>data</w:t>
      </w:r>
      <w:r w:rsidR="00A937ED" w:rsidRPr="000F147C">
        <w:t xml:space="preserve"> </w:t>
      </w:r>
      <w:r w:rsidR="002B0CFC" w:rsidRPr="000F147C">
        <w:t xml:space="preserve">from </w:t>
      </w:r>
      <w:proofErr w:type="spellStart"/>
      <w:r w:rsidR="002B0CFC" w:rsidRPr="000F147C">
        <w:t>AusTrakk</w:t>
      </w:r>
      <w:r w:rsidR="00FB5A39" w:rsidRPr="000F147C">
        <w:t>a</w:t>
      </w:r>
      <w:proofErr w:type="spellEnd"/>
      <w:r w:rsidR="002B0CFC" w:rsidRPr="000F147C">
        <w:t xml:space="preserve">, </w:t>
      </w:r>
      <w:r w:rsidR="00FB5A39" w:rsidRPr="000F147C">
        <w:t>Australia’s national genomic</w:t>
      </w:r>
      <w:r w:rsidR="00A62A2C">
        <w:t xml:space="preserve">s surveillance </w:t>
      </w:r>
      <w:r w:rsidR="00FB5A39" w:rsidRPr="000F147C">
        <w:t>platform for SARS-CoV-2</w:t>
      </w:r>
      <w:r w:rsidR="002B0CFC" w:rsidRPr="000F147C">
        <w:t xml:space="preserve">, </w:t>
      </w:r>
      <w:r w:rsidR="002B0CFC" w:rsidRPr="00FB5A39">
        <w:t>e</w:t>
      </w:r>
      <w:r w:rsidR="002B0CFC">
        <w:t xml:space="preserve">xtracted </w:t>
      </w:r>
      <w:r w:rsidR="002B0CFC" w:rsidRPr="009B023F">
        <w:t>24 February 2025</w:t>
      </w:r>
      <w:r w:rsidR="002B0CFC">
        <w:t>.</w:t>
      </w:r>
    </w:p>
    <w:p w14:paraId="724A0022" w14:textId="36CF81BD" w:rsidR="000F147C" w:rsidRDefault="004F54EC" w:rsidP="004F54EC">
      <w:r w:rsidRPr="007A6870">
        <w:t>In 2024,</w:t>
      </w:r>
      <w:r>
        <w:t xml:space="preserve"> </w:t>
      </w:r>
      <w:r w:rsidRPr="000764B2">
        <w:t>public health laboratories</w:t>
      </w:r>
      <w:r>
        <w:t xml:space="preserve"> in NSW</w:t>
      </w:r>
      <w:r w:rsidRPr="004F54EC">
        <w:t>, Qld, SA, Tas</w:t>
      </w:r>
      <w:r>
        <w:t>.</w:t>
      </w:r>
      <w:r w:rsidRPr="004F54EC">
        <w:t>, Vic</w:t>
      </w:r>
      <w:r>
        <w:t>.</w:t>
      </w:r>
      <w:r w:rsidR="00C63E35">
        <w:t>,</w:t>
      </w:r>
      <w:r w:rsidRPr="004F54EC">
        <w:t xml:space="preserve"> and WA</w:t>
      </w:r>
      <w:r>
        <w:t xml:space="preserve"> uploaded </w:t>
      </w:r>
      <w:r w:rsidR="000764B2" w:rsidRPr="000764B2">
        <w:t xml:space="preserve">genomic sequences and agreed epidemiological metadata to </w:t>
      </w:r>
      <w:proofErr w:type="spellStart"/>
      <w:r w:rsidR="000764B2" w:rsidRPr="000764B2">
        <w:t>AusTrakka</w:t>
      </w:r>
      <w:proofErr w:type="spellEnd"/>
      <w:r w:rsidR="000764B2" w:rsidRPr="000764B2">
        <w:t xml:space="preserve"> on a dedicated server for nationally aggregated genomics analysis and visualisation of sequences.</w:t>
      </w:r>
      <w:r w:rsidR="00FF3579">
        <w:fldChar w:fldCharType="begin"/>
      </w:r>
      <w:r w:rsidR="00FF3579">
        <w:instrText xml:space="preserve"> ADDIN EN.CITE &lt;EndNote&gt;&lt;Cite&gt;&lt;Author&gt;Communicable Diseases Genomics Network&lt;/Author&gt;&lt;Year&gt;2024&lt;/Year&gt;&lt;RecNum&gt;2846&lt;/RecNum&gt;&lt;DisplayText&gt;&lt;style face="superscript"&gt;18&lt;/style&gt;&lt;/DisplayText&gt;&lt;record&gt;&lt;rec-number&gt;2846&lt;/rec-number&gt;&lt;foreign-keys&gt;&lt;key app="EN" db-id="ptaw2s0tmse5w0exvrh5d2vpdtxat2eaaazf" timestamp="1742882903"&gt;2846&lt;/key&gt;&lt;/foreign-keys&gt;&lt;ref-type name="Web Page"&gt;12&lt;/ref-type&gt;&lt;contributors&gt;&lt;authors&gt;&lt;author&gt;Communicable Diseases Genomics Network,&lt;/author&gt;&lt;/authors&gt;&lt;/contributors&gt;&lt;titles&gt;&lt;title&gt;AUSTRAKKA; Overview&lt;/title&gt;&lt;/titles&gt;&lt;dates&gt;&lt;year&gt;2024&lt;/year&gt;&lt;/dates&gt;&lt;pub-location&gt;Melbourne&lt;/pub-location&gt;&lt;publisher&gt;Communicable Diseases Genomics Network&lt;/publisher&gt;&lt;work-type&gt;Internet&lt;/work-type&gt;&lt;urls&gt;&lt;related-urls&gt;&lt;url&gt;https://www.cdgn.org.au/austrakka&lt;/url&gt;&lt;/related-urls&gt;&lt;/urls&gt;&lt;/record&gt;&lt;/Cite&gt;&lt;/EndNote&gt;</w:instrText>
      </w:r>
      <w:r w:rsidR="00FF3579">
        <w:fldChar w:fldCharType="separate"/>
      </w:r>
      <w:r w:rsidR="00FF3579" w:rsidRPr="00FF3579">
        <w:rPr>
          <w:noProof/>
          <w:vertAlign w:val="superscript"/>
        </w:rPr>
        <w:t>18</w:t>
      </w:r>
      <w:r w:rsidR="00FF3579">
        <w:fldChar w:fldCharType="end"/>
      </w:r>
      <w:r w:rsidR="008E0104">
        <w:t xml:space="preserve"> Sequences in </w:t>
      </w:r>
      <w:proofErr w:type="spellStart"/>
      <w:r w:rsidR="008E0104">
        <w:t>AusTrakka</w:t>
      </w:r>
      <w:proofErr w:type="spellEnd"/>
      <w:r w:rsidR="008E0104">
        <w:t xml:space="preserve"> </w:t>
      </w:r>
      <w:r w:rsidR="00B341C9">
        <w:t xml:space="preserve">are </w:t>
      </w:r>
      <w:r w:rsidR="008E0104">
        <w:t>aggregated by week and reported based on date of sample collection, not date of sequencing.</w:t>
      </w:r>
    </w:p>
    <w:p w14:paraId="759E9A2C" w14:textId="3A11A1E9" w:rsidR="00111E0F" w:rsidRPr="00F00FD3" w:rsidRDefault="00111E0F" w:rsidP="004F54EC">
      <w:proofErr w:type="spellStart"/>
      <w:r w:rsidRPr="00111E0F">
        <w:t>AusTrakka</w:t>
      </w:r>
      <w:proofErr w:type="spellEnd"/>
      <w:r w:rsidRPr="00111E0F">
        <w:t xml:space="preserve"> defines SARS-CoV-2 genomic lineages using the Phylogenetic Assignment of Named Global Outbreak (Pango) lineage nomenclature.</w:t>
      </w:r>
      <w:r w:rsidR="00ED1EC5">
        <w:fldChar w:fldCharType="begin"/>
      </w:r>
      <w:r w:rsidR="00C364E0">
        <w:instrText xml:space="preserve"> ADDIN EN.CITE &lt;EndNote&gt;&lt;Cite&gt;&lt;Author&gt;Rambaut&lt;/Author&gt;&lt;Year&gt;2020&lt;/Year&gt;&lt;RecNum&gt;2833&lt;/RecNum&gt;&lt;DisplayText&gt;&lt;style face="superscript"&gt;19&lt;/style&gt;&lt;/DisplayText&gt;&lt;record&gt;&lt;rec-number&gt;2833&lt;/rec-number&gt;&lt;foreign-keys&gt;&lt;key app="EN" db-id="ptaw2s0tmse5w0exvrh5d2vpdtxat2eaaazf" timestamp="1742535556"&gt;2833&lt;/key&gt;&lt;/foreign-keys&gt;&lt;ref-type name="Journal Article"&gt;17&lt;/ref-type&gt;&lt;contributors&gt;&lt;authors&gt;&lt;author&gt;Rambaut, Andrew&lt;/author&gt;&lt;author&gt;Holmes, Edward C.&lt;/author&gt;&lt;author&gt;O’Toole, Áine&lt;/author&gt;&lt;author&gt;Hill, Verity&lt;/author&gt;&lt;author&gt;McCrone, John T.&lt;/author&gt;&lt;author&gt;Ruis, Christopher&lt;/author&gt;&lt;author&gt;du Plessis, Louis&lt;/author&gt;&lt;author&gt;Pybus, Oliver G.&lt;/author&gt;&lt;/authors&gt;&lt;/contributors&gt;&lt;titles&gt;&lt;title&gt;A dynamic nomenclature proposal for SARS-CoV-2 lineages to assist genomic epidemiology&lt;/title&gt;&lt;secondary-title&gt;Nat. Microbiol.&lt;/secondary-title&gt;&lt;/titles&gt;&lt;periodical&gt;&lt;full-title&gt;Nat. Microbiol.&lt;/full-title&gt;&lt;/periodical&gt;&lt;pages&gt;1403-1407&lt;/pages&gt;&lt;volume&gt;5&lt;/volume&gt;&lt;number&gt;11&lt;/number&gt;&lt;dates&gt;&lt;year&gt;2020&lt;/year&gt;&lt;pub-dates&gt;&lt;date&gt;2020/11/01&lt;/date&gt;&lt;/pub-dates&gt;&lt;/dates&gt;&lt;isbn&gt;2058-5276&lt;/isbn&gt;&lt;urls&gt;&lt;related-urls&gt;&lt;url&gt;https://doi.org/10.1038/s41564-020-0770-5&lt;/url&gt;&lt;/related-urls&gt;&lt;/urls&gt;&lt;electronic-resource-num&gt;doi: https://doi.org/10.1038/s41564-020-0770-5&lt;/electronic-resource-num&gt;&lt;/record&gt;&lt;/Cite&gt;&lt;/EndNote&gt;</w:instrText>
      </w:r>
      <w:r w:rsidR="00ED1EC5">
        <w:fldChar w:fldCharType="separate"/>
      </w:r>
      <w:r w:rsidR="00ED1EC5" w:rsidRPr="00ED1EC5">
        <w:rPr>
          <w:noProof/>
          <w:vertAlign w:val="superscript"/>
        </w:rPr>
        <w:t>19</w:t>
      </w:r>
      <w:r w:rsidR="00ED1EC5">
        <w:fldChar w:fldCharType="end"/>
      </w:r>
      <w:r w:rsidR="00ED1EC5">
        <w:t xml:space="preserve"> </w:t>
      </w:r>
      <w:r w:rsidR="00ED1EC5" w:rsidRPr="00ED1EC5">
        <w:t xml:space="preserve">Lineages and sub-lineage classifications are continuously defined, and lineage classification may change retrospectively as new sequences are added and lineages diversify over time. Sub-sub lineage designations may change with updates to Pangolin, USHER, and </w:t>
      </w:r>
      <w:proofErr w:type="spellStart"/>
      <w:r w:rsidR="00ED1EC5" w:rsidRPr="00ED1EC5">
        <w:t>NextClade</w:t>
      </w:r>
      <w:proofErr w:type="spellEnd"/>
      <w:r w:rsidR="00ED1EC5" w:rsidRPr="00ED1EC5">
        <w:t xml:space="preserve"> lineage calling software used by </w:t>
      </w:r>
      <w:proofErr w:type="spellStart"/>
      <w:r w:rsidR="00ED1EC5" w:rsidRPr="00ED1EC5">
        <w:t>AusTrakka</w:t>
      </w:r>
      <w:proofErr w:type="spellEnd"/>
      <w:r w:rsidR="00ED1EC5" w:rsidRPr="00ED1EC5">
        <w:t>.</w:t>
      </w:r>
      <w:r w:rsidR="00ED1EC5">
        <w:t xml:space="preserve"> </w:t>
      </w:r>
      <w:r w:rsidR="00ED1EC5" w:rsidRPr="00ED1EC5">
        <w:t xml:space="preserve">For this reason, numbers and proportions of sub-lineages may </w:t>
      </w:r>
      <w:r w:rsidR="00ED1EC5" w:rsidRPr="00F00FD3">
        <w:t>not align with those presented in other reports.</w:t>
      </w:r>
    </w:p>
    <w:p w14:paraId="09EBAC9E" w14:textId="29D87D70" w:rsidR="00F00FD3" w:rsidRDefault="00F00FD3" w:rsidP="004F54EC">
      <w:r w:rsidRPr="00F00FD3">
        <w:t xml:space="preserve">From July 2023, </w:t>
      </w:r>
      <w:proofErr w:type="spellStart"/>
      <w:r w:rsidRPr="00F00FD3">
        <w:t>AusTrakka</w:t>
      </w:r>
      <w:proofErr w:type="spellEnd"/>
      <w:r w:rsidRPr="00F00FD3">
        <w:t xml:space="preserve"> has used the WHO designations for any variant of concern, variant of interest, or variant under monitoring designations.</w:t>
      </w:r>
      <w:r w:rsidRPr="00F00FD3">
        <w:fldChar w:fldCharType="begin"/>
      </w:r>
      <w:r w:rsidRPr="00F00FD3">
        <w:instrText xml:space="preserve"> ADDIN EN.CITE &lt;EndNote&gt;&lt;Cite&gt;&lt;Author&gt;World Health Organization&lt;/Author&gt;&lt;Year&gt;2025&lt;/Year&gt;&lt;RecNum&gt;2819&lt;/RecNum&gt;&lt;DisplayText&gt;&lt;style face="superscript"&gt;20&lt;/style&gt;&lt;/DisplayText&gt;&lt;record&gt;&lt;rec-number&gt;2819&lt;/rec-number&gt;&lt;foreign-keys&gt;&lt;key app="EN" db-id="ptaw2s0tmse5w0exvrh5d2vpdtxat2eaaazf" timestamp="1742521124"&gt;2819&lt;/key&gt;&lt;/foreign-keys&gt;&lt;ref-type name="Web Page"&gt;12&lt;/ref-type&gt;&lt;contributors&gt;&lt;authors&gt;&lt;author&gt;World Health Organization,&lt;/author&gt;&lt;/authors&gt;&lt;/contributors&gt;&lt;titles&gt;&lt;title&gt;Tracking SARS-CoV-2 variants&lt;/title&gt;&lt;/titles&gt;&lt;dates&gt;&lt;year&gt;2025&lt;/year&gt;&lt;/dates&gt;&lt;pub-location&gt;Geneva&lt;/pub-location&gt;&lt;publisher&gt;World Health Organization&lt;/publisher&gt;&lt;work-type&gt;Internet&lt;/work-type&gt;&lt;urls&gt;&lt;related-urls&gt;&lt;url&gt;https://www.who.int/activities/tracking-SARS-CoV-2-variants&lt;/url&gt;&lt;/related-urls&gt;&lt;/urls&gt;&lt;/record&gt;&lt;/Cite&gt;&lt;/EndNote&gt;</w:instrText>
      </w:r>
      <w:r w:rsidRPr="00F00FD3">
        <w:fldChar w:fldCharType="separate"/>
      </w:r>
      <w:r w:rsidRPr="00F00FD3">
        <w:rPr>
          <w:noProof/>
          <w:vertAlign w:val="superscript"/>
        </w:rPr>
        <w:t>20</w:t>
      </w:r>
      <w:r w:rsidRPr="00F00FD3">
        <w:fldChar w:fldCharType="end"/>
      </w:r>
      <w:r w:rsidR="00F51933">
        <w:t xml:space="preserve"> </w:t>
      </w:r>
      <w:proofErr w:type="spellStart"/>
      <w:r w:rsidR="00F51933" w:rsidRPr="00F51933">
        <w:t>AusTrakka</w:t>
      </w:r>
      <w:proofErr w:type="spellEnd"/>
      <w:r w:rsidR="00F51933" w:rsidRPr="00F51933">
        <w:t xml:space="preserve"> </w:t>
      </w:r>
      <w:r w:rsidR="00F51933">
        <w:t xml:space="preserve">determines </w:t>
      </w:r>
      <w:r w:rsidR="00F51933" w:rsidRPr="00F51933">
        <w:t xml:space="preserve">variants of concern from a viral sequence by using the </w:t>
      </w:r>
      <w:proofErr w:type="spellStart"/>
      <w:r w:rsidR="00F51933" w:rsidRPr="00F51933">
        <w:t>NextClade</w:t>
      </w:r>
      <w:proofErr w:type="spellEnd"/>
      <w:r w:rsidR="00F51933" w:rsidRPr="00F51933">
        <w:t xml:space="preserve"> Pangolin software and </w:t>
      </w:r>
      <w:proofErr w:type="spellStart"/>
      <w:r w:rsidR="00F51933" w:rsidRPr="00F51933">
        <w:t>scorpio</w:t>
      </w:r>
      <w:proofErr w:type="spellEnd"/>
      <w:r w:rsidR="00F51933" w:rsidRPr="00F51933">
        <w:t xml:space="preserve"> algorithm, which assigns a sequence to a Pangolin constellation (the presence of a set of characteristic mutations for each variant of concern lineage). Non-variant of concern lineages are determined using the Pangolin software PangoLEARN.</w:t>
      </w:r>
      <w:r w:rsidR="000A51BF">
        <w:fldChar w:fldCharType="begin"/>
      </w:r>
      <w:r w:rsidR="00C364E0">
        <w:instrText xml:space="preserve"> ADDIN EN.CITE &lt;EndNote&gt;&lt;Cite&gt;&lt;Author&gt;Rambaut&lt;/Author&gt;&lt;Year&gt;2020&lt;/Year&gt;&lt;RecNum&gt;2833&lt;/RecNum&gt;&lt;DisplayText&gt;&lt;style face="superscript"&gt;19&lt;/style&gt;&lt;/DisplayText&gt;&lt;record&gt;&lt;rec-number&gt;2833&lt;/rec-number&gt;&lt;foreign-keys&gt;&lt;key app="EN" db-id="ptaw2s0tmse5w0exvrh5d2vpdtxat2eaaazf" timestamp="1742535556"&gt;2833&lt;/key&gt;&lt;/foreign-keys&gt;&lt;ref-type name="Journal Article"&gt;17&lt;/ref-type&gt;&lt;contributors&gt;&lt;authors&gt;&lt;author&gt;Rambaut, Andrew&lt;/author&gt;&lt;author&gt;Holmes, Edward C.&lt;/author&gt;&lt;author&gt;O’Toole, Áine&lt;/author&gt;&lt;author&gt;Hill, Verity&lt;/author&gt;&lt;author&gt;McCrone, John T.&lt;/author&gt;&lt;author&gt;Ruis, Christopher&lt;/author&gt;&lt;author&gt;du Plessis, Louis&lt;/author&gt;&lt;author&gt;Pybus, Oliver G.&lt;/author&gt;&lt;/authors&gt;&lt;/contributors&gt;&lt;titles&gt;&lt;title&gt;A dynamic nomenclature proposal for SARS-CoV-2 lineages to assist genomic epidemiology&lt;/title&gt;&lt;secondary-title&gt;Nat. Microbiol.&lt;/secondary-title&gt;&lt;/titles&gt;&lt;periodical&gt;&lt;full-title&gt;Nat. Microbiol.&lt;/full-title&gt;&lt;/periodical&gt;&lt;pages&gt;1403-1407&lt;/pages&gt;&lt;volume&gt;5&lt;/volume&gt;&lt;number&gt;11&lt;/number&gt;&lt;dates&gt;&lt;year&gt;2020&lt;/year&gt;&lt;pub-dates&gt;&lt;date&gt;2020/11/01&lt;/date&gt;&lt;/pub-dates&gt;&lt;/dates&gt;&lt;isbn&gt;2058-5276&lt;/isbn&gt;&lt;urls&gt;&lt;related-urls&gt;&lt;url&gt;https://doi.org/10.1038/s41564-020-0770-5&lt;/url&gt;&lt;/related-urls&gt;&lt;/urls&gt;&lt;electronic-resource-num&gt;doi: https://doi.org/10.1038/s41564-020-0770-5&lt;/electronic-resource-num&gt;&lt;/record&gt;&lt;/Cite&gt;&lt;/EndNote&gt;</w:instrText>
      </w:r>
      <w:r w:rsidR="000A51BF">
        <w:fldChar w:fldCharType="separate"/>
      </w:r>
      <w:r w:rsidR="000A51BF" w:rsidRPr="000A51BF">
        <w:rPr>
          <w:noProof/>
          <w:vertAlign w:val="superscript"/>
        </w:rPr>
        <w:t>19</w:t>
      </w:r>
      <w:r w:rsidR="000A51BF">
        <w:fldChar w:fldCharType="end"/>
      </w:r>
      <w:r w:rsidR="00F51933" w:rsidRPr="00F51933">
        <w:t xml:space="preserve"> This approach align</w:t>
      </w:r>
      <w:r w:rsidR="000A51BF">
        <w:t>s</w:t>
      </w:r>
      <w:r w:rsidR="00F51933" w:rsidRPr="00F51933">
        <w:t xml:space="preserve"> with the W</w:t>
      </w:r>
      <w:r w:rsidR="000A51BF">
        <w:t xml:space="preserve">HO </w:t>
      </w:r>
      <w:r w:rsidR="00F51933" w:rsidRPr="00F51933">
        <w:t>position on variant of concern classification and interpretation.</w:t>
      </w:r>
    </w:p>
    <w:p w14:paraId="52B73A36" w14:textId="57FF2562" w:rsidR="00C33957" w:rsidRPr="001661DA" w:rsidRDefault="00C33957" w:rsidP="000E02DC">
      <w:pPr>
        <w:pStyle w:val="Heading3"/>
      </w:pPr>
      <w:r w:rsidRPr="001661DA">
        <w:t>Notes on interpretation</w:t>
      </w:r>
    </w:p>
    <w:p w14:paraId="2C8ADEF4" w14:textId="20B5E75A" w:rsidR="00C602DD" w:rsidRPr="00AC2A88" w:rsidRDefault="00C602DD" w:rsidP="00C602DD">
      <w:r w:rsidRPr="00AC2A88">
        <w:t xml:space="preserve">The number of sequences presented in the </w:t>
      </w:r>
      <w:proofErr w:type="spellStart"/>
      <w:r w:rsidRPr="00AC2A88">
        <w:t>AusTrakka</w:t>
      </w:r>
      <w:proofErr w:type="spellEnd"/>
      <w:r w:rsidRPr="00AC2A88">
        <w:t xml:space="preserve"> data are not equivalent to the number of notified cases, as not all notified cases are sequenced and there may be duplicates in the </w:t>
      </w:r>
      <w:proofErr w:type="spellStart"/>
      <w:r w:rsidRPr="00AC2A88">
        <w:t>AusTrakka</w:t>
      </w:r>
      <w:proofErr w:type="spellEnd"/>
      <w:r w:rsidRPr="00AC2A88">
        <w:t xml:space="preserve"> data.</w:t>
      </w:r>
    </w:p>
    <w:p w14:paraId="0E1AB36E" w14:textId="5F22A668" w:rsidR="00C602DD" w:rsidRDefault="008D5196" w:rsidP="002C2C8B">
      <w:pPr>
        <w:rPr>
          <w:highlight w:val="yellow"/>
        </w:rPr>
      </w:pPr>
      <w:r w:rsidRPr="008D5196">
        <w:t>Only samples with laboratory-definitive evidence of SARS-CoV-2 are eligible for sequencing. Not all samples will be suitable for sequencing, especially those samples with low amounts of viral nucleic acid (i.e., high PCR cycle thresholds) such as those collected from cases late in their disease episode (common in returned travellers) or those subjected to storage at suboptimal conditions, causing viral nucleic acid degradation. This may affect the representativeness of samples.</w:t>
      </w:r>
    </w:p>
    <w:p w14:paraId="40226107" w14:textId="40FDA2F3" w:rsidR="00C061B5" w:rsidRDefault="005D0337" w:rsidP="000E02DC">
      <w:r w:rsidRPr="009C17F4">
        <w:t>S</w:t>
      </w:r>
      <w:r w:rsidR="002C2C8B" w:rsidRPr="009C17F4">
        <w:t xml:space="preserve">ARS-CoV-2 </w:t>
      </w:r>
      <w:r w:rsidRPr="009C17F4">
        <w:t>sequencing methodology and protocols vary between jurisdictions</w:t>
      </w:r>
      <w:r w:rsidR="00872FC9" w:rsidRPr="009C17F4">
        <w:t xml:space="preserve">. </w:t>
      </w:r>
      <w:r w:rsidR="002C2C8B" w:rsidRPr="009C17F4">
        <w:t xml:space="preserve">SARS-CoV-2 samples likely to be prioritised for sequencing include those from cases who are hospitalised, admitted to intensive care, or cases of clinical significance. </w:t>
      </w:r>
      <w:r w:rsidR="00E1063D" w:rsidRPr="00E1063D">
        <w:t>This may affect the representativeness of samples.</w:t>
      </w:r>
    </w:p>
    <w:p w14:paraId="7C48B165" w14:textId="608F9561" w:rsidR="00C061B5" w:rsidRDefault="00C061B5" w:rsidP="000E02DC">
      <w:pPr>
        <w:pStyle w:val="Heading2"/>
      </w:pPr>
      <w:bookmarkStart w:id="16" w:name="_Toc194074617"/>
      <w:r w:rsidRPr="00C061B5">
        <w:t>WHO Collaborating Centre for Reference and Research on Influenza</w:t>
      </w:r>
      <w:bookmarkEnd w:id="16"/>
    </w:p>
    <w:p w14:paraId="36FDD580" w14:textId="052B159D" w:rsidR="004E1836" w:rsidRDefault="00CE1C07" w:rsidP="00687A64">
      <w:pPr>
        <w:rPr>
          <w:szCs w:val="20"/>
          <w:highlight w:val="yellow"/>
        </w:rPr>
      </w:pPr>
      <w:r>
        <w:t xml:space="preserve">Influenza </w:t>
      </w:r>
      <w:r w:rsidR="00FF4FB9">
        <w:t xml:space="preserve">virus </w:t>
      </w:r>
      <w:r>
        <w:t>characterisation</w:t>
      </w:r>
      <w:r w:rsidR="00A937ED">
        <w:t xml:space="preserve"> in this annual report </w:t>
      </w:r>
      <w:proofErr w:type="gramStart"/>
      <w:r w:rsidR="00A937ED">
        <w:t>are</w:t>
      </w:r>
      <w:proofErr w:type="gramEnd"/>
      <w:r w:rsidR="00A937ED">
        <w:t xml:space="preserve"> bas</w:t>
      </w:r>
      <w:r w:rsidR="00A937ED" w:rsidRPr="00B576A3">
        <w:t>ed on data</w:t>
      </w:r>
      <w:r w:rsidR="000A040D">
        <w:t xml:space="preserve"> from Australia’s </w:t>
      </w:r>
      <w:r w:rsidR="000A040D" w:rsidRPr="000A040D">
        <w:t>WHO Collaborating Centre for Reference and Research on Influenza</w:t>
      </w:r>
      <w:r w:rsidR="00EA34E5">
        <w:t xml:space="preserve"> (the Centre)</w:t>
      </w:r>
      <w:r w:rsidR="00A937ED" w:rsidRPr="000A040D">
        <w:rPr>
          <w:szCs w:val="20"/>
        </w:rPr>
        <w:t xml:space="preserve"> </w:t>
      </w:r>
      <w:r w:rsidR="002A5B5E" w:rsidRPr="00B576A3">
        <w:t>as of</w:t>
      </w:r>
      <w:r w:rsidR="002A5B5E" w:rsidRPr="00E0426C">
        <w:t xml:space="preserve"> 5 March 2025.</w:t>
      </w:r>
    </w:p>
    <w:p w14:paraId="2851B3AD" w14:textId="7B76B08E" w:rsidR="00687A64" w:rsidRPr="00E2693B" w:rsidRDefault="00687A64" w:rsidP="00687A64">
      <w:pPr>
        <w:rPr>
          <w:szCs w:val="20"/>
          <w:highlight w:val="yellow"/>
        </w:rPr>
      </w:pPr>
      <w:r w:rsidRPr="001647A9">
        <w:rPr>
          <w:szCs w:val="20"/>
        </w:rPr>
        <w:t>In Australia, the Centre is hosted by the Victorian Infectious Diseases Reference Laboratory</w:t>
      </w:r>
      <w:r w:rsidR="001647A9" w:rsidRPr="001647A9">
        <w:rPr>
          <w:szCs w:val="20"/>
        </w:rPr>
        <w:t>.</w:t>
      </w:r>
      <w:r w:rsidR="00F5156E">
        <w:rPr>
          <w:szCs w:val="20"/>
        </w:rPr>
        <w:t xml:space="preserve"> The role of the Centre is to</w:t>
      </w:r>
      <w:r w:rsidR="00F5156E" w:rsidRPr="00F5156E">
        <w:rPr>
          <w:szCs w:val="20"/>
        </w:rPr>
        <w:t xml:space="preserve"> obtain, isolate</w:t>
      </w:r>
      <w:r w:rsidR="00814764">
        <w:rPr>
          <w:szCs w:val="20"/>
        </w:rPr>
        <w:t>,</w:t>
      </w:r>
      <w:r w:rsidR="00F5156E" w:rsidRPr="00F5156E">
        <w:rPr>
          <w:szCs w:val="20"/>
        </w:rPr>
        <w:t xml:space="preserve"> and preserve representative viruses from cases of influenza, and characterise their antigenic, genetic</w:t>
      </w:r>
      <w:r w:rsidR="00814764">
        <w:rPr>
          <w:szCs w:val="20"/>
        </w:rPr>
        <w:t>,</w:t>
      </w:r>
      <w:r w:rsidR="00F5156E" w:rsidRPr="00F5156E">
        <w:rPr>
          <w:szCs w:val="20"/>
        </w:rPr>
        <w:t xml:space="preserve"> and drug sensitivity properties</w:t>
      </w:r>
      <w:r w:rsidR="00F5156E">
        <w:rPr>
          <w:szCs w:val="20"/>
        </w:rPr>
        <w:t>.</w:t>
      </w:r>
      <w:r w:rsidR="00E144F4">
        <w:rPr>
          <w:szCs w:val="20"/>
        </w:rPr>
        <w:t xml:space="preserve"> </w:t>
      </w:r>
      <w:r w:rsidR="00E144F4" w:rsidRPr="002E7879">
        <w:t>The Centre form</w:t>
      </w:r>
      <w:r w:rsidR="00E144F4">
        <w:t>s</w:t>
      </w:r>
      <w:r w:rsidR="00E144F4" w:rsidRPr="002E7879">
        <w:t xml:space="preserve"> an important part of the WHO Global Influenza Surveillance and Response Syste</w:t>
      </w:r>
      <w:r w:rsidR="00E144F4" w:rsidRPr="00E144F4">
        <w:t>m</w:t>
      </w:r>
      <w:r w:rsidR="00E144F4" w:rsidRPr="00E144F4">
        <w:rPr>
          <w:szCs w:val="20"/>
        </w:rPr>
        <w:t>.</w:t>
      </w:r>
      <w:r w:rsidR="00E13203">
        <w:rPr>
          <w:szCs w:val="20"/>
        </w:rPr>
        <w:fldChar w:fldCharType="begin"/>
      </w:r>
      <w:r w:rsidR="00E13203">
        <w:rPr>
          <w:szCs w:val="20"/>
        </w:rPr>
        <w:instrText xml:space="preserve"> ADDIN EN.CITE &lt;EndNote&gt;&lt;Cite&gt;&lt;Author&gt;Global Influenza Programme&lt;/Author&gt;&lt;Year&gt;2025&lt;/Year&gt;&lt;RecNum&gt;2847&lt;/RecNum&gt;&lt;DisplayText&gt;&lt;style face="superscript"&gt;21&lt;/style&gt;&lt;/DisplayText&gt;&lt;record&gt;&lt;rec-number&gt;2847&lt;/rec-number&gt;&lt;foreign-keys&gt;&lt;key app="EN" db-id="ptaw2s0tmse5w0exvrh5d2vpdtxat2eaaazf" timestamp="1742945094"&gt;2847&lt;/key&gt;&lt;/foreign-keys&gt;&lt;ref-type name="Web Page"&gt;12&lt;/ref-type&gt;&lt;contributors&gt;&lt;authors&gt;&lt;author&gt;Global Influenza Programme,&lt;/author&gt;&lt;/authors&gt;&lt;/contributors&gt;&lt;titles&gt;&lt;title&gt;WHO Collaborating Centres&lt;/title&gt;&lt;/titles&gt;&lt;dates&gt;&lt;year&gt;2025&lt;/year&gt;&lt;/dates&gt;&lt;pub-location&gt;Geneva&lt;/pub-location&gt;&lt;publisher&gt;World Health Organization&lt;/publisher&gt;&lt;work-type&gt;Internet&lt;/work-type&gt;&lt;urls&gt;&lt;related-urls&gt;&lt;url&gt;https://www.who.int/initiatives/global-influenza-surveillance-and-response-system/who-collaboration-center-erl&lt;/url&gt;&lt;/related-urls&gt;&lt;/urls&gt;&lt;/record&gt;&lt;/Cite&gt;&lt;/EndNote&gt;</w:instrText>
      </w:r>
      <w:r w:rsidR="00E13203">
        <w:rPr>
          <w:szCs w:val="20"/>
        </w:rPr>
        <w:fldChar w:fldCharType="separate"/>
      </w:r>
      <w:r w:rsidR="00E13203" w:rsidRPr="00E13203">
        <w:rPr>
          <w:noProof/>
          <w:szCs w:val="20"/>
          <w:vertAlign w:val="superscript"/>
        </w:rPr>
        <w:t>21</w:t>
      </w:r>
      <w:r w:rsidR="00E13203">
        <w:rPr>
          <w:szCs w:val="20"/>
        </w:rPr>
        <w:fldChar w:fldCharType="end"/>
      </w:r>
      <w:r w:rsidR="001647A9" w:rsidRPr="001647A9">
        <w:rPr>
          <w:szCs w:val="20"/>
        </w:rPr>
        <w:t xml:space="preserve"> </w:t>
      </w:r>
    </w:p>
    <w:p w14:paraId="16A31772" w14:textId="5B0FC5A3" w:rsidR="00A715E6" w:rsidRDefault="0019761A">
      <w:r>
        <w:br w:type="page"/>
      </w:r>
    </w:p>
    <w:p w14:paraId="03079C2F" w14:textId="5D6113B3" w:rsidR="00B625BE" w:rsidRDefault="00B625BE" w:rsidP="00B625BE">
      <w:pPr>
        <w:pStyle w:val="Heading1"/>
      </w:pPr>
      <w:bookmarkStart w:id="17" w:name="_Toc194074618"/>
      <w:bookmarkStart w:id="18" w:name="community-surveillance"/>
      <w:bookmarkEnd w:id="6"/>
      <w:r>
        <w:lastRenderedPageBreak/>
        <w:t>Findings</w:t>
      </w:r>
      <w:bookmarkEnd w:id="17"/>
    </w:p>
    <w:p w14:paraId="07FF7E61" w14:textId="56F0B609" w:rsidR="00827535" w:rsidRPr="00827535" w:rsidRDefault="0058736E" w:rsidP="00827535">
      <w:pPr>
        <w:rPr>
          <w:highlight w:val="yellow"/>
        </w:rPr>
      </w:pPr>
      <w:r w:rsidRPr="00854094">
        <w:rPr>
          <w:rFonts w:cs="Arial"/>
          <w:iCs/>
          <w:szCs w:val="22"/>
        </w:rPr>
        <w:t>The</w:t>
      </w:r>
      <w:r>
        <w:rPr>
          <w:rFonts w:cs="Arial"/>
          <w:iCs/>
          <w:szCs w:val="22"/>
        </w:rPr>
        <w:t xml:space="preserve"> 2024 Annual Australian Respiratory Surveillance Report </w:t>
      </w:r>
      <w:r w:rsidR="00DD4A07" w:rsidRPr="00DD4A07">
        <w:rPr>
          <w:rFonts w:cs="Arial"/>
          <w:iCs/>
          <w:szCs w:val="22"/>
        </w:rPr>
        <w:t>is structured by surveillance settings, including communities, general practice, hospitals, and laboratories.</w:t>
      </w:r>
      <w:r w:rsidR="004C609B">
        <w:rPr>
          <w:rFonts w:cs="Arial"/>
          <w:iCs/>
          <w:szCs w:val="22"/>
        </w:rPr>
        <w:t xml:space="preserve"> </w:t>
      </w:r>
      <w:r w:rsidR="004C609B" w:rsidRPr="00DD4A07">
        <w:rPr>
          <w:rFonts w:cs="Arial"/>
          <w:iCs/>
          <w:szCs w:val="22"/>
        </w:rPr>
        <w:t xml:space="preserve">Priority populations, such as children, older adults, </w:t>
      </w:r>
      <w:proofErr w:type="gramStart"/>
      <w:r w:rsidR="004C609B" w:rsidRPr="00DD4A07">
        <w:rPr>
          <w:rFonts w:cs="Arial"/>
          <w:iCs/>
          <w:szCs w:val="22"/>
        </w:rPr>
        <w:t>and</w:t>
      </w:r>
      <w:r w:rsidR="00153A52">
        <w:rPr>
          <w:rFonts w:cs="Arial"/>
          <w:iCs/>
          <w:szCs w:val="22"/>
        </w:rPr>
        <w:t>,</w:t>
      </w:r>
      <w:proofErr w:type="gramEnd"/>
      <w:r w:rsidR="004C609B" w:rsidRPr="00DD4A07">
        <w:rPr>
          <w:rFonts w:cs="Arial"/>
          <w:iCs/>
          <w:szCs w:val="22"/>
        </w:rPr>
        <w:t xml:space="preserve"> Aboriginal and Torres Strait Islander people are highlighted where data </w:t>
      </w:r>
      <w:r w:rsidR="004C609B">
        <w:rPr>
          <w:rFonts w:cs="Arial"/>
          <w:iCs/>
          <w:szCs w:val="22"/>
        </w:rPr>
        <w:t>are</w:t>
      </w:r>
      <w:r w:rsidR="004C609B" w:rsidRPr="00DD4A07">
        <w:rPr>
          <w:rFonts w:cs="Arial"/>
          <w:iCs/>
          <w:szCs w:val="22"/>
        </w:rPr>
        <w:t xml:space="preserve"> available.</w:t>
      </w:r>
      <w:r w:rsidR="00DD4A07" w:rsidRPr="00DD4A07">
        <w:rPr>
          <w:rFonts w:cs="Arial"/>
          <w:iCs/>
          <w:szCs w:val="22"/>
        </w:rPr>
        <w:t xml:space="preserve"> This approach allows </w:t>
      </w:r>
      <w:r w:rsidR="007F4C58">
        <w:rPr>
          <w:rFonts w:cs="Arial"/>
          <w:iCs/>
          <w:szCs w:val="22"/>
        </w:rPr>
        <w:t>us</w:t>
      </w:r>
      <w:r w:rsidR="00DD4A07" w:rsidRPr="00DD4A07">
        <w:rPr>
          <w:rFonts w:cs="Arial"/>
          <w:iCs/>
          <w:szCs w:val="22"/>
        </w:rPr>
        <w:t xml:space="preserve"> </w:t>
      </w:r>
      <w:r w:rsidR="00F7669F">
        <w:rPr>
          <w:rFonts w:cs="Arial"/>
          <w:iCs/>
          <w:szCs w:val="22"/>
        </w:rPr>
        <w:t>to</w:t>
      </w:r>
      <w:r w:rsidR="00DD4A07" w:rsidRPr="00DD4A07">
        <w:rPr>
          <w:rFonts w:cs="Arial"/>
          <w:iCs/>
          <w:szCs w:val="22"/>
        </w:rPr>
        <w:t xml:space="preserve"> understand how </w:t>
      </w:r>
      <w:r w:rsidR="007F4C58">
        <w:rPr>
          <w:rFonts w:cs="Arial"/>
          <w:iCs/>
          <w:szCs w:val="22"/>
        </w:rPr>
        <w:t xml:space="preserve">acute </w:t>
      </w:r>
      <w:r w:rsidR="00DD4A07" w:rsidRPr="00DD4A07">
        <w:rPr>
          <w:rFonts w:cs="Arial"/>
          <w:iCs/>
          <w:szCs w:val="22"/>
        </w:rPr>
        <w:t xml:space="preserve">respiratory illnesses impact different </w:t>
      </w:r>
      <w:r w:rsidR="00E43A2C">
        <w:rPr>
          <w:rFonts w:cs="Arial"/>
          <w:iCs/>
          <w:szCs w:val="22"/>
        </w:rPr>
        <w:t>people</w:t>
      </w:r>
      <w:r w:rsidR="003B1A79">
        <w:rPr>
          <w:rFonts w:cs="Arial"/>
          <w:iCs/>
          <w:szCs w:val="22"/>
        </w:rPr>
        <w:t xml:space="preserve"> and</w:t>
      </w:r>
      <w:r w:rsidR="00E43A2C">
        <w:rPr>
          <w:rFonts w:cs="Arial"/>
          <w:iCs/>
          <w:szCs w:val="22"/>
        </w:rPr>
        <w:t xml:space="preserve"> </w:t>
      </w:r>
      <w:r w:rsidR="007F4C58">
        <w:rPr>
          <w:rFonts w:cs="Arial"/>
          <w:iCs/>
          <w:szCs w:val="22"/>
        </w:rPr>
        <w:t>places</w:t>
      </w:r>
      <w:r w:rsidR="00DD4A07" w:rsidRPr="00DD4A07">
        <w:rPr>
          <w:rFonts w:cs="Arial"/>
          <w:iCs/>
          <w:szCs w:val="22"/>
        </w:rPr>
        <w:t xml:space="preserve">. </w:t>
      </w:r>
    </w:p>
    <w:p w14:paraId="16A31773" w14:textId="40459934" w:rsidR="00A715E6" w:rsidRDefault="0019761A">
      <w:pPr>
        <w:pStyle w:val="Heading1"/>
      </w:pPr>
      <w:bookmarkStart w:id="19" w:name="_Toc194074619"/>
      <w:r>
        <w:t>Community surveillance</w:t>
      </w:r>
      <w:bookmarkEnd w:id="19"/>
    </w:p>
    <w:p w14:paraId="16A31774" w14:textId="77777777" w:rsidR="00A715E6" w:rsidRDefault="0019761A">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6A31775" w14:textId="36A55DF6" w:rsidR="00A715E6" w:rsidRDefault="00FC3B05" w:rsidP="00FE5BC5">
      <w:r>
        <w:t>In 2024,</w:t>
      </w:r>
      <w:r w:rsidR="007B75FA">
        <w:t xml:space="preserve"> the</w:t>
      </w:r>
      <w:r w:rsidR="00066801">
        <w:t xml:space="preserve"> age standardised proportion of </w:t>
      </w:r>
      <w:proofErr w:type="spellStart"/>
      <w:r w:rsidR="00066801">
        <w:t>FluTracking</w:t>
      </w:r>
      <w:proofErr w:type="spellEnd"/>
      <w:r w:rsidR="00066801">
        <w:t xml:space="preserve"> participants</w:t>
      </w:r>
      <w:r w:rsidR="00197105" w:rsidRPr="00197105">
        <w:t xml:space="preserve"> </w:t>
      </w:r>
      <w:r w:rsidR="00066801">
        <w:t>reporting</w:t>
      </w:r>
      <w:r w:rsidR="00197105">
        <w:t xml:space="preserve"> new fever and cough symptoms</w:t>
      </w:r>
      <w:r w:rsidR="001F4426">
        <w:t xml:space="preserve"> </w:t>
      </w:r>
      <w:r w:rsidR="00066801">
        <w:t>per week</w:t>
      </w:r>
      <w:r w:rsidR="00197105">
        <w:t xml:space="preserve"> </w:t>
      </w:r>
      <w:r w:rsidR="00A03856">
        <w:t>gradually</w:t>
      </w:r>
      <w:r w:rsidR="00197105">
        <w:t xml:space="preserve"> increased </w:t>
      </w:r>
      <w:r w:rsidR="00557A86">
        <w:t xml:space="preserve">between </w:t>
      </w:r>
      <w:r w:rsidR="007539D2">
        <w:t xml:space="preserve">January </w:t>
      </w:r>
      <w:r w:rsidR="00557A86">
        <w:t>and</w:t>
      </w:r>
      <w:r w:rsidR="007539D2">
        <w:t xml:space="preserve"> June</w:t>
      </w:r>
      <w:r w:rsidR="004B0B29">
        <w:t xml:space="preserve"> to </w:t>
      </w:r>
      <w:r w:rsidR="006E5460">
        <w:t>a</w:t>
      </w:r>
      <w:r w:rsidR="008D5730">
        <w:t xml:space="preserve"> peak in </w:t>
      </w:r>
      <w:r w:rsidR="00330EDD">
        <w:t>late June (</w:t>
      </w:r>
      <w:r w:rsidR="003C6E1C">
        <w:t xml:space="preserve">2.6% </w:t>
      </w:r>
      <w:r w:rsidR="000E17A2">
        <w:t xml:space="preserve">of </w:t>
      </w:r>
      <w:r w:rsidR="00A41372">
        <w:t xml:space="preserve">participants reporting new fever and cough symptoms </w:t>
      </w:r>
      <w:r w:rsidR="003C6E1C">
        <w:t>per week</w:t>
      </w:r>
      <w:r w:rsidR="00330EDD">
        <w:t>)</w:t>
      </w:r>
      <w:r w:rsidR="00371830">
        <w:t xml:space="preserve">. </w:t>
      </w:r>
      <w:r w:rsidR="008A21BF">
        <w:t xml:space="preserve">Following the June peak, the age standardised proportion of participants reporting new fever and cough symptoms per week </w:t>
      </w:r>
      <w:r w:rsidR="00C0736D">
        <w:t>decreased</w:t>
      </w:r>
      <w:r w:rsidR="00E814F8">
        <w:t xml:space="preserve"> </w:t>
      </w:r>
      <w:r w:rsidR="00F0729F">
        <w:t xml:space="preserve">from </w:t>
      </w:r>
      <w:r w:rsidR="00E814F8">
        <w:t xml:space="preserve">July to December, with </w:t>
      </w:r>
      <w:r w:rsidR="00647CDB">
        <w:t>trends</w:t>
      </w:r>
      <w:r w:rsidR="00E814F8">
        <w:t xml:space="preserve"> towards the end of 2024 </w:t>
      </w:r>
      <w:proofErr w:type="gramStart"/>
      <w:r w:rsidR="00E814F8">
        <w:t>similar to</w:t>
      </w:r>
      <w:proofErr w:type="gramEnd"/>
      <w:r w:rsidR="00E814F8">
        <w:t xml:space="preserve"> the </w:t>
      </w:r>
      <w:r w:rsidR="00C7408B">
        <w:t xml:space="preserve">pattern observed in </w:t>
      </w:r>
      <w:r w:rsidR="00351E97">
        <w:t>the same period in</w:t>
      </w:r>
      <w:r w:rsidR="00C7408B">
        <w:t xml:space="preserve"> 2023</w:t>
      </w:r>
      <w:r>
        <w:t xml:space="preserve"> (Figure 2).</w:t>
      </w:r>
    </w:p>
    <w:p w14:paraId="52AB1972" w14:textId="4D3EBBC1" w:rsidR="007E54C3" w:rsidRDefault="00FB4BE5" w:rsidP="00FE5BC5">
      <w:r>
        <w:t xml:space="preserve">In 2024, </w:t>
      </w:r>
      <w:r w:rsidR="007B2505">
        <w:t>the</w:t>
      </w:r>
      <w:r w:rsidR="009E5C58">
        <w:t xml:space="preserve"> </w:t>
      </w:r>
      <w:r w:rsidR="007B2505">
        <w:t>peak</w:t>
      </w:r>
      <w:r w:rsidR="00B43C5C">
        <w:t xml:space="preserve"> </w:t>
      </w:r>
      <w:r w:rsidR="00987294">
        <w:t xml:space="preserve">of </w:t>
      </w:r>
      <w:r w:rsidR="00E757FD">
        <w:t xml:space="preserve">participants reporting new fever and cough symptoms </w:t>
      </w:r>
      <w:r w:rsidR="00B43C5C">
        <w:t xml:space="preserve">was similar in magnitude to </w:t>
      </w:r>
      <w:r w:rsidR="00DB11AD">
        <w:t>2023</w:t>
      </w:r>
      <w:r w:rsidR="00476643">
        <w:t xml:space="preserve"> and the five-year average</w:t>
      </w:r>
      <w:r w:rsidR="00E757FD">
        <w:t xml:space="preserve">; however, </w:t>
      </w:r>
      <w:r w:rsidR="00CC1F74">
        <w:t xml:space="preserve">the 2024 peak </w:t>
      </w:r>
      <w:r w:rsidR="009E5C58">
        <w:t>occurred</w:t>
      </w:r>
      <w:r w:rsidR="00FF4E74">
        <w:t xml:space="preserve"> </w:t>
      </w:r>
      <w:r w:rsidR="00C171C2">
        <w:t>four</w:t>
      </w:r>
      <w:r w:rsidR="00FF4E74">
        <w:t xml:space="preserve"> weeks later </w:t>
      </w:r>
      <w:r w:rsidR="0089436A">
        <w:t xml:space="preserve">than the </w:t>
      </w:r>
      <w:r w:rsidR="0002605C">
        <w:t xml:space="preserve">June </w:t>
      </w:r>
      <w:r w:rsidR="00514BAC">
        <w:t xml:space="preserve">2023 </w:t>
      </w:r>
      <w:r w:rsidR="00CC1F74">
        <w:t>peak</w:t>
      </w:r>
      <w:r w:rsidR="00FF4E74">
        <w:t xml:space="preserve">. </w:t>
      </w:r>
      <w:r w:rsidR="00FF4E74" w:rsidRPr="00FF4E74">
        <w:t>In contrast, the</w:t>
      </w:r>
      <w:r w:rsidR="00C4181B">
        <w:t xml:space="preserve"> trend</w:t>
      </w:r>
      <w:r w:rsidR="000238D5">
        <w:t xml:space="preserve">s in the proportion of participants reporting new fever and cough symptoms per week were quite different in 2022. </w:t>
      </w:r>
      <w:r w:rsidR="00330C5F">
        <w:t>The</w:t>
      </w:r>
      <w:r w:rsidR="00FF4E74">
        <w:t xml:space="preserve"> </w:t>
      </w:r>
      <w:r w:rsidR="00FF4E74" w:rsidRPr="00FF4E74">
        <w:t xml:space="preserve">peak </w:t>
      </w:r>
      <w:r w:rsidR="00FF4E74">
        <w:t>proportion of participants reporting new fever and cough symptoms</w:t>
      </w:r>
      <w:r w:rsidR="00FF4E74" w:rsidRPr="00FF4E74">
        <w:t xml:space="preserve"> </w:t>
      </w:r>
      <w:r w:rsidR="001C560D">
        <w:t xml:space="preserve">was </w:t>
      </w:r>
      <w:r w:rsidR="0042583E">
        <w:t>much higher</w:t>
      </w:r>
      <w:r w:rsidR="004221F0">
        <w:t>,</w:t>
      </w:r>
      <w:r w:rsidR="0042583E">
        <w:t xml:space="preserve"> and </w:t>
      </w:r>
      <w:r w:rsidR="004221F0">
        <w:t xml:space="preserve">the first peak </w:t>
      </w:r>
      <w:r w:rsidR="00FF4E74" w:rsidRPr="00FF4E74">
        <w:t xml:space="preserve">occurred </w:t>
      </w:r>
      <w:r w:rsidR="005F4FC6">
        <w:t xml:space="preserve">seven weeks </w:t>
      </w:r>
      <w:r w:rsidR="00FF4E74" w:rsidRPr="00FF4E74">
        <w:t>earlier in 2022</w:t>
      </w:r>
      <w:r w:rsidR="0042583E">
        <w:t xml:space="preserve">, </w:t>
      </w:r>
      <w:r w:rsidR="00F979A2">
        <w:t>with</w:t>
      </w:r>
      <w:r w:rsidR="00FF4E74" w:rsidRPr="00FF4E74">
        <w:t xml:space="preserve"> 3.2% </w:t>
      </w:r>
      <w:r w:rsidR="00F979A2">
        <w:t>participants reporting new fever and cough symptoms per week</w:t>
      </w:r>
      <w:r w:rsidR="00FF4E74" w:rsidRPr="00FF4E74">
        <w:t xml:space="preserve"> in mid-May</w:t>
      </w:r>
      <w:r w:rsidR="00AA5B68">
        <w:t xml:space="preserve"> </w:t>
      </w:r>
      <w:r w:rsidR="00CC1F74">
        <w:t>(Figure 2)</w:t>
      </w:r>
      <w:r>
        <w:t>.</w:t>
      </w:r>
      <w:r w:rsidR="00C1006C">
        <w:t xml:space="preserve"> </w:t>
      </w:r>
    </w:p>
    <w:p w14:paraId="2CF2667D" w14:textId="703DA88B" w:rsidR="00D02594" w:rsidRPr="000E02DC" w:rsidRDefault="00E62637" w:rsidP="000E02DC">
      <w:r>
        <w:t xml:space="preserve">In 2024, among Aboriginal and Torres Strait Islander </w:t>
      </w:r>
      <w:proofErr w:type="spellStart"/>
      <w:r>
        <w:t>FluTracking</w:t>
      </w:r>
      <w:proofErr w:type="spellEnd"/>
      <w:r>
        <w:t xml:space="preserve"> participants, the proportion of participants reporting new fever and cough symptoms per week peaked higher and earlier (4.3% per week in early June) than in the overall cohort. The trend among Aboriginal and Torres Strait Islander participants should be interpreted with </w:t>
      </w:r>
      <w:r w:rsidR="00F314C6">
        <w:t>care</w:t>
      </w:r>
      <w:r>
        <w:t xml:space="preserve"> as Aboriginal and Torres Strait Islander populations are underrepresented in </w:t>
      </w:r>
      <w:r w:rsidR="00125C17">
        <w:t>the data</w:t>
      </w:r>
      <w:r>
        <w:t>.</w:t>
      </w:r>
    </w:p>
    <w:p w14:paraId="16A3177C" w14:textId="63FBCB77" w:rsidR="00A715E6" w:rsidRDefault="0019761A" w:rsidP="000E02DC">
      <w:pPr>
        <w:pStyle w:val="Caption"/>
      </w:pPr>
      <w:r>
        <w:t xml:space="preserve">Figure 2: Age standardised </w:t>
      </w:r>
      <w:r w:rsidR="005951A5">
        <w:t>proportion</w:t>
      </w:r>
      <w:r>
        <w:t xml:space="preserve"> of survey participants reporting new fever and cough symptoms compared with the five-year average* by year and week of </w:t>
      </w:r>
      <w:r w:rsidR="003B1A79">
        <w:t>survey</w:t>
      </w:r>
      <w:r>
        <w:t xml:space="preserve">, Australia, </w:t>
      </w:r>
      <w:r w:rsidR="009D47B5">
        <w:t xml:space="preserve">January </w:t>
      </w:r>
      <w:r>
        <w:t>2022 to December 2024</w:t>
      </w:r>
    </w:p>
    <w:p w14:paraId="16A3177D" w14:textId="0B348CF5" w:rsidR="00A715E6" w:rsidRDefault="00763A7D">
      <w:pPr>
        <w:pStyle w:val="BodyText"/>
      </w:pPr>
      <w:r>
        <w:rPr>
          <w:noProof/>
        </w:rPr>
        <w:drawing>
          <wp:inline distT="0" distB="0" distL="0" distR="0" wp14:anchorId="645CF4B8" wp14:editId="057C1B48">
            <wp:extent cx="6184900" cy="2650671"/>
            <wp:effectExtent l="0" t="0" r="0" b="0"/>
            <wp:docPr id="21" name="Picture"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wp:cNvGraphicFramePr/>
            <a:graphic xmlns:a="http://schemas.openxmlformats.org/drawingml/2006/main">
              <a:graphicData uri="http://schemas.openxmlformats.org/drawingml/2006/picture">
                <pic:pic xmlns:pic="http://schemas.openxmlformats.org/drawingml/2006/picture">
                  <pic:nvPicPr>
                    <pic:cNvPr id="21" name="Picture"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pic:cNvPicPr>
                      <a:picLocks noChangeAspect="1" noChangeArrowheads="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77E" w14:textId="1053ECB7" w:rsidR="00A715E6" w:rsidRDefault="0019761A" w:rsidP="000E02DC">
      <w:pPr>
        <w:pStyle w:val="Smalltext"/>
      </w:pPr>
      <w:r>
        <w:t xml:space="preserve">Source: </w:t>
      </w:r>
      <w:proofErr w:type="spellStart"/>
      <w:r>
        <w:t>FluTracking</w:t>
      </w:r>
      <w:proofErr w:type="spellEnd"/>
      <w:r w:rsidR="00961E88" w:rsidRPr="00C23A60">
        <w:rPr>
          <w:szCs w:val="18"/>
        </w:rPr>
        <w:t xml:space="preserve">, extracted </w:t>
      </w:r>
      <w:r w:rsidR="001021E1">
        <w:rPr>
          <w:szCs w:val="18"/>
        </w:rPr>
        <w:t>19 March</w:t>
      </w:r>
      <w:r w:rsidR="00961E88" w:rsidRPr="00C23A60">
        <w:rPr>
          <w:szCs w:val="18"/>
        </w:rPr>
        <w:t xml:space="preserve"> 2025</w:t>
      </w:r>
      <w:r w:rsidR="0020394F">
        <w:rPr>
          <w:szCs w:val="18"/>
        </w:rPr>
        <w:t>.</w:t>
      </w:r>
      <w:r w:rsidR="00342302">
        <w:t xml:space="preserve"> </w:t>
      </w:r>
      <w:r>
        <w:br/>
        <w:t xml:space="preserve">* </w:t>
      </w:r>
      <w:r w:rsidR="00100DFF" w:rsidRPr="00100DFF">
        <w:t xml:space="preserve">In years prior to </w:t>
      </w:r>
      <w:r>
        <w:t xml:space="preserve">2020, </w:t>
      </w:r>
      <w:proofErr w:type="spellStart"/>
      <w:r>
        <w:t>FluTracking</w:t>
      </w:r>
      <w:proofErr w:type="spellEnd"/>
      <w:r>
        <w:t xml:space="preserve"> </w:t>
      </w:r>
      <w:r w:rsidR="00100DFF" w:rsidRPr="00100DFF">
        <w:t>was activated during the main influenza season from</w:t>
      </w:r>
      <w:r>
        <w:t xml:space="preserve"> May </w:t>
      </w:r>
      <w:r w:rsidR="00100DFF" w:rsidRPr="00100DFF">
        <w:t xml:space="preserve">to </w:t>
      </w:r>
      <w:r>
        <w:t>October</w:t>
      </w:r>
      <w:r w:rsidR="00100DFF" w:rsidRPr="00100DFF">
        <w:t>. A historical average</w:t>
      </w:r>
      <w:r w:rsidR="00100DFF">
        <w:t xml:space="preserve"> </w:t>
      </w:r>
      <w:r w:rsidR="00C8777A">
        <w:t xml:space="preserve">outside of these months is not available. In addition, </w:t>
      </w:r>
      <w:r w:rsidR="00D1617B">
        <w:t xml:space="preserve">as </w:t>
      </w:r>
      <w:r w:rsidR="00C8777A">
        <w:t>t</w:t>
      </w:r>
      <w:r>
        <w:t xml:space="preserve">he years 2020 and 2021 are excluded when comparing the current season to historical periods the five-year average includes the years 2017 to 2019 and 2022 to 2023. </w:t>
      </w:r>
    </w:p>
    <w:p w14:paraId="62975EE7" w14:textId="67C82E57" w:rsidR="006D0658" w:rsidRDefault="006D0658" w:rsidP="00DE7013">
      <w:r w:rsidRPr="00203C5E">
        <w:lastRenderedPageBreak/>
        <w:t xml:space="preserve">In 2024, </w:t>
      </w:r>
      <w:r w:rsidR="008E33C8">
        <w:t>rapid antigen testing for SARS-CoV-2 declined among participants with new fever and cough symptoms (</w:t>
      </w:r>
      <w:r w:rsidR="008E33C8" w:rsidRPr="00203C5E">
        <w:t>68.</w:t>
      </w:r>
      <w:r w:rsidR="0066502A" w:rsidRPr="0066502A">
        <w:t>5</w:t>
      </w:r>
      <w:r w:rsidR="008E33C8" w:rsidRPr="00203C5E">
        <w:t xml:space="preserve">% </w:t>
      </w:r>
      <w:r w:rsidR="00993871">
        <w:t>[</w:t>
      </w:r>
      <w:r w:rsidR="008E33C8" w:rsidRPr="00203C5E">
        <w:t>19,</w:t>
      </w:r>
      <w:r w:rsidR="0066502A" w:rsidRPr="0066502A">
        <w:t>932/29,081</w:t>
      </w:r>
      <w:r w:rsidR="00993871">
        <w:t>]</w:t>
      </w:r>
      <w:r w:rsidR="00F55AED">
        <w:t xml:space="preserve"> in 2024 and </w:t>
      </w:r>
      <w:r w:rsidR="00490151">
        <w:t>77.1</w:t>
      </w:r>
      <w:r w:rsidR="00F55AED">
        <w:t xml:space="preserve">% </w:t>
      </w:r>
      <w:r w:rsidR="00993871">
        <w:t>[</w:t>
      </w:r>
      <w:r w:rsidR="00AF4460" w:rsidRPr="00AF4460">
        <w:t>20,581</w:t>
      </w:r>
      <w:r w:rsidR="00DC2DB6">
        <w:t>/</w:t>
      </w:r>
      <w:r w:rsidR="00DE7013">
        <w:t>26,689</w:t>
      </w:r>
      <w:r w:rsidR="00993871">
        <w:t>]</w:t>
      </w:r>
      <w:r w:rsidR="00DC2DB6">
        <w:t xml:space="preserve"> in 2023</w:t>
      </w:r>
      <w:r w:rsidR="00E077F2">
        <w:t xml:space="preserve">); however, </w:t>
      </w:r>
      <w:r w:rsidR="008E33C8">
        <w:t xml:space="preserve">remained considerably </w:t>
      </w:r>
      <w:r w:rsidRPr="00203C5E">
        <w:t>more</w:t>
      </w:r>
      <w:r w:rsidR="008E33C8">
        <w:t xml:space="preserve"> common than</w:t>
      </w:r>
      <w:r w:rsidR="009F5AB0">
        <w:t xml:space="preserve"> use of</w:t>
      </w:r>
      <w:r w:rsidRPr="00203C5E">
        <w:t xml:space="preserve"> </w:t>
      </w:r>
      <w:r w:rsidR="00CB6469">
        <w:t xml:space="preserve">a </w:t>
      </w:r>
      <w:r w:rsidR="008E33C8" w:rsidRPr="00203C5E">
        <w:t xml:space="preserve">PCR test </w:t>
      </w:r>
      <w:r w:rsidR="009F5AB0">
        <w:t>(</w:t>
      </w:r>
      <w:r w:rsidR="0076712A" w:rsidRPr="0076712A">
        <w:t>13.9</w:t>
      </w:r>
      <w:r w:rsidR="009F5AB0" w:rsidRPr="00203C5E">
        <w:t>%; 4,</w:t>
      </w:r>
      <w:r w:rsidR="0076712A" w:rsidRPr="0076712A">
        <w:t>055/29,081</w:t>
      </w:r>
      <w:r w:rsidR="00DC2DB6">
        <w:t xml:space="preserve"> in 2024</w:t>
      </w:r>
      <w:r w:rsidR="00490151">
        <w:t xml:space="preserve"> and </w:t>
      </w:r>
      <w:r w:rsidR="009C38EB">
        <w:t>11</w:t>
      </w:r>
      <w:r w:rsidR="00490151">
        <w:t>.</w:t>
      </w:r>
      <w:r w:rsidR="009C38EB">
        <w:t>7</w:t>
      </w:r>
      <w:r w:rsidR="00490151">
        <w:t xml:space="preserve">%; </w:t>
      </w:r>
      <w:r w:rsidR="00490151" w:rsidRPr="00490151">
        <w:t>3,128</w:t>
      </w:r>
      <w:r w:rsidR="00490151">
        <w:t>/26,689 in 2023</w:t>
      </w:r>
      <w:r w:rsidR="009F5AB0">
        <w:t xml:space="preserve">). </w:t>
      </w:r>
      <w:r>
        <w:t>Self-reported SARS-CoV-2 RAT positivity was higher in 2024 (</w:t>
      </w:r>
      <w:r w:rsidR="0032015C" w:rsidRPr="0032015C">
        <w:t>37.6</w:t>
      </w:r>
      <w:r>
        <w:t>%; 7,</w:t>
      </w:r>
      <w:r w:rsidR="0032015C" w:rsidRPr="0032015C">
        <w:t>487</w:t>
      </w:r>
      <w:r>
        <w:t>/19,</w:t>
      </w:r>
      <w:r w:rsidR="0032015C" w:rsidRPr="0032015C">
        <w:t>932</w:t>
      </w:r>
      <w:r>
        <w:t>) than in 2023 (</w:t>
      </w:r>
      <w:r w:rsidR="003053CB" w:rsidRPr="003053CB">
        <w:t>35.9%; 7,396</w:t>
      </w:r>
      <w:r>
        <w:t>/20,</w:t>
      </w:r>
      <w:r w:rsidR="003053CB" w:rsidRPr="003053CB">
        <w:t>581</w:t>
      </w:r>
      <w:r>
        <w:t xml:space="preserve">), whereas self-reported SARS-CoV-2 PCR positivity was lower in 2024 (16.4%; </w:t>
      </w:r>
      <w:r w:rsidR="00F02815" w:rsidRPr="00F02815">
        <w:t>667</w:t>
      </w:r>
      <w:r>
        <w:t>/4,</w:t>
      </w:r>
      <w:r w:rsidR="00F02815" w:rsidRPr="00F02815">
        <w:t>055</w:t>
      </w:r>
      <w:r>
        <w:t>) than in 2023 (</w:t>
      </w:r>
      <w:r w:rsidR="00BD19BA" w:rsidRPr="00BD19BA">
        <w:t>21.</w:t>
      </w:r>
      <w:r>
        <w:t>3</w:t>
      </w:r>
      <w:r w:rsidR="00BD19BA" w:rsidRPr="00BD19BA">
        <w:t>%; 667/3,128</w:t>
      </w:r>
      <w:r>
        <w:t>).</w:t>
      </w:r>
    </w:p>
    <w:p w14:paraId="57C30E6D" w14:textId="522B2E7B" w:rsidR="006D0658" w:rsidRDefault="006D0658" w:rsidP="001D6C01">
      <w:r>
        <w:t>In 2024, 18.</w:t>
      </w:r>
      <w:r w:rsidR="00AF24FC" w:rsidRPr="00AF24FC">
        <w:t>4% (</w:t>
      </w:r>
      <w:r>
        <w:t>5</w:t>
      </w:r>
      <w:r w:rsidR="00AF24FC" w:rsidRPr="00AF24FC">
        <w:t>,365/29,081</w:t>
      </w:r>
      <w:r>
        <w:t>) of survey participants with new fever and cough symptoms used a PCR test to test for influenza</w:t>
      </w:r>
      <w:r w:rsidR="00D0273D">
        <w:t xml:space="preserve"> and s</w:t>
      </w:r>
      <w:r>
        <w:t>elf-reported influenza PCR positivity w</w:t>
      </w:r>
      <w:r w:rsidRPr="00984F2E">
        <w:t xml:space="preserve">as </w:t>
      </w:r>
      <w:r w:rsidR="00024B22">
        <w:t>23.</w:t>
      </w:r>
      <w:r w:rsidR="00572CA6">
        <w:t>4</w:t>
      </w:r>
      <w:r w:rsidR="00024B22">
        <w:t>% (</w:t>
      </w:r>
      <w:r w:rsidR="00024B22" w:rsidRPr="00984F2E">
        <w:t>1,</w:t>
      </w:r>
      <w:r w:rsidR="00572CA6" w:rsidRPr="00572CA6">
        <w:t>257</w:t>
      </w:r>
      <w:r w:rsidR="00024B22" w:rsidRPr="00984F2E">
        <w:t>/5,</w:t>
      </w:r>
      <w:r w:rsidR="00572CA6" w:rsidRPr="00572CA6">
        <w:t>365</w:t>
      </w:r>
      <w:r w:rsidR="00024B22">
        <w:t>)</w:t>
      </w:r>
      <w:r w:rsidRPr="00984F2E">
        <w:t>.</w:t>
      </w:r>
      <w:r w:rsidR="00C25640">
        <w:t xml:space="preserve"> </w:t>
      </w:r>
      <w:r w:rsidR="00253E7D" w:rsidRPr="00253E7D">
        <w:t xml:space="preserve">The 2024 weekly influenza PCR testing and positivity percentages may be overestimated, as some participants may have reported results from RATs in this data. In 2025, </w:t>
      </w:r>
      <w:proofErr w:type="spellStart"/>
      <w:r w:rsidR="00253E7D" w:rsidRPr="00253E7D">
        <w:t>FluTracking</w:t>
      </w:r>
      <w:proofErr w:type="spellEnd"/>
      <w:r w:rsidR="00253E7D" w:rsidRPr="00253E7D">
        <w:t xml:space="preserve"> will explicitly collect data on influenza RATs</w:t>
      </w:r>
      <w:r w:rsidR="00253E7D">
        <w:t>.</w:t>
      </w:r>
    </w:p>
    <w:p w14:paraId="6051FCB4" w14:textId="5C2D04DB" w:rsidR="006D599B" w:rsidRPr="000E02DC" w:rsidRDefault="00235FFF" w:rsidP="000E02DC">
      <w:r>
        <w:t>In 2024,</w:t>
      </w:r>
      <w:r w:rsidR="00392A4A">
        <w:t xml:space="preserve"> the </w:t>
      </w:r>
      <w:r w:rsidR="007C1DD5">
        <w:t xml:space="preserve">proportion of </w:t>
      </w:r>
      <w:r w:rsidR="007C1DD5" w:rsidRPr="007C1DD5">
        <w:t>participants with new fever and cough taking three or more days off work or normal duties</w:t>
      </w:r>
      <w:r w:rsidR="007C1DD5">
        <w:t xml:space="preserve"> ranged from 44.2%–</w:t>
      </w:r>
      <w:r w:rsidR="002E057F">
        <w:t>57.9%</w:t>
      </w:r>
      <w:r w:rsidR="0009076B">
        <w:t xml:space="preserve"> </w:t>
      </w:r>
      <w:r w:rsidR="005274A5">
        <w:t>per week</w:t>
      </w:r>
      <w:r w:rsidR="0009076B">
        <w:t xml:space="preserve"> (Figure 3)</w:t>
      </w:r>
      <w:r w:rsidR="002E057F">
        <w:t>.</w:t>
      </w:r>
      <w:r>
        <w:t xml:space="preserve"> </w:t>
      </w:r>
      <w:r w:rsidR="00351B19" w:rsidRPr="00351B19">
        <w:t>The proportion of participants with new fever and cough taking three or more days of</w:t>
      </w:r>
      <w:r w:rsidR="00967A40">
        <w:t>f</w:t>
      </w:r>
      <w:r w:rsidR="00351B19" w:rsidRPr="00351B19">
        <w:t xml:space="preserve"> work</w:t>
      </w:r>
      <w:r w:rsidR="00967A40">
        <w:t xml:space="preserve"> or normal duties</w:t>
      </w:r>
      <w:r w:rsidR="00351B19" w:rsidRPr="00351B19">
        <w:t xml:space="preserve"> has remained at approximately 50% since 2022</w:t>
      </w:r>
      <w:r w:rsidR="00351B19">
        <w:t xml:space="preserve"> </w:t>
      </w:r>
      <w:r w:rsidR="00824C58">
        <w:t>(</w:t>
      </w:r>
      <w:r>
        <w:t>Figure</w:t>
      </w:r>
      <w:r w:rsidR="00324AAD">
        <w:t xml:space="preserve"> </w:t>
      </w:r>
      <w:r w:rsidR="00824C58">
        <w:t>3)</w:t>
      </w:r>
      <w:r w:rsidR="00967A40">
        <w:t xml:space="preserve">. In contrast, </w:t>
      </w:r>
      <w:r w:rsidR="004A56B9" w:rsidRPr="003A1E2A">
        <w:t xml:space="preserve">the proportion of participants seeking medical advice for fever and cough </w:t>
      </w:r>
      <w:proofErr w:type="gramStart"/>
      <w:r w:rsidR="004A56B9" w:rsidRPr="003A1E2A">
        <w:t>d</w:t>
      </w:r>
      <w:r w:rsidR="00B7005F" w:rsidRPr="00712B15">
        <w:t xml:space="preserve">ecreased </w:t>
      </w:r>
      <w:r w:rsidR="004A56B9" w:rsidRPr="003A1E2A">
        <w:t xml:space="preserve"> from</w:t>
      </w:r>
      <w:proofErr w:type="gramEnd"/>
      <w:r w:rsidR="004A56B9" w:rsidRPr="003A1E2A">
        <w:t xml:space="preserve"> 5</w:t>
      </w:r>
      <w:r w:rsidR="00AA4D23" w:rsidRPr="00712B15">
        <w:t>9</w:t>
      </w:r>
      <w:r w:rsidR="00ED7413">
        <w:t>.0</w:t>
      </w:r>
      <w:r w:rsidR="004A56B9" w:rsidRPr="003A1E2A">
        <w:t>% in January 2022 to less than 30% in January 2023</w:t>
      </w:r>
      <w:r w:rsidR="003C489D">
        <w:t xml:space="preserve">. </w:t>
      </w:r>
      <w:r w:rsidR="006B48CB">
        <w:t>T</w:t>
      </w:r>
      <w:r w:rsidR="006B48CB" w:rsidRPr="003A1E2A">
        <w:t>he proportion of participants seeking medical advice for fever and cough</w:t>
      </w:r>
      <w:r w:rsidR="004A56B9" w:rsidRPr="003A1E2A">
        <w:t xml:space="preserve"> </w:t>
      </w:r>
      <w:r w:rsidR="004A56B9" w:rsidRPr="00712B15">
        <w:t xml:space="preserve">remained </w:t>
      </w:r>
      <w:r w:rsidR="00116422" w:rsidRPr="00712B15">
        <w:t>less than</w:t>
      </w:r>
      <w:r w:rsidR="004A56B9" w:rsidRPr="00712B15">
        <w:t xml:space="preserve"> 3</w:t>
      </w:r>
      <w:r w:rsidR="006264D2" w:rsidRPr="00712B15">
        <w:t>5</w:t>
      </w:r>
      <w:r w:rsidR="004A56B9" w:rsidRPr="00712B15">
        <w:t>%</w:t>
      </w:r>
      <w:r w:rsidR="006264D2" w:rsidRPr="00712B15">
        <w:t xml:space="preserve"> </w:t>
      </w:r>
      <w:r w:rsidR="00116422" w:rsidRPr="00712B15">
        <w:t xml:space="preserve">per week </w:t>
      </w:r>
      <w:r w:rsidR="00256E5F" w:rsidRPr="00712B15">
        <w:t xml:space="preserve">for most of 2024 until increasing to </w:t>
      </w:r>
      <w:r w:rsidR="00712B15" w:rsidRPr="00712B15">
        <w:t xml:space="preserve">47.7% per week in early December </w:t>
      </w:r>
      <w:r w:rsidR="00F55AA8" w:rsidRPr="00712B15">
        <w:t>(</w:t>
      </w:r>
      <w:r w:rsidR="004A5F5E" w:rsidRPr="00712B15">
        <w:t xml:space="preserve">Figure </w:t>
      </w:r>
      <w:r w:rsidR="001C4222" w:rsidRPr="00712B15">
        <w:t>3</w:t>
      </w:r>
      <w:r w:rsidR="00F55AA8" w:rsidRPr="00712B15">
        <w:t>)</w:t>
      </w:r>
      <w:r w:rsidR="0019761A" w:rsidRPr="00712B15">
        <w:t>.</w:t>
      </w:r>
    </w:p>
    <w:p w14:paraId="311F7282" w14:textId="3F43C093" w:rsidR="003D6F9F" w:rsidRDefault="003D6F9F" w:rsidP="000E02DC">
      <w:pPr>
        <w:pStyle w:val="Caption"/>
      </w:pPr>
      <w:r>
        <w:t xml:space="preserve">Figure 3: </w:t>
      </w:r>
      <w:r w:rsidR="009F3EDC" w:rsidRPr="009F3EDC">
        <w:t xml:space="preserve">Proportion of survey participants reporting new fever and cough symptoms plus three or more days off </w:t>
      </w:r>
      <w:r w:rsidR="009F3EDC">
        <w:t xml:space="preserve">work or </w:t>
      </w:r>
      <w:r w:rsidR="009F3EDC" w:rsidRPr="009F3EDC">
        <w:t xml:space="preserve">normal duties or seeking medical </w:t>
      </w:r>
      <w:r w:rsidR="000F1279">
        <w:t>advice</w:t>
      </w:r>
      <w:r w:rsidR="00EA1378">
        <w:t>/care</w:t>
      </w:r>
      <w:r w:rsidR="00482967">
        <w:t xml:space="preserve"> for fever and cough symptoms</w:t>
      </w:r>
      <w:r w:rsidR="00FA6B1E">
        <w:t>*</w:t>
      </w:r>
      <w:r w:rsidR="0079775F" w:rsidRPr="0079775F">
        <w:rPr>
          <w:vertAlign w:val="superscript"/>
        </w:rPr>
        <w:t>†</w:t>
      </w:r>
      <w:r w:rsidR="00C72431">
        <w:rPr>
          <w:vertAlign w:val="superscript"/>
        </w:rPr>
        <w:t xml:space="preserve"> </w:t>
      </w:r>
      <w:r w:rsidR="00C72431">
        <w:t>by year and week of survey</w:t>
      </w:r>
      <w:r>
        <w:t xml:space="preserve">, Australia, </w:t>
      </w:r>
      <w:r w:rsidR="00440CA4">
        <w:t xml:space="preserve">January </w:t>
      </w:r>
      <w:r>
        <w:t>2022 to December 2024</w:t>
      </w:r>
    </w:p>
    <w:p w14:paraId="0FEF2ECA" w14:textId="5139604D" w:rsidR="003D6F9F" w:rsidRPr="00831561" w:rsidRDefault="00887A2C" w:rsidP="006D599B">
      <w:pPr>
        <w:rPr>
          <w:sz w:val="14"/>
          <w:szCs w:val="18"/>
        </w:rPr>
      </w:pPr>
      <w:r>
        <w:rPr>
          <w:noProof/>
        </w:rPr>
        <w:drawing>
          <wp:inline distT="0" distB="0" distL="0" distR="0" wp14:anchorId="20949B06" wp14:editId="6594027C">
            <wp:extent cx="6184900" cy="2650671"/>
            <wp:effectExtent l="0" t="0" r="0" b="0"/>
            <wp:docPr id="1902091227" name="Picture"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wp:cNvGraphicFramePr/>
            <a:graphic xmlns:a="http://schemas.openxmlformats.org/drawingml/2006/main">
              <a:graphicData uri="http://schemas.openxmlformats.org/drawingml/2006/picture">
                <pic:pic xmlns:pic="http://schemas.openxmlformats.org/drawingml/2006/picture">
                  <pic:nvPicPr>
                    <pic:cNvPr id="1902091227" name="Picture"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561FC7" w:rsidRPr="00831561">
        <w:rPr>
          <w:sz w:val="14"/>
          <w:szCs w:val="18"/>
        </w:rPr>
        <w:t xml:space="preserve">Source: </w:t>
      </w:r>
      <w:proofErr w:type="spellStart"/>
      <w:r w:rsidR="00561FC7" w:rsidRPr="00831561">
        <w:rPr>
          <w:sz w:val="14"/>
          <w:szCs w:val="18"/>
        </w:rPr>
        <w:t>FluTracking</w:t>
      </w:r>
      <w:proofErr w:type="spellEnd"/>
      <w:r w:rsidR="00561FC7" w:rsidRPr="00831561">
        <w:rPr>
          <w:sz w:val="14"/>
          <w:szCs w:val="12"/>
        </w:rPr>
        <w:t xml:space="preserve">, extracted </w:t>
      </w:r>
      <w:r w:rsidR="001021E1" w:rsidRPr="00831561">
        <w:rPr>
          <w:sz w:val="14"/>
          <w:szCs w:val="12"/>
        </w:rPr>
        <w:t>19 March</w:t>
      </w:r>
      <w:r w:rsidR="00561FC7" w:rsidRPr="00831561">
        <w:rPr>
          <w:sz w:val="14"/>
          <w:szCs w:val="12"/>
        </w:rPr>
        <w:t xml:space="preserve"> 2025</w:t>
      </w:r>
      <w:r w:rsidR="00CE256D">
        <w:rPr>
          <w:sz w:val="14"/>
          <w:szCs w:val="12"/>
        </w:rPr>
        <w:t>.</w:t>
      </w:r>
      <w:r w:rsidR="00561FC7" w:rsidRPr="00831561">
        <w:rPr>
          <w:sz w:val="14"/>
          <w:szCs w:val="18"/>
        </w:rPr>
        <w:t xml:space="preserve"> </w:t>
      </w:r>
      <w:r w:rsidR="00561FC7" w:rsidRPr="00831561">
        <w:rPr>
          <w:sz w:val="14"/>
          <w:szCs w:val="18"/>
        </w:rPr>
        <w:br/>
      </w:r>
      <w:r w:rsidR="000F1279" w:rsidRPr="00831561">
        <w:rPr>
          <w:sz w:val="14"/>
          <w:szCs w:val="18"/>
        </w:rPr>
        <w:t xml:space="preserve">* Includes those who sought medical advice from a general practitioner, Aboriginal and Torres Strait Islander Health Clinic, </w:t>
      </w:r>
      <w:r w:rsidR="008E179B" w:rsidRPr="00831561">
        <w:rPr>
          <w:sz w:val="14"/>
          <w:szCs w:val="18"/>
        </w:rPr>
        <w:t>COVID-19 Test Centre/Drive-through</w:t>
      </w:r>
      <w:r w:rsidR="000F1279" w:rsidRPr="00831561">
        <w:rPr>
          <w:sz w:val="14"/>
          <w:szCs w:val="18"/>
        </w:rPr>
        <w:t>, emergency department, or who were admitted to hospital.</w:t>
      </w:r>
      <w:r w:rsidR="0079775F" w:rsidRPr="00831561">
        <w:rPr>
          <w:sz w:val="14"/>
          <w:szCs w:val="18"/>
        </w:rPr>
        <w:br/>
        <w:t>†</w:t>
      </w:r>
      <w:r w:rsidR="00D1154F" w:rsidRPr="00831561">
        <w:rPr>
          <w:sz w:val="14"/>
          <w:szCs w:val="18"/>
        </w:rPr>
        <w:t xml:space="preserve"> </w:t>
      </w:r>
      <w:r w:rsidR="008E179B" w:rsidRPr="00831561">
        <w:rPr>
          <w:sz w:val="14"/>
          <w:szCs w:val="18"/>
        </w:rPr>
        <w:t>COVID-19 Test Centre/Drive-through</w:t>
      </w:r>
      <w:r w:rsidR="00D1154F" w:rsidRPr="00831561">
        <w:rPr>
          <w:sz w:val="14"/>
          <w:szCs w:val="18"/>
        </w:rPr>
        <w:t xml:space="preserve"> option was removed </w:t>
      </w:r>
      <w:r w:rsidR="00976775" w:rsidRPr="00831561">
        <w:rPr>
          <w:sz w:val="14"/>
          <w:szCs w:val="18"/>
        </w:rPr>
        <w:t>from survey questions on 6 June 2024</w:t>
      </w:r>
      <w:r w:rsidR="00DD0548" w:rsidRPr="00831561">
        <w:rPr>
          <w:sz w:val="14"/>
          <w:szCs w:val="18"/>
        </w:rPr>
        <w:t xml:space="preserve">, as this is approximately consistent with when COVID-19 Test Centre/Drive-through centres ceased to operate in Australia. </w:t>
      </w:r>
    </w:p>
    <w:p w14:paraId="56662E1E" w14:textId="77777777" w:rsidR="006D0658" w:rsidRDefault="006D0658">
      <w:pPr>
        <w:spacing w:before="0" w:after="0" w:line="240" w:lineRule="auto"/>
      </w:pPr>
      <w:r>
        <w:br w:type="page"/>
      </w:r>
    </w:p>
    <w:p w14:paraId="2E0F0D6E" w14:textId="719C4798" w:rsidR="009E2AAB" w:rsidRPr="000E02DC" w:rsidRDefault="0019761A" w:rsidP="000E02DC">
      <w:r>
        <w:lastRenderedPageBreak/>
        <w:t>In 2024</w:t>
      </w:r>
      <w:r w:rsidR="00254895">
        <w:t>,</w:t>
      </w:r>
      <w:r>
        <w:t xml:space="preserve"> there was a</w:t>
      </w:r>
      <w:r w:rsidR="00E5188F">
        <w:t>n overall</w:t>
      </w:r>
      <w:r>
        <w:t xml:space="preserve"> 11.5% decrease in COVID-19 </w:t>
      </w:r>
      <w:r w:rsidR="008774B2">
        <w:t xml:space="preserve">cases </w:t>
      </w:r>
      <w:r w:rsidR="00925F2F">
        <w:t xml:space="preserve">notified </w:t>
      </w:r>
      <w:r w:rsidR="00852EA4">
        <w:t>to the NNDSS</w:t>
      </w:r>
      <w:r>
        <w:t xml:space="preserve">, a 26.4% increase in influenza </w:t>
      </w:r>
      <w:r w:rsidR="008774B2">
        <w:t>cases</w:t>
      </w:r>
      <w:r>
        <w:t xml:space="preserve">, and a 37.3% increase in RSV </w:t>
      </w:r>
      <w:r w:rsidR="008774B2">
        <w:t xml:space="preserve">cases </w:t>
      </w:r>
      <w:r w:rsidR="00254895">
        <w:t xml:space="preserve">compared with the respective number of </w:t>
      </w:r>
      <w:r w:rsidR="008774B2">
        <w:t xml:space="preserve">notified cases </w:t>
      </w:r>
      <w:r w:rsidR="00254895">
        <w:t>for each condition in 2023</w:t>
      </w:r>
      <w:r w:rsidR="00DB1E70">
        <w:t xml:space="preserve"> </w:t>
      </w:r>
      <w:r w:rsidR="00DB1E70" w:rsidRPr="001513EF">
        <w:t xml:space="preserve">(Table </w:t>
      </w:r>
      <w:r w:rsidR="00DB1E70" w:rsidRPr="00306886">
        <w:t xml:space="preserve">2; Table </w:t>
      </w:r>
      <w:r w:rsidR="001513EF" w:rsidRPr="00306886">
        <w:t>S1</w:t>
      </w:r>
      <w:r w:rsidR="00DC596B">
        <w:t>; Table S2</w:t>
      </w:r>
      <w:r w:rsidR="00DB1E70" w:rsidRPr="00306886">
        <w:t>)</w:t>
      </w:r>
      <w:r w:rsidRPr="00306886">
        <w:t>.</w:t>
      </w:r>
    </w:p>
    <w:p w14:paraId="16A31781" w14:textId="00F10BA3" w:rsidR="00A715E6" w:rsidRDefault="0019761A" w:rsidP="000E02DC">
      <w:pPr>
        <w:pStyle w:val="Caption"/>
      </w:pPr>
      <w:r>
        <w:t>Table 2: Notified cases and notification rate per 100,000 population by disease, five-year age group, and jurisdiction*, Australia, 1 January to 31 December 2024</w:t>
      </w:r>
    </w:p>
    <w:tbl>
      <w:tblPr>
        <w:tblW w:w="5000" w:type="pct"/>
        <w:jc w:val="center"/>
        <w:tblLook w:val="0420" w:firstRow="1" w:lastRow="0" w:firstColumn="0" w:lastColumn="0" w:noHBand="0" w:noVBand="1"/>
        <w:tblDescription w:val="A table summarising notified cases of COVID-19, influenza and RSV and notification rate per 100,000 population by five-year age group in years (0–4, 5–9, 10–14, 15–19, 20–24, 25–29, 30–34, 35–39, 40–44, 45–49, 50–54, 55–59, 60–64, 65–69, 70+), and by jurisdiction, for cases with a diagnosis date from 1 January to 31 December 2024. In 2024, there were 302,250 COVID-19 cases and the national notification rate for COVID-19 was 1,111 cases per 100,000 population. COVID-19 notification rates were highest among those aged 70 years or over (3,121 cases per 100,000 population), followed by those aged 0–4 years (1,619 cases per 100,000 population) and lowest in 5–9 years (452 cases per 100,000 population). COVID-19 notification rates were highest in New South Wales (1,520 cases per 100,000 population) and lowest in Western Australia (539 cases per 100,000 population). In 2024, there were 365,589 influenza cases and the national notification rate for influenza was 1,344 cases per 100,000 population. Influenza notification rates were highest among those aged 0–4 years (3,314 cases per 100,000 population) followed by those aged 5–9 years (3,240 cases per 100,000 population) and lowest among those aged 65–69 years (787 cases per 100,000 population). Influenza notification rates were highest in New South Wales (1,904 cases per 100,000 population) and lowest in Western Australia (577 cases per 100,000 population). In 2024, there were 175,918 RSV cases and the national notification rate for RSV was 647 cases per 100,000 population. RSV notification rates were highest among those aged 0–4 years (5,762 cases per 100,000 population), followed by those aged 5–9 years (891 cases per 100,000 population) and lowest among those aged 20–24 years (162 cases per 100,000 population). RSV notification rates were highest in New South Wales (869 cases per 100,000 population) and lowest in Western Australia (313 cases per 100,000 population)."/>
      </w:tblPr>
      <w:tblGrid>
        <w:gridCol w:w="728"/>
        <w:gridCol w:w="1429"/>
        <w:gridCol w:w="1579"/>
        <w:gridCol w:w="1429"/>
        <w:gridCol w:w="1579"/>
        <w:gridCol w:w="1429"/>
        <w:gridCol w:w="1579"/>
      </w:tblGrid>
      <w:tr w:rsidR="005C164C" w:rsidRPr="005C164C" w14:paraId="16A3178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7" w14:textId="77777777" w:rsidR="00A715E6" w:rsidRPr="005C164C"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8" w14:textId="10DAA741" w:rsidR="00A715E6" w:rsidRPr="005C164C" w:rsidRDefault="003217F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 xml:space="preserve">COVID-19 </w:t>
            </w:r>
            <w:r w:rsidR="001D1C34" w:rsidRPr="005C164C">
              <w:rPr>
                <w:rFonts w:eastAsia="Arial" w:cs="Arial"/>
                <w:b/>
                <w:color w:val="033636"/>
                <w:sz w:val="16"/>
                <w:szCs w:val="16"/>
              </w:rPr>
              <w:br/>
              <w:t xml:space="preserve">notified </w:t>
            </w:r>
            <w:r w:rsidRPr="005C164C">
              <w:rPr>
                <w:rFonts w:eastAsia="Arial" w:cs="Arial"/>
                <w:b/>
                <w:color w:val="033636"/>
                <w:sz w:val="16"/>
                <w:szCs w:val="16"/>
              </w:rPr>
              <w:t>c</w:t>
            </w:r>
            <w:r w:rsidR="001D1C34" w:rsidRPr="005C164C">
              <w:rPr>
                <w:rFonts w:eastAsia="Arial" w:cs="Arial"/>
                <w:b/>
                <w:color w:val="033636"/>
                <w:sz w:val="16"/>
                <w:szCs w:val="16"/>
              </w:rPr>
              <w:t>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9" w14:textId="5A5511F0" w:rsidR="00A715E6" w:rsidRPr="005C164C" w:rsidRDefault="001D1C3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COVID-19</w:t>
            </w:r>
            <w:r w:rsidRPr="005C164C">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A" w14:textId="1E4E5AEA" w:rsidR="00A715E6" w:rsidRPr="005C164C" w:rsidRDefault="001D1C3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Influenza</w:t>
            </w:r>
            <w:r w:rsidRPr="005C164C">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B" w14:textId="711ACC39"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Influenza</w:t>
            </w:r>
            <w:r w:rsidRPr="005C164C">
              <w:rPr>
                <w:rFonts w:eastAsia="Arial" w:cs="Arial"/>
                <w:b/>
                <w:color w:val="033636"/>
                <w:sz w:val="16"/>
                <w:szCs w:val="16"/>
              </w:rPr>
              <w:br/>
              <w:t>notification r</w:t>
            </w:r>
            <w:r w:rsidR="0019761A" w:rsidRPr="005C164C">
              <w:rPr>
                <w:rFonts w:eastAsia="Arial" w:cs="Arial"/>
                <w:b/>
                <w:color w:val="033636"/>
                <w:sz w:val="16"/>
                <w:szCs w:val="16"/>
              </w:rPr>
              <w:t>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C" w14:textId="65268E55"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RSV</w:t>
            </w:r>
            <w:r w:rsidRPr="005C164C">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D" w14:textId="1A7B1475" w:rsidR="00A715E6" w:rsidRPr="005C164C" w:rsidRDefault="005C164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RSV</w:t>
            </w:r>
            <w:r w:rsidRPr="005C164C">
              <w:rPr>
                <w:rFonts w:eastAsia="Arial" w:cs="Arial"/>
                <w:b/>
                <w:color w:val="033636"/>
                <w:sz w:val="16"/>
                <w:szCs w:val="16"/>
              </w:rPr>
              <w:br/>
              <w:t>notification r</w:t>
            </w:r>
            <w:r w:rsidR="0019761A" w:rsidRPr="005C164C">
              <w:rPr>
                <w:rFonts w:eastAsia="Arial" w:cs="Arial"/>
                <w:b/>
                <w:color w:val="033636"/>
                <w:sz w:val="16"/>
                <w:szCs w:val="16"/>
              </w:rPr>
              <w:t>ate</w:t>
            </w:r>
          </w:p>
        </w:tc>
      </w:tr>
      <w:tr w:rsidR="00A715E6" w:rsidRPr="005C164C" w14:paraId="16A31790"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78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Age group (years)</w:t>
            </w:r>
          </w:p>
        </w:tc>
      </w:tr>
      <w:tr w:rsidR="005C164C" w:rsidRPr="005C164C" w14:paraId="16A317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24,431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5,762</w:t>
            </w:r>
          </w:p>
        </w:tc>
      </w:tr>
      <w:tr w:rsidR="005C164C" w:rsidRPr="005C164C" w14:paraId="16A317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52,193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9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891</w:t>
            </w:r>
          </w:p>
        </w:tc>
      </w:tr>
      <w:tr w:rsidR="005C164C" w:rsidRPr="005C164C" w14:paraId="16A317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448</w:t>
            </w:r>
          </w:p>
        </w:tc>
      </w:tr>
      <w:tr w:rsidR="005C164C" w:rsidRPr="005C164C" w14:paraId="16A317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A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239</w:t>
            </w:r>
          </w:p>
        </w:tc>
      </w:tr>
      <w:tr w:rsidR="005C164C" w:rsidRPr="005C164C" w14:paraId="16A317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17,618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162</w:t>
            </w:r>
          </w:p>
        </w:tc>
      </w:tr>
      <w:tr w:rsidR="005C164C" w:rsidRPr="005C164C" w14:paraId="16A317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19,729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B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167</w:t>
            </w:r>
          </w:p>
        </w:tc>
      </w:tr>
      <w:tr w:rsidR="005C164C" w:rsidRPr="005C164C" w14:paraId="16A317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210</w:t>
            </w:r>
          </w:p>
        </w:tc>
      </w:tr>
      <w:tr w:rsidR="005C164C" w:rsidRPr="005C164C" w14:paraId="16A317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23,929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C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215</w:t>
            </w:r>
          </w:p>
        </w:tc>
      </w:tr>
      <w:tr w:rsidR="005C164C" w:rsidRPr="005C164C" w14:paraId="16A317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200</w:t>
            </w:r>
          </w:p>
        </w:tc>
      </w:tr>
      <w:tr w:rsidR="005C164C" w:rsidRPr="005C164C" w14:paraId="16A317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D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224</w:t>
            </w:r>
          </w:p>
        </w:tc>
      </w:tr>
      <w:tr w:rsidR="005C164C" w:rsidRPr="005C164C" w14:paraId="16A317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268</w:t>
            </w:r>
          </w:p>
        </w:tc>
      </w:tr>
      <w:tr w:rsidR="005C164C" w:rsidRPr="005C164C" w14:paraId="16A317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15,065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E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291</w:t>
            </w:r>
          </w:p>
        </w:tc>
      </w:tr>
      <w:tr w:rsidR="005C164C" w:rsidRPr="005C164C" w14:paraId="16A31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13,146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338</w:t>
            </w:r>
          </w:p>
        </w:tc>
      </w:tr>
      <w:tr w:rsidR="005C164C" w:rsidRPr="005C164C" w14:paraId="16A318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A"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7F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368</w:t>
            </w:r>
          </w:p>
        </w:tc>
      </w:tr>
      <w:tr w:rsidR="005C164C" w:rsidRPr="005C164C" w14:paraId="16A318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2"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104,280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32,347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21,803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653</w:t>
            </w:r>
          </w:p>
        </w:tc>
      </w:tr>
      <w:tr w:rsidR="00A715E6" w:rsidRPr="005C164C" w14:paraId="16A3180A"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0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 xml:space="preserve">Jurisdiction </w:t>
            </w:r>
          </w:p>
        </w:tc>
      </w:tr>
      <w:tr w:rsidR="005C164C" w:rsidRPr="005C164C" w14:paraId="16A318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0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2,742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578</w:t>
            </w:r>
          </w:p>
        </w:tc>
      </w:tr>
      <w:tr w:rsidR="005C164C" w:rsidRPr="005C164C" w14:paraId="16A318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128,933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161,534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1,904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73,693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869</w:t>
            </w:r>
          </w:p>
        </w:tc>
      </w:tr>
      <w:tr w:rsidR="005C164C" w:rsidRPr="005C164C" w14:paraId="16A318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1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676</w:t>
            </w:r>
          </w:p>
        </w:tc>
      </w:tr>
      <w:tr w:rsidR="005C164C" w:rsidRPr="005C164C" w14:paraId="16A318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71,245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79,798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42,668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764</w:t>
            </w:r>
          </w:p>
        </w:tc>
      </w:tr>
      <w:tr w:rsidR="005C164C" w:rsidRPr="005C164C" w14:paraId="16A31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18,920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2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12,130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646</w:t>
            </w:r>
          </w:p>
        </w:tc>
      </w:tr>
      <w:tr w:rsidR="005C164C" w:rsidRPr="005C164C" w14:paraId="16A318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3" w14:textId="423BC893"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Tas</w:t>
            </w:r>
            <w:r w:rsidR="003A44C2" w:rsidRPr="005C164C">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4,072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2,913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506</w:t>
            </w:r>
          </w:p>
        </w:tc>
      </w:tr>
      <w:tr w:rsidR="005C164C" w:rsidRPr="005C164C" w14:paraId="16A318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B" w14:textId="0A8A81AD"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Vic</w:t>
            </w:r>
            <w:r w:rsidR="003A44C2" w:rsidRPr="005C164C">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54,563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72,174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3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30,773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441</w:t>
            </w:r>
          </w:p>
        </w:tc>
      </w:tr>
      <w:tr w:rsidR="005C164C" w:rsidRPr="005C164C" w14:paraId="16A318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3"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5C164C">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4"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15,997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5"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6"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17,109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7"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8"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9,274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9"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5C164C">
              <w:rPr>
                <w:rFonts w:eastAsia="Arial" w:cs="Arial"/>
                <w:color w:val="033636"/>
                <w:sz w:val="16"/>
                <w:szCs w:val="16"/>
              </w:rPr>
              <w:t>313</w:t>
            </w:r>
          </w:p>
        </w:tc>
      </w:tr>
      <w:tr w:rsidR="005C164C" w:rsidRPr="005C164C" w14:paraId="16A318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B"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5C164C">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C"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302,250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D"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E"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365,589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4F"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50"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175,918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51" w14:textId="77777777" w:rsidR="00A715E6" w:rsidRPr="005C164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5C164C">
              <w:rPr>
                <w:rFonts w:eastAsia="Arial" w:cs="Arial"/>
                <w:b/>
                <w:color w:val="033636"/>
                <w:sz w:val="16"/>
                <w:szCs w:val="16"/>
              </w:rPr>
              <w:t>647</w:t>
            </w:r>
          </w:p>
        </w:tc>
      </w:tr>
    </w:tbl>
    <w:p w14:paraId="1EED4421" w14:textId="21304DA1" w:rsidR="00376DF1" w:rsidRDefault="0019761A" w:rsidP="000E02DC">
      <w:pPr>
        <w:pStyle w:val="Smalltext"/>
      </w:pPr>
      <w:r>
        <w:t xml:space="preserve">Source: </w:t>
      </w:r>
      <w:proofErr w:type="gramStart"/>
      <w:r>
        <w:t>National Notifiable Diseases Surveillance System (NNDSS)</w:t>
      </w:r>
      <w:r w:rsidR="00C23A60">
        <w:t>,</w:t>
      </w:r>
      <w:proofErr w:type="gramEnd"/>
      <w:r w:rsidR="00C23A60">
        <w:t xml:space="preserve"> extracted </w:t>
      </w:r>
      <w:r w:rsidR="00C23A60" w:rsidRPr="00C23A60">
        <w:t>5 March 2025</w:t>
      </w:r>
      <w:r w:rsidR="00CE256D">
        <w:t>.</w:t>
      </w:r>
      <w:r>
        <w:br/>
        <w:t>* Total includes cases with missing age.</w:t>
      </w:r>
    </w:p>
    <w:p w14:paraId="41D3F5C0" w14:textId="77777777" w:rsidR="00376DF1" w:rsidRDefault="00376DF1">
      <w:pPr>
        <w:spacing w:before="0" w:after="0" w:line="240" w:lineRule="auto"/>
        <w:rPr>
          <w:sz w:val="14"/>
        </w:rPr>
      </w:pPr>
      <w:r>
        <w:br w:type="page"/>
      </w:r>
    </w:p>
    <w:p w14:paraId="126BD0F4" w14:textId="140151B2" w:rsidR="00093A5C" w:rsidRPr="005D21C9" w:rsidRDefault="00093A5C" w:rsidP="00BE15E2">
      <w:r w:rsidRPr="005D21C9">
        <w:lastRenderedPageBreak/>
        <w:t xml:space="preserve">In 2024, there were 302,250 </w:t>
      </w:r>
      <w:r w:rsidR="00643560">
        <w:t xml:space="preserve">laboratory-confirmed </w:t>
      </w:r>
      <w:r w:rsidRPr="005D21C9">
        <w:t xml:space="preserve">COVID-19 </w:t>
      </w:r>
      <w:r w:rsidR="00EE0900">
        <w:t>cases</w:t>
      </w:r>
      <w:r w:rsidRPr="005D21C9">
        <w:t xml:space="preserve">, which is 11.5% less than the 341,646 </w:t>
      </w:r>
      <w:r w:rsidR="00643560">
        <w:t>laboratory-confirmed</w:t>
      </w:r>
      <w:r w:rsidR="00643560" w:rsidRPr="005D21C9">
        <w:t xml:space="preserve"> </w:t>
      </w:r>
      <w:r w:rsidRPr="005D21C9">
        <w:t xml:space="preserve">COVID-19 </w:t>
      </w:r>
      <w:r w:rsidR="00EE0900">
        <w:t>case</w:t>
      </w:r>
      <w:r w:rsidR="00EE0900" w:rsidRPr="005D21C9">
        <w:t xml:space="preserve">s </w:t>
      </w:r>
      <w:r w:rsidRPr="005D21C9">
        <w:t xml:space="preserve">in 2023, and 93.5% less than the 4,632,556 </w:t>
      </w:r>
      <w:r w:rsidR="00643560">
        <w:t>laboratory-confirmed</w:t>
      </w:r>
      <w:r w:rsidR="00643560" w:rsidRPr="005D21C9">
        <w:t xml:space="preserve"> </w:t>
      </w:r>
      <w:r w:rsidRPr="005D21C9">
        <w:t xml:space="preserve">COVID-19 </w:t>
      </w:r>
      <w:r w:rsidR="00EE0900">
        <w:t>cases</w:t>
      </w:r>
      <w:r w:rsidR="00EE0900" w:rsidRPr="005D21C9">
        <w:t xml:space="preserve"> </w:t>
      </w:r>
      <w:r w:rsidRPr="005D21C9">
        <w:t xml:space="preserve">in 2022 (Table 2; </w:t>
      </w:r>
      <w:r w:rsidR="009E0BB6" w:rsidRPr="00306886">
        <w:t>Table S1</w:t>
      </w:r>
      <w:r w:rsidR="009E0BB6">
        <w:t>; Table S2</w:t>
      </w:r>
      <w:r w:rsidRPr="005D21C9">
        <w:t xml:space="preserve">). </w:t>
      </w:r>
      <w:r w:rsidR="008F0FEF" w:rsidRPr="005D21C9">
        <w:t xml:space="preserve">Historical comparisons should be </w:t>
      </w:r>
      <w:r w:rsidR="002B7BDE" w:rsidRPr="005D21C9">
        <w:t xml:space="preserve">interpreted </w:t>
      </w:r>
      <w:r w:rsidR="008F0FEF" w:rsidRPr="005D21C9">
        <w:t xml:space="preserve">with caution due to </w:t>
      </w:r>
      <w:r w:rsidR="001B04DB" w:rsidRPr="005D21C9">
        <w:t>decreased</w:t>
      </w:r>
      <w:r w:rsidR="008F0FEF" w:rsidRPr="005D21C9">
        <w:t xml:space="preserve"> case ascertainment and considerable changes in surveillance practices in all jurisdictions across the pandemic.</w:t>
      </w:r>
    </w:p>
    <w:p w14:paraId="290EADF7" w14:textId="65A7387A" w:rsidR="00BE15E2" w:rsidRDefault="0051462E" w:rsidP="00BE15E2">
      <w:r w:rsidRPr="00E21C48">
        <w:t xml:space="preserve">In 2024, </w:t>
      </w:r>
      <w:r w:rsidR="00FB4829" w:rsidRPr="00E21C48">
        <w:t xml:space="preserve">there were two distinct </w:t>
      </w:r>
      <w:r w:rsidR="00E95B63" w:rsidRPr="00E21C48">
        <w:t xml:space="preserve">peaks of COVID-19 </w:t>
      </w:r>
      <w:r w:rsidR="00EE0900">
        <w:t>cases</w:t>
      </w:r>
      <w:r w:rsidR="00EE0900" w:rsidRPr="00E21C48">
        <w:t xml:space="preserve"> </w:t>
      </w:r>
      <w:r w:rsidR="00BD6945">
        <w:t>which occurred</w:t>
      </w:r>
      <w:r w:rsidR="00A06281" w:rsidRPr="00E21C48">
        <w:t xml:space="preserve"> in January and June</w:t>
      </w:r>
      <w:r w:rsidR="00E95B63" w:rsidRPr="00E21C48">
        <w:t>.</w:t>
      </w:r>
      <w:r w:rsidR="00DD6C2A" w:rsidRPr="00E21C48">
        <w:t xml:space="preserve"> Following a slight increase in the number of </w:t>
      </w:r>
      <w:r w:rsidR="00EE0900">
        <w:t>notified cases</w:t>
      </w:r>
      <w:r w:rsidR="00DD6C2A" w:rsidRPr="00E21C48">
        <w:t xml:space="preserve"> in late 2023</w:t>
      </w:r>
      <w:r w:rsidR="00865990">
        <w:t xml:space="preserve"> a peak </w:t>
      </w:r>
      <w:r w:rsidR="00865990" w:rsidRPr="00044B05">
        <w:t xml:space="preserve">of </w:t>
      </w:r>
      <w:r w:rsidR="00044B05" w:rsidRPr="00044B05">
        <w:t>10,435</w:t>
      </w:r>
      <w:r w:rsidR="003E567B" w:rsidRPr="00044B05">
        <w:t xml:space="preserve"> </w:t>
      </w:r>
      <w:r w:rsidR="00EE0900">
        <w:t>cases</w:t>
      </w:r>
      <w:r w:rsidR="00EE0900" w:rsidRPr="0002420A">
        <w:t xml:space="preserve"> </w:t>
      </w:r>
      <w:r w:rsidR="003E567B" w:rsidRPr="0002420A">
        <w:t xml:space="preserve">per week </w:t>
      </w:r>
      <w:r w:rsidR="00865990" w:rsidRPr="0002420A">
        <w:t xml:space="preserve">occurred </w:t>
      </w:r>
      <w:r w:rsidR="003E567B" w:rsidRPr="0002420A">
        <w:t>in early January</w:t>
      </w:r>
      <w:r w:rsidR="00F1391B">
        <w:t xml:space="preserve"> 2024</w:t>
      </w:r>
      <w:r w:rsidR="003E567B" w:rsidRPr="0002420A">
        <w:t>.</w:t>
      </w:r>
      <w:r w:rsidR="00DE5E0B" w:rsidRPr="0002420A">
        <w:t xml:space="preserve"> </w:t>
      </w:r>
      <w:r w:rsidR="008602FB">
        <w:t xml:space="preserve">COVID-19 </w:t>
      </w:r>
      <w:r w:rsidR="00EE0900">
        <w:t>cases</w:t>
      </w:r>
      <w:r w:rsidR="00DE5E0B" w:rsidRPr="0002420A">
        <w:t xml:space="preserve"> then decreased until </w:t>
      </w:r>
      <w:r w:rsidR="006B3F70" w:rsidRPr="0002420A">
        <w:t xml:space="preserve">late March, before increasing to a second peak of </w:t>
      </w:r>
      <w:r w:rsidR="00044B05" w:rsidRPr="00044B05">
        <w:t>11,079</w:t>
      </w:r>
      <w:r w:rsidR="006B3F70" w:rsidRPr="00044B05">
        <w:t xml:space="preserve"> </w:t>
      </w:r>
      <w:r w:rsidR="00EE0900">
        <w:t>cases</w:t>
      </w:r>
      <w:r w:rsidR="00EE0900" w:rsidRPr="0002420A">
        <w:t xml:space="preserve"> </w:t>
      </w:r>
      <w:r w:rsidR="006B3F70" w:rsidRPr="0002420A">
        <w:t>per week in early June</w:t>
      </w:r>
      <w:r w:rsidR="00DB0712" w:rsidRPr="0002420A">
        <w:t>. Foll</w:t>
      </w:r>
      <w:r w:rsidR="00DB0712">
        <w:t>owing the June peak</w:t>
      </w:r>
      <w:r w:rsidR="008602FB">
        <w:t>,</w:t>
      </w:r>
      <w:r w:rsidR="00142080">
        <w:t xml:space="preserve"> </w:t>
      </w:r>
      <w:r w:rsidR="00EE0900">
        <w:t>notified cases</w:t>
      </w:r>
      <w:r w:rsidR="00142080">
        <w:t xml:space="preserve"> </w:t>
      </w:r>
      <w:r w:rsidR="001B7CA3" w:rsidRPr="001B7CA3">
        <w:t>declined</w:t>
      </w:r>
      <w:r w:rsidR="001B7CA3">
        <w:t xml:space="preserve"> until early October</w:t>
      </w:r>
      <w:r w:rsidR="00CE4C06">
        <w:t>, then</w:t>
      </w:r>
      <w:r w:rsidR="001B7CA3" w:rsidRPr="001B7CA3">
        <w:t xml:space="preserve"> gradually increas</w:t>
      </w:r>
      <w:r w:rsidR="00CE4C06">
        <w:t>ed</w:t>
      </w:r>
      <w:r w:rsidR="001B7CA3" w:rsidRPr="001B7CA3">
        <w:t xml:space="preserve"> week-on-week </w:t>
      </w:r>
      <w:r w:rsidR="00CE4C06">
        <w:t>until late December</w:t>
      </w:r>
      <w:r w:rsidR="008602FB">
        <w:t xml:space="preserve"> </w:t>
      </w:r>
      <w:r w:rsidRPr="00396C3C">
        <w:t>(</w:t>
      </w:r>
      <w:r w:rsidR="004A5F5E">
        <w:t>Figure 4</w:t>
      </w:r>
      <w:r w:rsidRPr="00396C3C">
        <w:t>)</w:t>
      </w:r>
      <w:r w:rsidR="00A8180B">
        <w:t xml:space="preserve">, </w:t>
      </w:r>
      <w:proofErr w:type="gramStart"/>
      <w:r w:rsidR="00A8180B">
        <w:t>similar to</w:t>
      </w:r>
      <w:proofErr w:type="gramEnd"/>
      <w:r w:rsidR="00A8180B">
        <w:t xml:space="preserve"> the increase observed in this period in 2023</w:t>
      </w:r>
      <w:r w:rsidRPr="00396C3C">
        <w:t>.</w:t>
      </w:r>
      <w:r w:rsidR="00BE15E2">
        <w:t xml:space="preserve"> </w:t>
      </w:r>
    </w:p>
    <w:p w14:paraId="3297B8F4" w14:textId="4625E8BE" w:rsidR="00B26104" w:rsidRPr="007E0A3C" w:rsidRDefault="0034269B" w:rsidP="00BE15E2">
      <w:r w:rsidRPr="007E0A3C">
        <w:t xml:space="preserve">The current transmission patterns within Australia differ from the initial phases of the pandemic when </w:t>
      </w:r>
      <w:r w:rsidR="00837344" w:rsidRPr="007E0A3C">
        <w:t xml:space="preserve">multiple </w:t>
      </w:r>
      <w:r w:rsidRPr="007E0A3C">
        <w:t>waves</w:t>
      </w:r>
      <w:r w:rsidR="00837344" w:rsidRPr="007E0A3C">
        <w:t xml:space="preserve"> occurred each year (2020–2022), </w:t>
      </w:r>
      <w:r w:rsidRPr="007E0A3C">
        <w:t>driven by one or two dominant SARS-CoV-2 sub-lineages.</w:t>
      </w:r>
      <w:r w:rsidR="00C777B2" w:rsidRPr="007E0A3C">
        <w:t xml:space="preserve"> </w:t>
      </w:r>
      <w:r w:rsidR="00113611">
        <w:t>A</w:t>
      </w:r>
      <w:r w:rsidR="0000216F" w:rsidRPr="007E0A3C">
        <w:t>cross 202</w:t>
      </w:r>
      <w:r w:rsidR="005A063B" w:rsidRPr="007E0A3C">
        <w:t>3</w:t>
      </w:r>
      <w:r w:rsidR="0000216F" w:rsidRPr="007E0A3C">
        <w:t xml:space="preserve">–2024, </w:t>
      </w:r>
      <w:r w:rsidR="00170C8D" w:rsidRPr="007E0A3C">
        <w:t xml:space="preserve">COVID-19 </w:t>
      </w:r>
      <w:r w:rsidR="005A063B" w:rsidRPr="007E0A3C">
        <w:t>transmission patterns</w:t>
      </w:r>
      <w:r w:rsidR="0000216F" w:rsidRPr="007E0A3C">
        <w:t xml:space="preserve"> have fluctuated </w:t>
      </w:r>
      <w:r w:rsidR="00170C8D" w:rsidRPr="007E0A3C">
        <w:t>with the seasons</w:t>
      </w:r>
      <w:r w:rsidR="0000216F" w:rsidRPr="007E0A3C">
        <w:t xml:space="preserve"> </w:t>
      </w:r>
      <w:r w:rsidR="00874CC8">
        <w:t>appear</w:t>
      </w:r>
      <w:r w:rsidR="005A5086">
        <w:t>ing</w:t>
      </w:r>
      <w:r w:rsidR="00874CC8">
        <w:t xml:space="preserve"> to have</w:t>
      </w:r>
      <w:r w:rsidR="00B96D40" w:rsidRPr="007E0A3C">
        <w:t xml:space="preserve"> summer peaks in late December and early </w:t>
      </w:r>
      <w:r w:rsidR="7AED9B58">
        <w:t>January but</w:t>
      </w:r>
      <w:r w:rsidR="00B96D40" w:rsidRPr="007E0A3C">
        <w:t xml:space="preserve"> also </w:t>
      </w:r>
      <w:r w:rsidR="00E600B4" w:rsidRPr="007E0A3C">
        <w:t>winter</w:t>
      </w:r>
      <w:r w:rsidR="00B96D40" w:rsidRPr="007E0A3C">
        <w:t xml:space="preserve"> peaks</w:t>
      </w:r>
      <w:r w:rsidR="0099215E" w:rsidRPr="007E0A3C">
        <w:t xml:space="preserve"> typically </w:t>
      </w:r>
      <w:r w:rsidR="00B96D40" w:rsidRPr="007E0A3C">
        <w:t>in Ju</w:t>
      </w:r>
      <w:r w:rsidR="00E600B4" w:rsidRPr="007E0A3C">
        <w:t>ne</w:t>
      </w:r>
      <w:r w:rsidR="00B96D40" w:rsidRPr="007E0A3C">
        <w:t xml:space="preserve"> </w:t>
      </w:r>
      <w:r w:rsidR="00093A5C" w:rsidRPr="007E0A3C">
        <w:t>(</w:t>
      </w:r>
      <w:r w:rsidR="004A5F5E">
        <w:t>Figure 4</w:t>
      </w:r>
      <w:r w:rsidR="00093A5C" w:rsidRPr="007E0A3C">
        <w:t>).</w:t>
      </w:r>
      <w:r w:rsidR="00B71924" w:rsidRPr="00B71924">
        <w:t xml:space="preserve"> Due to limited years of SARS-CoV-2 circulation without extensive pandemic interventions affecting SARS-CoV</w:t>
      </w:r>
      <w:r w:rsidR="00760441">
        <w:t>-</w:t>
      </w:r>
      <w:r w:rsidR="00B71924" w:rsidRPr="00B71924">
        <w:t xml:space="preserve">2 transmission, it is not yet clear if a </w:t>
      </w:r>
      <w:r w:rsidR="00075B63">
        <w:t>distinct</w:t>
      </w:r>
      <w:r w:rsidR="00075B63" w:rsidRPr="00B71924">
        <w:t xml:space="preserve"> </w:t>
      </w:r>
      <w:r w:rsidR="00B71924" w:rsidRPr="00B71924">
        <w:t>seasonal pattern will emerge for COVID-19.</w:t>
      </w:r>
      <w:r w:rsidR="00075B63">
        <w:fldChar w:fldCharType="begin">
          <w:fldData xml:space="preserve">PEVuZE5vdGU+PENpdGU+PEF1dGhvcj5Ub3duc2VuZDwvQXV0aG9yPjxZZWFyPjIwMjM8L1llYXI+
PFJlY051bT4yODQzPC9SZWNOdW0+PERpc3BsYXlUZXh0PjxzdHlsZSBmYWNlPSJzdXBlcnNjcmlw
dCI+MjI8L3N0eWxlPjwvRGlzcGxheVRleHQ+PHJlY29yZD48cmVjLW51bWJlcj4yODQzPC9yZWMt
bnVtYmVyPjxmb3JlaWduLWtleXM+PGtleSBhcHA9IkVOIiBkYi1pZD0icHRhdzJzMHRtc2U1dzBl
eHZyaDVkMnZwZHR4YXQyZWFhYXpmIiB0aW1lc3RhbXA9IjE3NDI4ODA1NzciPjI4NDM8L2tleT48
L2ZvcmVpZ24ta2V5cz48cmVmLXR5cGUgbmFtZT0iSm91cm5hbCBBcnRpY2xlIj4xNzwvcmVmLXR5
cGU+PGNvbnRyaWJ1dG9ycz48YXV0aG9ycz48YXV0aG9yPlRvd25zZW5kLCBKLiBQLjwvYXV0aG9y
PjxhdXRob3I+SGFzc2xlciwgSC4gQi48L2F1dGhvcj48YXV0aG9yPkxhbWIsIEEuIEQuPC9hdXRo
b3I+PGF1dGhvcj5TYWgsIFAuPC9hdXRob3I+PGF1dGhvcj5BbHZhcmV6IE5pc2hpbywgQS48L2F1
dGhvcj48YXV0aG9yPk5ndXllbiwgQy48L2F1dGhvcj48YXV0aG9yPlRldywgQS4gRC48L2F1dGhv
cj48YXV0aG9yPkdhbHZhbmksIEEuIFAuPC9hdXRob3I+PGF1dGhvcj5Eb3JuYnVyZywgQS48L2F1
dGhvcj48L2F1dGhvcnM+PC9jb250cmlidXRvcnM+PGF1dGgtYWRkcmVzcz5EZXBhcnRtZW50IG9m
IEJpb3N0YXRpc3RpY3MsIFlhbGUgU2Nob29sIG9mIFB1YmxpYyBIZWFsdGgsIE5ldyBIYXZlbiwg
VVNBLiYjeEQ7RGVwYXJ0bWVudCBvZiBFY29sb2d5IGFuZCBFdm9sdXRpb25hcnkgQmlvbG9neSwg
WWFsZSBVbml2ZXJzaXR5LCBOZXcgSGF2ZW4sIFVTQS4mI3hEO1Byb2dyYW0gaW4gQ29tcHV0YXRp
b25hbCBCaW9sb2d5IGFuZCBCaW9pbmZvcm1hdGljcywgWWFsZSBVbml2ZXJzaXR5LCBOZXcgSGF2
ZW4sIFVTQS4mI3hEO1Byb2dyYW0gaW4gTWljcm9iaW9sb2d5LCBZYWxlIFVuaXZlcnNpdHksIE5l
dyBIYXZlbiwgVVNBLiYjeEQ7RGVwYXJ0bWVudCBvZiBCaW9pbmZvcm1hdGljcyBhbmQgR2Vub21p
Y3MsIFVuaXZlcnNpdHkgb2YgTm9ydGggQ2Fyb2xpbmEgYXQgQ2hhcmxvdHRlLCBDaGFybG90dGUs
IFVTQS4mI3hEO0NlbnRlciBmb3IgSW5mZWN0aW91cyBEaXNlYXNlIE1vZGVsaW5nIGFuZCBBbmFs
eXNpcywgWWFsZSBVbml2ZXJzaXR5LCBOZXcgSGF2ZW4sIFVTQS4mI3hEO1lhbGUgQ29sbGVnZSwg
TmV3IEhhdmVuLCBVU0EuPC9hdXRoLWFkZHJlc3M+PHRpdGxlcz48dGl0bGU+U2Vhc29uYWxpdHkg
b2YgZW5kZW1pYyBDT1ZJRC0xOTwvdGl0bGU+PHNlY29uZGFyeS10aXRsZT5tQmlvPC9zZWNvbmRh
cnktdGl0bGU+PC90aXRsZXM+PHBlcmlvZGljYWw+PGZ1bGwtdGl0bGU+bUJpbzwvZnVsbC10aXRs
ZT48L3BlcmlvZGljYWw+PHBhZ2VzPmUwMTQyNjIzPC9wYWdlcz48dm9sdW1lPjE0PC92b2x1bWU+
PG51bWJlcj42PC9udW1iZXI+PGVkaXRpb24+MjAyMy8xMS8wODwvZWRpdGlvbj48a2V5d29yZHM+
PGtleXdvcmQ+KkNPVklELTE5L2VwaWRlbWlvbG9neS9wcmV2ZW50aW9uICZhbXA7IGNvbnRyb2w8
L2tleXdvcmQ+PGtleXdvcmQ+SHVtYW5zPC9rZXl3b3JkPjxrZXl3b3JkPipTZWFzb25zPC9rZXl3
b3JkPjxrZXl3b3JkPipTQVJTLUNvVi0yL2dlbmV0aWNzL2ltbXVub2xvZ3k8L2tleXdvcmQ+PGtl
eXdvcmQ+RW5kZW1pYyBEaXNlYXNlcy9wcmV2ZW50aW9uICZhbXA7IGNvbnRyb2w8L2tleXdvcmQ+
PGtleXdvcmQ+UHVibGljIEhlYWx0aDwva2V5d29yZD48a2V5d29yZD5Db3ZpZC0xOTwva2V5d29y
ZD48a2V5d29yZD5TQVJTLUNvVi0yPC9rZXl3b3JkPjxrZXl3b3JkPmV2b2x1dGlvbjwva2V5d29y
ZD48a2V5d29yZD5zZWFzb25hbGl0eTwva2V5d29yZD48L2tleXdvcmRzPjxkYXRlcz48eWVhcj4y
MDIzPC95ZWFyPjxwdWItZGF0ZXM+PGRhdGU+RGVjIDE5PC9kYXRlPjwvcHViLWRhdGVzPjwvZGF0
ZXM+PGFjY2Vzc2lvbi1udW0+Mzc5Mzc5Nzk8L2FjY2Vzc2lvbi1udW0+PHVybHM+PC91cmxzPjxj
dXN0b20yPlBNQzEwNzQ2MjcxPC9jdXN0b20yPjxlbGVjdHJvbmljLXJlc291cmNlLW51bT5kb2k6
IGh0dHBzOi8vZG9pLm9yZy8xMC4xMTI4L21iaW8uMDE0MjYtMjM8L2VsZWN0cm9uaWMtcmVzb3Vy
Y2UtbnVtPjxyZW1vdGUtZGF0YWJhc2UtcHJvdmlkZXI+TkxNPC9yZW1vdGUtZGF0YWJhc2UtcHJv
dmlkZXI+PGxhbmd1YWdlPmVuZzwvbGFuZ3VhZ2U+PC9yZWNvcmQ+PC9DaXRlPjwvRW5kTm90ZT5=
</w:fldData>
        </w:fldChar>
      </w:r>
      <w:r w:rsidR="00E13203">
        <w:instrText xml:space="preserve"> ADDIN EN.CITE </w:instrText>
      </w:r>
      <w:r w:rsidR="00E13203">
        <w:fldChar w:fldCharType="begin">
          <w:fldData xml:space="preserve">PEVuZE5vdGU+PENpdGU+PEF1dGhvcj5Ub3duc2VuZDwvQXV0aG9yPjxZZWFyPjIwMjM8L1llYXI+
PFJlY051bT4yODQzPC9SZWNOdW0+PERpc3BsYXlUZXh0PjxzdHlsZSBmYWNlPSJzdXBlcnNjcmlw
dCI+MjI8L3N0eWxlPjwvRGlzcGxheVRleHQ+PHJlY29yZD48cmVjLW51bWJlcj4yODQzPC9yZWMt
bnVtYmVyPjxmb3JlaWduLWtleXM+PGtleSBhcHA9IkVOIiBkYi1pZD0icHRhdzJzMHRtc2U1dzBl
eHZyaDVkMnZwZHR4YXQyZWFhYXpmIiB0aW1lc3RhbXA9IjE3NDI4ODA1NzciPjI4NDM8L2tleT48
L2ZvcmVpZ24ta2V5cz48cmVmLXR5cGUgbmFtZT0iSm91cm5hbCBBcnRpY2xlIj4xNzwvcmVmLXR5
cGU+PGNvbnRyaWJ1dG9ycz48YXV0aG9ycz48YXV0aG9yPlRvd25zZW5kLCBKLiBQLjwvYXV0aG9y
PjxhdXRob3I+SGFzc2xlciwgSC4gQi48L2F1dGhvcj48YXV0aG9yPkxhbWIsIEEuIEQuPC9hdXRo
b3I+PGF1dGhvcj5TYWgsIFAuPC9hdXRob3I+PGF1dGhvcj5BbHZhcmV6IE5pc2hpbywgQS48L2F1
dGhvcj48YXV0aG9yPk5ndXllbiwgQy48L2F1dGhvcj48YXV0aG9yPlRldywgQS4gRC48L2F1dGhv
cj48YXV0aG9yPkdhbHZhbmksIEEuIFAuPC9hdXRob3I+PGF1dGhvcj5Eb3JuYnVyZywgQS48L2F1
dGhvcj48L2F1dGhvcnM+PC9jb250cmlidXRvcnM+PGF1dGgtYWRkcmVzcz5EZXBhcnRtZW50IG9m
IEJpb3N0YXRpc3RpY3MsIFlhbGUgU2Nob29sIG9mIFB1YmxpYyBIZWFsdGgsIE5ldyBIYXZlbiwg
VVNBLiYjeEQ7RGVwYXJ0bWVudCBvZiBFY29sb2d5IGFuZCBFdm9sdXRpb25hcnkgQmlvbG9neSwg
WWFsZSBVbml2ZXJzaXR5LCBOZXcgSGF2ZW4sIFVTQS4mI3hEO1Byb2dyYW0gaW4gQ29tcHV0YXRp
b25hbCBCaW9sb2d5IGFuZCBCaW9pbmZvcm1hdGljcywgWWFsZSBVbml2ZXJzaXR5LCBOZXcgSGF2
ZW4sIFVTQS4mI3hEO1Byb2dyYW0gaW4gTWljcm9iaW9sb2d5LCBZYWxlIFVuaXZlcnNpdHksIE5l
dyBIYXZlbiwgVVNBLiYjeEQ7RGVwYXJ0bWVudCBvZiBCaW9pbmZvcm1hdGljcyBhbmQgR2Vub21p
Y3MsIFVuaXZlcnNpdHkgb2YgTm9ydGggQ2Fyb2xpbmEgYXQgQ2hhcmxvdHRlLCBDaGFybG90dGUs
IFVTQS4mI3hEO0NlbnRlciBmb3IgSW5mZWN0aW91cyBEaXNlYXNlIE1vZGVsaW5nIGFuZCBBbmFs
eXNpcywgWWFsZSBVbml2ZXJzaXR5LCBOZXcgSGF2ZW4sIFVTQS4mI3hEO1lhbGUgQ29sbGVnZSwg
TmV3IEhhdmVuLCBVU0EuPC9hdXRoLWFkZHJlc3M+PHRpdGxlcz48dGl0bGU+U2Vhc29uYWxpdHkg
b2YgZW5kZW1pYyBDT1ZJRC0xOTwvdGl0bGU+PHNlY29uZGFyeS10aXRsZT5tQmlvPC9zZWNvbmRh
cnktdGl0bGU+PC90aXRsZXM+PHBlcmlvZGljYWw+PGZ1bGwtdGl0bGU+bUJpbzwvZnVsbC10aXRs
ZT48L3BlcmlvZGljYWw+PHBhZ2VzPmUwMTQyNjIzPC9wYWdlcz48dm9sdW1lPjE0PC92b2x1bWU+
PG51bWJlcj42PC9udW1iZXI+PGVkaXRpb24+MjAyMy8xMS8wODwvZWRpdGlvbj48a2V5d29yZHM+
PGtleXdvcmQ+KkNPVklELTE5L2VwaWRlbWlvbG9neS9wcmV2ZW50aW9uICZhbXA7IGNvbnRyb2w8
L2tleXdvcmQ+PGtleXdvcmQ+SHVtYW5zPC9rZXl3b3JkPjxrZXl3b3JkPipTZWFzb25zPC9rZXl3
b3JkPjxrZXl3b3JkPipTQVJTLUNvVi0yL2dlbmV0aWNzL2ltbXVub2xvZ3k8L2tleXdvcmQ+PGtl
eXdvcmQ+RW5kZW1pYyBEaXNlYXNlcy9wcmV2ZW50aW9uICZhbXA7IGNvbnRyb2w8L2tleXdvcmQ+
PGtleXdvcmQ+UHVibGljIEhlYWx0aDwva2V5d29yZD48a2V5d29yZD5Db3ZpZC0xOTwva2V5d29y
ZD48a2V5d29yZD5TQVJTLUNvVi0yPC9rZXl3b3JkPjxrZXl3b3JkPmV2b2x1dGlvbjwva2V5d29y
ZD48a2V5d29yZD5zZWFzb25hbGl0eTwva2V5d29yZD48L2tleXdvcmRzPjxkYXRlcz48eWVhcj4y
MDIzPC95ZWFyPjxwdWItZGF0ZXM+PGRhdGU+RGVjIDE5PC9kYXRlPjwvcHViLWRhdGVzPjwvZGF0
ZXM+PGFjY2Vzc2lvbi1udW0+Mzc5Mzc5Nzk8L2FjY2Vzc2lvbi1udW0+PHVybHM+PC91cmxzPjxj
dXN0b20yPlBNQzEwNzQ2MjcxPC9jdXN0b20yPjxlbGVjdHJvbmljLXJlc291cmNlLW51bT5kb2k6
IGh0dHBzOi8vZG9pLm9yZy8xMC4xMTI4L21iaW8uMDE0MjYtMjM8L2VsZWN0cm9uaWMtcmVzb3Vy
Y2UtbnVtPjxyZW1vdGUtZGF0YWJhc2UtcHJvdmlkZXI+TkxNPC9yZW1vdGUtZGF0YWJhc2UtcHJv
dmlkZXI+PGxhbmd1YWdlPmVuZzwvbGFuZ3VhZ2U+PC9yZWNvcmQ+PC9DaXRlPjwvRW5kTm90ZT5=
</w:fldData>
        </w:fldChar>
      </w:r>
      <w:r w:rsidR="00E13203">
        <w:instrText xml:space="preserve"> ADDIN EN.CITE.DATA </w:instrText>
      </w:r>
      <w:r w:rsidR="00E13203">
        <w:fldChar w:fldCharType="end"/>
      </w:r>
      <w:r w:rsidR="00075B63">
        <w:fldChar w:fldCharType="separate"/>
      </w:r>
      <w:r w:rsidR="00E13203" w:rsidRPr="00E13203">
        <w:rPr>
          <w:noProof/>
          <w:vertAlign w:val="superscript"/>
        </w:rPr>
        <w:t>22</w:t>
      </w:r>
      <w:r w:rsidR="00075B63">
        <w:fldChar w:fldCharType="end"/>
      </w:r>
    </w:p>
    <w:p w14:paraId="16A31859" w14:textId="010A9831" w:rsidR="00A715E6" w:rsidRPr="000E02DC" w:rsidRDefault="0019761A" w:rsidP="000E02DC">
      <w:r w:rsidRPr="002D1B8A">
        <w:t>In 2024, COVID-19 notification rates were highest in people aged 70 years or over, likely due to higher case ascertainment from targeted testing strategies for populations at</w:t>
      </w:r>
      <w:r w:rsidR="00490751">
        <w:t xml:space="preserve"> </w:t>
      </w:r>
      <w:r w:rsidRPr="002D1B8A">
        <w:t>risk of severe disease or who live in a high-risk setting such as a residential aged care home (Table 2).</w:t>
      </w:r>
      <w:r w:rsidR="002D1B8A" w:rsidRPr="002D1B8A">
        <w:t xml:space="preserve"> </w:t>
      </w:r>
    </w:p>
    <w:p w14:paraId="16A3185A" w14:textId="31F4C94A" w:rsidR="00A715E6" w:rsidRDefault="004A5F5E" w:rsidP="000E02DC">
      <w:pPr>
        <w:pStyle w:val="Caption"/>
      </w:pPr>
      <w:r>
        <w:t>Figure 4</w:t>
      </w:r>
      <w:r w:rsidR="0019761A">
        <w:t xml:space="preserve">: Notified </w:t>
      </w:r>
      <w:r w:rsidR="004D6899">
        <w:t xml:space="preserve">laboratory-confirmed </w:t>
      </w:r>
      <w:r w:rsidR="0019761A">
        <w:t xml:space="preserve">COVID-19 cases by year and week of diagnosis, Australia, </w:t>
      </w:r>
      <w:r w:rsidR="00B7336C">
        <w:t xml:space="preserve">January </w:t>
      </w:r>
      <w:r w:rsidR="0019761A">
        <w:t>2022 to December 2024</w:t>
      </w:r>
    </w:p>
    <w:p w14:paraId="16A3185B" w14:textId="5D904C46" w:rsidR="00A715E6" w:rsidRDefault="00AE71DD">
      <w:pPr>
        <w:pStyle w:val="BodyText"/>
      </w:pPr>
      <w:r w:rsidRPr="00AE71DD">
        <w:rPr>
          <w:noProof/>
        </w:rPr>
        <w:drawing>
          <wp:inline distT="0" distB="0" distL="0" distR="0" wp14:anchorId="03CB0747" wp14:editId="662AB5F3">
            <wp:extent cx="6192520" cy="4443730"/>
            <wp:effectExtent l="0" t="0" r="0" b="0"/>
            <wp:docPr id="1431144626" name="Picture 1"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44626" name="Picture 1"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pic:cNvPicPr/>
                  </pic:nvPicPr>
                  <pic:blipFill>
                    <a:blip r:embed="rId18"/>
                    <a:stretch>
                      <a:fillRect/>
                    </a:stretch>
                  </pic:blipFill>
                  <pic:spPr>
                    <a:xfrm>
                      <a:off x="0" y="0"/>
                      <a:ext cx="6192520" cy="4443730"/>
                    </a:xfrm>
                    <a:prstGeom prst="rect">
                      <a:avLst/>
                    </a:prstGeom>
                  </pic:spPr>
                </pic:pic>
              </a:graphicData>
            </a:graphic>
          </wp:inline>
        </w:drawing>
      </w:r>
    </w:p>
    <w:p w14:paraId="75BFF202" w14:textId="75F41BED" w:rsidR="005A26BA" w:rsidRDefault="0019761A" w:rsidP="000E02DC">
      <w:pPr>
        <w:pStyle w:val="Smalltext"/>
      </w:pPr>
      <w:r>
        <w:t xml:space="preserve">Source: </w:t>
      </w:r>
      <w:proofErr w:type="gramStart"/>
      <w:r>
        <w:t>National Notifiable Diseases Surveillance System (NNDSS)</w:t>
      </w:r>
      <w:r w:rsidR="00C23A60">
        <w:t>,</w:t>
      </w:r>
      <w:proofErr w:type="gramEnd"/>
      <w:r w:rsidR="00C23A60">
        <w:t xml:space="preserve"> extracted </w:t>
      </w:r>
      <w:r w:rsidR="00C23A60" w:rsidRPr="00C23A60">
        <w:t>5 March 2025</w:t>
      </w:r>
      <w:r w:rsidR="00CE256D">
        <w:t>.</w:t>
      </w:r>
    </w:p>
    <w:p w14:paraId="43A25BB0" w14:textId="46A44A93" w:rsidR="000E02DC" w:rsidRPr="000E02DC" w:rsidRDefault="000E02DC" w:rsidP="000E02DC">
      <w:pPr>
        <w:spacing w:before="0" w:after="0" w:line="240" w:lineRule="auto"/>
      </w:pPr>
      <w:r>
        <w:br w:type="page"/>
      </w:r>
    </w:p>
    <w:p w14:paraId="1FA30ABE" w14:textId="27CDC8DD" w:rsidR="00377092" w:rsidRPr="000E02DC" w:rsidRDefault="005A26BA" w:rsidP="000E02DC">
      <w:pPr>
        <w:pStyle w:val="BodyText"/>
      </w:pPr>
      <w:r w:rsidRPr="002D1B8A">
        <w:lastRenderedPageBreak/>
        <w:t xml:space="preserve">In 2024, </w:t>
      </w:r>
      <w:r w:rsidR="005601B8" w:rsidRPr="005601B8">
        <w:t>COVID-19 notification</w:t>
      </w:r>
      <w:r w:rsidR="00CE6538">
        <w:t xml:space="preserve"> rates were highest in </w:t>
      </w:r>
      <w:r w:rsidR="005B1319">
        <w:t>NSW</w:t>
      </w:r>
      <w:r w:rsidR="005601B8" w:rsidRPr="005601B8">
        <w:t xml:space="preserve"> (1,520 </w:t>
      </w:r>
      <w:r w:rsidR="00D91040">
        <w:t>cases</w:t>
      </w:r>
      <w:r w:rsidR="00D91040" w:rsidRPr="005601B8">
        <w:t xml:space="preserve"> </w:t>
      </w:r>
      <w:r w:rsidR="005601B8" w:rsidRPr="005601B8">
        <w:t>per 100,000 population)</w:t>
      </w:r>
      <w:r w:rsidR="00CE6538">
        <w:t>,</w:t>
      </w:r>
      <w:r w:rsidR="005601B8" w:rsidRPr="005601B8">
        <w:t xml:space="preserve"> followed by </w:t>
      </w:r>
      <w:r w:rsidR="005B1319">
        <w:t>Qld</w:t>
      </w:r>
      <w:r w:rsidR="005601B8" w:rsidRPr="005601B8">
        <w:t xml:space="preserve"> (1,275 </w:t>
      </w:r>
      <w:r w:rsidR="00D91040">
        <w:t>cases</w:t>
      </w:r>
      <w:r w:rsidR="00D91040" w:rsidRPr="005601B8">
        <w:t xml:space="preserve"> </w:t>
      </w:r>
      <w:r w:rsidR="005601B8" w:rsidRPr="005601B8">
        <w:t>per 100,000 population)</w:t>
      </w:r>
      <w:r w:rsidR="00CE6538">
        <w:t xml:space="preserve">, </w:t>
      </w:r>
      <w:r w:rsidR="002A6474">
        <w:t>and</w:t>
      </w:r>
      <w:r w:rsidR="00CE6538">
        <w:t xml:space="preserve"> notification rates</w:t>
      </w:r>
      <w:r w:rsidR="005601B8" w:rsidRPr="005601B8">
        <w:t xml:space="preserve"> </w:t>
      </w:r>
      <w:r w:rsidR="006E5427">
        <w:t xml:space="preserve">were lowest in </w:t>
      </w:r>
      <w:r w:rsidR="005B1319">
        <w:t>WA</w:t>
      </w:r>
      <w:r w:rsidR="006E5427">
        <w:t xml:space="preserve"> (</w:t>
      </w:r>
      <w:r w:rsidR="006E5427" w:rsidRPr="006E5427">
        <w:t>539</w:t>
      </w:r>
      <w:r w:rsidR="006E5427">
        <w:t xml:space="preserve"> </w:t>
      </w:r>
      <w:r w:rsidR="00D91040">
        <w:t xml:space="preserve">cases </w:t>
      </w:r>
      <w:r w:rsidR="006E5427">
        <w:t xml:space="preserve">per 100,000 population) </w:t>
      </w:r>
      <w:r w:rsidR="005601B8" w:rsidRPr="005601B8">
        <w:t xml:space="preserve">(Table </w:t>
      </w:r>
      <w:r w:rsidR="005601B8" w:rsidRPr="00162AAD">
        <w:t>2).</w:t>
      </w:r>
      <w:r w:rsidR="006B31AE">
        <w:t xml:space="preserve"> </w:t>
      </w:r>
      <w:r w:rsidR="005601B8" w:rsidRPr="00162AAD">
        <w:t>In 2024, COVID-19 notification</w:t>
      </w:r>
      <w:r w:rsidR="00162BF2" w:rsidRPr="00162AAD">
        <w:t xml:space="preserve"> trends </w:t>
      </w:r>
      <w:r w:rsidR="005F3414" w:rsidRPr="00162AAD">
        <w:t xml:space="preserve">over time </w:t>
      </w:r>
      <w:r w:rsidR="00762310">
        <w:t>were largely consistent</w:t>
      </w:r>
      <w:r w:rsidR="005F3414" w:rsidRPr="00162AAD">
        <w:t xml:space="preserve"> </w:t>
      </w:r>
      <w:r w:rsidR="00162BF2" w:rsidRPr="00162AAD">
        <w:t>across jurisdictions</w:t>
      </w:r>
      <w:r w:rsidR="00762310">
        <w:t>, with some minor variations</w:t>
      </w:r>
      <w:r w:rsidR="00162BF2" w:rsidRPr="00162AAD">
        <w:t xml:space="preserve"> </w:t>
      </w:r>
      <w:r w:rsidR="005601B8" w:rsidRPr="00162AAD">
        <w:t>(</w:t>
      </w:r>
      <w:r w:rsidR="004A5F5E">
        <w:t>Figure 5</w:t>
      </w:r>
      <w:r w:rsidR="005601B8" w:rsidRPr="00162AAD">
        <w:t>).</w:t>
      </w:r>
      <w:r w:rsidR="00253CA8" w:rsidRPr="00162AAD">
        <w:t xml:space="preserve"> </w:t>
      </w:r>
      <w:r w:rsidR="00061B79" w:rsidRPr="00162AAD">
        <w:t>Most jurisdictions experienced a peak in notification rates in</w:t>
      </w:r>
      <w:r w:rsidR="00870AE1" w:rsidRPr="00162AAD">
        <w:t xml:space="preserve"> late May or</w:t>
      </w:r>
      <w:r w:rsidR="00061B79" w:rsidRPr="00162AAD">
        <w:t xml:space="preserve"> </w:t>
      </w:r>
      <w:r w:rsidR="00870AE1" w:rsidRPr="00162AAD">
        <w:t>early June</w:t>
      </w:r>
      <w:r w:rsidR="00F34F33" w:rsidRPr="00162AAD">
        <w:t>, with</w:t>
      </w:r>
      <w:r w:rsidR="00870AE1" w:rsidRPr="00162AAD">
        <w:t xml:space="preserve"> </w:t>
      </w:r>
      <w:r w:rsidR="00103B06" w:rsidRPr="00162AAD">
        <w:t xml:space="preserve">a prolonged peak observed in </w:t>
      </w:r>
      <w:r w:rsidR="005B1319">
        <w:t>NSW</w:t>
      </w:r>
      <w:r w:rsidR="00103B06" w:rsidRPr="00162AAD">
        <w:t xml:space="preserve"> across early June to early July (</w:t>
      </w:r>
      <w:r w:rsidR="009B3D95" w:rsidRPr="00162AAD">
        <w:t>60</w:t>
      </w:r>
      <w:r w:rsidR="00103B06" w:rsidRPr="00162AAD">
        <w:t xml:space="preserve"> </w:t>
      </w:r>
      <w:r w:rsidR="00D91040">
        <w:t>cases</w:t>
      </w:r>
      <w:r w:rsidR="00D91040" w:rsidRPr="00162AAD">
        <w:t xml:space="preserve"> </w:t>
      </w:r>
      <w:r w:rsidR="00103B06" w:rsidRPr="00162AAD">
        <w:t xml:space="preserve">per 100,000 population per week). In contrast, </w:t>
      </w:r>
      <w:r w:rsidR="005B1319">
        <w:t>Qld</w:t>
      </w:r>
      <w:r w:rsidR="00B40AAE" w:rsidRPr="00162AAD">
        <w:t xml:space="preserve"> </w:t>
      </w:r>
      <w:r w:rsidR="00BC2A88" w:rsidRPr="00162AAD">
        <w:t>experienced a peak in notification</w:t>
      </w:r>
      <w:r w:rsidR="009C47DE" w:rsidRPr="00162AAD">
        <w:t xml:space="preserve"> rate</w:t>
      </w:r>
      <w:r w:rsidR="00BC2A88" w:rsidRPr="00162AAD">
        <w:t>s in December (</w:t>
      </w:r>
      <w:r w:rsidR="009B3D95" w:rsidRPr="00162AAD">
        <w:t>42</w:t>
      </w:r>
      <w:r w:rsidR="00BC2A88" w:rsidRPr="00162AAD">
        <w:t xml:space="preserve"> </w:t>
      </w:r>
      <w:r w:rsidR="00D91040">
        <w:t>cases</w:t>
      </w:r>
      <w:r w:rsidR="00D91040" w:rsidRPr="00162AAD">
        <w:t xml:space="preserve"> </w:t>
      </w:r>
      <w:r w:rsidR="00BC2A88" w:rsidRPr="00162AAD">
        <w:t>per 100,000 population per week)</w:t>
      </w:r>
      <w:r w:rsidR="004D3E85" w:rsidRPr="00162AAD">
        <w:t xml:space="preserve"> </w:t>
      </w:r>
      <w:r w:rsidRPr="00162AAD">
        <w:t>(</w:t>
      </w:r>
      <w:r w:rsidR="004A5F5E">
        <w:t>Figure 5</w:t>
      </w:r>
      <w:r w:rsidRPr="00162AAD">
        <w:t>).</w:t>
      </w:r>
    </w:p>
    <w:p w14:paraId="16A3185E" w14:textId="740703BE" w:rsidR="00A715E6" w:rsidRDefault="004A5F5E" w:rsidP="000E02DC">
      <w:pPr>
        <w:pStyle w:val="Caption"/>
      </w:pPr>
      <w:r>
        <w:t>Figure 5</w:t>
      </w:r>
      <w:r w:rsidR="0019761A">
        <w:t>: Notification rates per 100,000 population for COVID-19 cases by state or territory and week of diagnosis, Australia, January to December 2024</w:t>
      </w:r>
    </w:p>
    <w:p w14:paraId="16A3185F" w14:textId="77777777" w:rsidR="00A715E6" w:rsidRDefault="0019761A">
      <w:pPr>
        <w:pStyle w:val="BodyText"/>
      </w:pPr>
      <w:r>
        <w:rPr>
          <w:noProof/>
        </w:rPr>
        <w:drawing>
          <wp:inline distT="0" distB="0" distL="0" distR="0" wp14:anchorId="16A31FE9" wp14:editId="2DBD15C8">
            <wp:extent cx="6184900" cy="2650671"/>
            <wp:effectExtent l="0" t="0" r="0" b="0"/>
            <wp:docPr id="34" name="Picture"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F1EDF48" w14:textId="77777777" w:rsidR="000E02DC" w:rsidRDefault="0019761A" w:rsidP="00C7253C">
      <w:pPr>
        <w:pStyle w:val="BodyText"/>
        <w:rPr>
          <w:sz w:val="14"/>
          <w:szCs w:val="18"/>
        </w:rPr>
      </w:pPr>
      <w:r w:rsidRPr="00132D56">
        <w:rPr>
          <w:sz w:val="14"/>
          <w:szCs w:val="18"/>
        </w:rPr>
        <w:t>Source: National Notifiable Diseases Surveillance System (NNDSS)</w:t>
      </w:r>
      <w:r w:rsidR="00C23A60" w:rsidRPr="00C23A60">
        <w:rPr>
          <w:sz w:val="14"/>
          <w:szCs w:val="18"/>
        </w:rPr>
        <w:t>, extracted 5 March 2025</w:t>
      </w:r>
    </w:p>
    <w:p w14:paraId="0866AF6D" w14:textId="3638764B" w:rsidR="00C7253C" w:rsidRDefault="004A5F5E" w:rsidP="000E02DC">
      <w:pPr>
        <w:pStyle w:val="Caption"/>
      </w:pPr>
      <w:r>
        <w:t>Figure 6</w:t>
      </w:r>
      <w:r w:rsidR="00C7253C">
        <w:t xml:space="preserve">a: Notified influenza cases </w:t>
      </w:r>
      <w:r w:rsidR="00630B37">
        <w:t xml:space="preserve">compared with the five-year average* </w:t>
      </w:r>
      <w:r w:rsidR="00C7253C">
        <w:t xml:space="preserve">by year and week of diagnosis, Australia, </w:t>
      </w:r>
      <w:r w:rsidR="00B7336C">
        <w:t>January 2022 to December 2024</w:t>
      </w:r>
    </w:p>
    <w:p w14:paraId="6664A031" w14:textId="77777777" w:rsidR="00C7253C" w:rsidRDefault="00C7253C" w:rsidP="00C7253C">
      <w:pPr>
        <w:pStyle w:val="BodyText"/>
      </w:pPr>
      <w:r>
        <w:rPr>
          <w:noProof/>
        </w:rPr>
        <w:drawing>
          <wp:inline distT="0" distB="0" distL="0" distR="0" wp14:anchorId="2D215B20" wp14:editId="743DD6E5">
            <wp:extent cx="6184900" cy="2650671"/>
            <wp:effectExtent l="0" t="0" r="0" b="0"/>
            <wp:docPr id="43" name="Picture"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D626F76" w14:textId="0596193B" w:rsidR="00C7253C" w:rsidRDefault="00C7253C"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br/>
        <w:t xml:space="preserve">* </w:t>
      </w:r>
      <w:r w:rsidR="001F4F6F">
        <w:t>A</w:t>
      </w:r>
      <w:r w:rsidR="009E4DD3">
        <w:t>s the</w:t>
      </w:r>
      <w:r>
        <w:t xml:space="preserve"> years 2020 and 2021 are excluded when comparing the current season to historical periods the five-year average includes the years 2017 to 2019 and 2022 to 2023. </w:t>
      </w:r>
    </w:p>
    <w:p w14:paraId="783773E0" w14:textId="77777777" w:rsidR="00865DE1" w:rsidRDefault="00865DE1" w:rsidP="000E02DC">
      <w:r>
        <w:br w:type="page"/>
      </w:r>
    </w:p>
    <w:p w14:paraId="2B8FA3C3" w14:textId="5F84D71C" w:rsidR="006619B4" w:rsidRDefault="004A5F5E" w:rsidP="000E02DC">
      <w:pPr>
        <w:pStyle w:val="Caption"/>
      </w:pPr>
      <w:r>
        <w:lastRenderedPageBreak/>
        <w:t>Figure 6</w:t>
      </w:r>
      <w:r w:rsidR="00C7253C">
        <w:t>b</w:t>
      </w:r>
      <w:r w:rsidR="0019761A">
        <w:t xml:space="preserve">: Notified influenza cases </w:t>
      </w:r>
      <w:r w:rsidR="00E25B52">
        <w:t>compared with the five-year average*</w:t>
      </w:r>
      <w:r w:rsidR="0019761A">
        <w:t xml:space="preserve"> by influenza subtype, year, week of diagnosis, Australia, </w:t>
      </w:r>
      <w:r w:rsidR="00B7336C">
        <w:t>January 2022 to December 2024</w:t>
      </w:r>
      <w:r w:rsidR="006619B4" w:rsidRPr="006619B4">
        <w:rPr>
          <w:noProof/>
        </w:rPr>
        <w:drawing>
          <wp:inline distT="0" distB="0" distL="0" distR="0" wp14:anchorId="3CF69AEC" wp14:editId="7850474D">
            <wp:extent cx="6192520" cy="4403725"/>
            <wp:effectExtent l="0" t="0" r="0" b="0"/>
            <wp:docPr id="1443866049" name="Picture 1"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6049" name="Picture 1"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pic:cNvPicPr/>
                  </pic:nvPicPr>
                  <pic:blipFill>
                    <a:blip r:embed="rId23"/>
                    <a:stretch>
                      <a:fillRect/>
                    </a:stretch>
                  </pic:blipFill>
                  <pic:spPr>
                    <a:xfrm>
                      <a:off x="0" y="0"/>
                      <a:ext cx="6192520" cy="4403725"/>
                    </a:xfrm>
                    <a:prstGeom prst="rect">
                      <a:avLst/>
                    </a:prstGeom>
                  </pic:spPr>
                </pic:pic>
              </a:graphicData>
            </a:graphic>
          </wp:inline>
        </w:drawing>
      </w:r>
    </w:p>
    <w:p w14:paraId="16A3186A" w14:textId="06B05AB2" w:rsidR="00A715E6" w:rsidRDefault="0019761A"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br/>
        <w:t xml:space="preserve">* </w:t>
      </w:r>
      <w:r w:rsidR="001F4F6F">
        <w:t>As the</w:t>
      </w:r>
      <w:r>
        <w:t xml:space="preserve"> years 2020 and 2021 are excluded when comparing the current season to historical periods the five-year average includes the years 2017 to 2019 and 2022 to 2023. Please refer to the Methods and data considerations section for interpretation of the five-year average.</w:t>
      </w:r>
    </w:p>
    <w:p w14:paraId="230FF059" w14:textId="57BA98E5" w:rsidR="0036390F" w:rsidRPr="00044B05" w:rsidRDefault="0036390F" w:rsidP="00091C20">
      <w:r w:rsidRPr="00001F7C">
        <w:t xml:space="preserve">In 2024, there were </w:t>
      </w:r>
      <w:r w:rsidR="00446EC4" w:rsidRPr="00001F7C">
        <w:t>365,589</w:t>
      </w:r>
      <w:r w:rsidRPr="00001F7C">
        <w:t xml:space="preserve"> i</w:t>
      </w:r>
      <w:r w:rsidR="004F0F53" w:rsidRPr="00001F7C">
        <w:t>nfluenza</w:t>
      </w:r>
      <w:r w:rsidRPr="00001F7C">
        <w:t xml:space="preserve"> </w:t>
      </w:r>
      <w:r w:rsidR="00C671F1">
        <w:t>cases</w:t>
      </w:r>
      <w:r w:rsidRPr="00001F7C">
        <w:t xml:space="preserve">, which is </w:t>
      </w:r>
      <w:r w:rsidR="00726168" w:rsidRPr="00001F7C">
        <w:t>26.4% more</w:t>
      </w:r>
      <w:r w:rsidRPr="00001F7C">
        <w:t xml:space="preserve"> than the </w:t>
      </w:r>
      <w:r w:rsidR="00302E8E" w:rsidRPr="00001F7C">
        <w:t>289,154</w:t>
      </w:r>
      <w:r w:rsidRPr="00001F7C">
        <w:t xml:space="preserve"> </w:t>
      </w:r>
      <w:r w:rsidR="004F0F53" w:rsidRPr="00001F7C">
        <w:t>influenza</w:t>
      </w:r>
      <w:r w:rsidRPr="00001F7C">
        <w:t xml:space="preserve"> </w:t>
      </w:r>
      <w:r w:rsidR="00574969">
        <w:t>cases</w:t>
      </w:r>
      <w:r w:rsidR="00574969" w:rsidRPr="00044B05">
        <w:t xml:space="preserve"> </w:t>
      </w:r>
      <w:r w:rsidRPr="00044B05">
        <w:t xml:space="preserve">in 2023, and </w:t>
      </w:r>
      <w:r w:rsidR="00B22CC3" w:rsidRPr="00044B05">
        <w:t>56.</w:t>
      </w:r>
      <w:r w:rsidR="00001F7C" w:rsidRPr="00044B05">
        <w:t>6</w:t>
      </w:r>
      <w:r w:rsidRPr="00044B05">
        <w:t xml:space="preserve">% </w:t>
      </w:r>
      <w:r w:rsidR="00001F7C" w:rsidRPr="00044B05">
        <w:t>more</w:t>
      </w:r>
      <w:r w:rsidRPr="00044B05">
        <w:t xml:space="preserve"> than the </w:t>
      </w:r>
      <w:r w:rsidR="00D051EE" w:rsidRPr="00044B05">
        <w:t>233,455</w:t>
      </w:r>
      <w:r w:rsidRPr="00044B05">
        <w:t xml:space="preserve"> </w:t>
      </w:r>
      <w:r w:rsidR="004F0F53" w:rsidRPr="00044B05">
        <w:t>influenza</w:t>
      </w:r>
      <w:r w:rsidRPr="00044B05">
        <w:t xml:space="preserve"> </w:t>
      </w:r>
      <w:r w:rsidR="00574969">
        <w:t>cases</w:t>
      </w:r>
      <w:r w:rsidR="00574969" w:rsidRPr="00044B05">
        <w:t xml:space="preserve"> </w:t>
      </w:r>
      <w:r w:rsidRPr="00044B05">
        <w:t xml:space="preserve">in 2022 (Table 2; </w:t>
      </w:r>
      <w:r w:rsidR="009E0BB6" w:rsidRPr="00306886">
        <w:t>Table S1</w:t>
      </w:r>
      <w:r w:rsidR="009E0BB6">
        <w:t>; Table S2</w:t>
      </w:r>
      <w:r w:rsidRPr="00044B05">
        <w:t>).</w:t>
      </w:r>
      <w:r w:rsidR="2C8A34D3">
        <w:t xml:space="preserve"> The number of influenza </w:t>
      </w:r>
      <w:r w:rsidR="00574969">
        <w:t>cases</w:t>
      </w:r>
      <w:r w:rsidR="2C8A34D3">
        <w:t xml:space="preserve"> in 2024 </w:t>
      </w:r>
      <w:r w:rsidR="00574969">
        <w:t>i</w:t>
      </w:r>
      <w:r w:rsidR="2C8A34D3">
        <w:t>s the highest</w:t>
      </w:r>
      <w:r w:rsidR="00D256C8">
        <w:t xml:space="preserve"> annual</w:t>
      </w:r>
      <w:r w:rsidR="2C8A34D3">
        <w:t xml:space="preserve"> number of</w:t>
      </w:r>
      <w:r w:rsidR="00574969">
        <w:t xml:space="preserve"> </w:t>
      </w:r>
      <w:r w:rsidR="00D2412A">
        <w:t xml:space="preserve">influenza </w:t>
      </w:r>
      <w:r w:rsidR="00574969">
        <w:t>cases</w:t>
      </w:r>
      <w:r w:rsidR="2C8A34D3">
        <w:t xml:space="preserve"> </w:t>
      </w:r>
      <w:r w:rsidR="00D256C8">
        <w:t xml:space="preserve">notified </w:t>
      </w:r>
      <w:r w:rsidR="2C8A34D3">
        <w:t>to the NNDSS.</w:t>
      </w:r>
      <w:r w:rsidR="00E92BC4">
        <w:fldChar w:fldCharType="begin"/>
      </w:r>
      <w:r w:rsidR="00E13203">
        <w:instrText xml:space="preserve"> ADDIN EN.CITE &lt;EndNote&gt;&lt;Cite&gt;&lt;Author&gt;Australian Government Department of Health and Aged Care&lt;/Author&gt;&lt;RecNum&gt;2816&lt;/RecNum&gt;&lt;DisplayText&gt;&lt;style face="superscript"&gt;23&lt;/style&gt;&lt;/DisplayText&gt;&lt;record&gt;&lt;rec-number&gt;2816&lt;/rec-number&gt;&lt;foreign-keys&gt;&lt;key app="EN" db-id="ptaw2s0tmse5w0exvrh5d2vpdtxat2eaaazf" timestamp="1742519715"&gt;2816&lt;/key&gt;&lt;/foreign-keys&gt;&lt;ref-type name="Web Page"&gt;12&lt;/ref-type&gt;&lt;contributors&gt;&lt;authors&gt;&lt;author&gt;Australian Government Department of Health and Aged Care,&lt;/author&gt;&lt;/authors&gt;&lt;/contributors&gt;&lt;titles&gt;&lt;title&gt;National Notifiable Diseases Surveillance System (NNDSS) data visualisation tool&lt;/title&gt;&lt;/titles&gt;&lt;dates&gt;&lt;/dates&gt;&lt;pub-location&gt;Canberra&lt;/pub-location&gt;&lt;publisher&gt;Australian Government Department of Health and Aged Care&lt;/publisher&gt;&lt;work-type&gt;Internet&lt;/work-type&gt;&lt;urls&gt;&lt;related-urls&gt;&lt;url&gt;https://nindss.health.gov.au/pbi-dashboard/&lt;/url&gt;&lt;/related-urls&gt;&lt;/urls&gt;&lt;/record&gt;&lt;/Cite&gt;&lt;/EndNote&gt;</w:instrText>
      </w:r>
      <w:r w:rsidR="00E92BC4">
        <w:fldChar w:fldCharType="separate"/>
      </w:r>
      <w:r w:rsidR="00E13203" w:rsidRPr="00E13203">
        <w:rPr>
          <w:noProof/>
          <w:vertAlign w:val="superscript"/>
        </w:rPr>
        <w:t>23</w:t>
      </w:r>
      <w:r w:rsidR="00E92BC4">
        <w:fldChar w:fldCharType="end"/>
      </w:r>
      <w:r w:rsidR="00E92BC4" w:rsidDel="00E92BC4">
        <w:rPr>
          <w:rStyle w:val="CommentReference"/>
        </w:rPr>
        <w:t xml:space="preserve"> </w:t>
      </w:r>
    </w:p>
    <w:p w14:paraId="5FEACB85" w14:textId="69569788" w:rsidR="00BD6945" w:rsidRPr="00BD6945" w:rsidRDefault="00BD6945" w:rsidP="00091C20">
      <w:r w:rsidRPr="00BD6945">
        <w:t xml:space="preserve">Following a slight increase in the number of </w:t>
      </w:r>
      <w:r w:rsidR="00163A9A">
        <w:t>influenza cases</w:t>
      </w:r>
      <w:r w:rsidR="00163A9A" w:rsidRPr="00BD6945">
        <w:t xml:space="preserve"> </w:t>
      </w:r>
      <w:r w:rsidRPr="00BD6945">
        <w:t>in late 2023</w:t>
      </w:r>
      <w:r w:rsidR="00914CBA">
        <w:t xml:space="preserve">, </w:t>
      </w:r>
      <w:r w:rsidR="00163A9A">
        <w:t>notified cases</w:t>
      </w:r>
      <w:r w:rsidR="00914CBA">
        <w:t xml:space="preserve"> </w:t>
      </w:r>
      <w:r w:rsidR="004F7035">
        <w:t xml:space="preserve">in 2024 </w:t>
      </w:r>
      <w:r w:rsidR="00914CBA">
        <w:t>remained low and</w:t>
      </w:r>
      <w:r w:rsidR="00B20443">
        <w:t xml:space="preserve"> stable </w:t>
      </w:r>
      <w:r w:rsidR="004F7035">
        <w:t xml:space="preserve">from January </w:t>
      </w:r>
      <w:r w:rsidR="00B20443">
        <w:t>until late April</w:t>
      </w:r>
      <w:r w:rsidR="00A81C8A">
        <w:t>,</w:t>
      </w:r>
      <w:r w:rsidR="00B20443">
        <w:t xml:space="preserve"> before increasing to </w:t>
      </w:r>
      <w:r w:rsidR="00433A2D">
        <w:t xml:space="preserve">a </w:t>
      </w:r>
      <w:r w:rsidRPr="00BD6945">
        <w:t xml:space="preserve">peak of </w:t>
      </w:r>
      <w:r w:rsidR="00E52EA8" w:rsidRPr="00E52EA8">
        <w:t>28</w:t>
      </w:r>
      <w:r w:rsidR="00E52EA8">
        <w:t>,</w:t>
      </w:r>
      <w:r w:rsidR="00E52EA8" w:rsidRPr="00E52EA8">
        <w:t>453</w:t>
      </w:r>
      <w:r w:rsidRPr="00BD6945">
        <w:t xml:space="preserve"> </w:t>
      </w:r>
      <w:r w:rsidR="00163A9A">
        <w:t>cases</w:t>
      </w:r>
      <w:r w:rsidR="00163A9A" w:rsidRPr="00BD6945">
        <w:t xml:space="preserve"> </w:t>
      </w:r>
      <w:r w:rsidRPr="00BD6945">
        <w:t>per week in early Ju</w:t>
      </w:r>
      <w:r w:rsidR="00A81C8A">
        <w:t>ly</w:t>
      </w:r>
      <w:r w:rsidRPr="00BD6945">
        <w:t>. Following the Ju</w:t>
      </w:r>
      <w:r w:rsidR="00A81C8A">
        <w:t>ly</w:t>
      </w:r>
      <w:r w:rsidRPr="00BD6945">
        <w:t xml:space="preserve"> peak, </w:t>
      </w:r>
      <w:r w:rsidR="00163A9A">
        <w:t>notified cases</w:t>
      </w:r>
      <w:r w:rsidR="00163A9A" w:rsidRPr="00BD6945">
        <w:t xml:space="preserve"> </w:t>
      </w:r>
      <w:r w:rsidRPr="00BD6945">
        <w:t>declined</w:t>
      </w:r>
      <w:r w:rsidR="00A81C8A">
        <w:t xml:space="preserve"> slightly and then plateaued</w:t>
      </w:r>
      <w:r w:rsidR="00E4472F">
        <w:t xml:space="preserve"> at </w:t>
      </w:r>
      <w:r w:rsidR="00AD171A">
        <w:t>approximately 20,000–21,000</w:t>
      </w:r>
      <w:r w:rsidR="00E4472F">
        <w:t xml:space="preserve"> </w:t>
      </w:r>
      <w:r w:rsidR="00163A9A">
        <w:t xml:space="preserve">cases </w:t>
      </w:r>
      <w:r w:rsidR="00E4472F">
        <w:t xml:space="preserve">per week across </w:t>
      </w:r>
      <w:r w:rsidR="00880714">
        <w:t xml:space="preserve">mid-July to mid-August before decreasing again </w:t>
      </w:r>
      <w:r w:rsidR="006F02F1">
        <w:t xml:space="preserve">and remaining at low </w:t>
      </w:r>
      <w:proofErr w:type="spellStart"/>
      <w:r w:rsidR="006F02F1">
        <w:t>interseasonal</w:t>
      </w:r>
      <w:proofErr w:type="spellEnd"/>
      <w:r w:rsidR="006F02F1">
        <w:t xml:space="preserve"> levels </w:t>
      </w:r>
      <w:r w:rsidRPr="00BD6945">
        <w:t>until December (</w:t>
      </w:r>
      <w:r w:rsidR="004A5F5E">
        <w:t>Figure 6</w:t>
      </w:r>
      <w:r w:rsidR="002E3B68" w:rsidRPr="002E3B68">
        <w:t xml:space="preserve">a; </w:t>
      </w:r>
      <w:r w:rsidR="004A5F5E">
        <w:t>Figure 6</w:t>
      </w:r>
      <w:r w:rsidR="002E3B68" w:rsidRPr="002E3B68">
        <w:t>b</w:t>
      </w:r>
      <w:r w:rsidRPr="00BD6945">
        <w:t>).</w:t>
      </w:r>
      <w:r w:rsidR="00AB193A">
        <w:t xml:space="preserve"> </w:t>
      </w:r>
    </w:p>
    <w:p w14:paraId="3B406227" w14:textId="3BE8541C" w:rsidR="00C7253C" w:rsidRPr="00B06E39" w:rsidRDefault="004F7035" w:rsidP="00091C20">
      <w:r w:rsidRPr="004F7035">
        <w:t xml:space="preserve">In 2024, influenza </w:t>
      </w:r>
      <w:r w:rsidR="00163A9A">
        <w:t>cases</w:t>
      </w:r>
      <w:r w:rsidR="00163A9A" w:rsidRPr="004F7035">
        <w:t xml:space="preserve"> </w:t>
      </w:r>
      <w:r w:rsidRPr="004F7035">
        <w:t xml:space="preserve">generally remained above the five-year average from January through to early September. </w:t>
      </w:r>
      <w:r w:rsidR="005F4C9B" w:rsidRPr="00B06E39">
        <w:t xml:space="preserve">The peak in influenza </w:t>
      </w:r>
      <w:r w:rsidR="00163A9A">
        <w:t>cases</w:t>
      </w:r>
      <w:r w:rsidR="00163A9A" w:rsidRPr="00B06E39">
        <w:t xml:space="preserve"> </w:t>
      </w:r>
      <w:r w:rsidR="005F4C9B" w:rsidRPr="00B06E39">
        <w:t>occurred at a similar time in 2023 and 2024</w:t>
      </w:r>
      <w:r w:rsidR="004E3A80" w:rsidRPr="00B06E39">
        <w:t xml:space="preserve"> (</w:t>
      </w:r>
      <w:r w:rsidR="004860E8" w:rsidRPr="00B06E39">
        <w:t>July</w:t>
      </w:r>
      <w:r w:rsidR="004E3A80" w:rsidRPr="00B06E39">
        <w:t xml:space="preserve">), both of which were later than </w:t>
      </w:r>
      <w:r w:rsidR="005F4C9B" w:rsidRPr="00B06E39">
        <w:t>the peak observed in 2022</w:t>
      </w:r>
      <w:r w:rsidR="00187404">
        <w:t xml:space="preserve"> </w:t>
      </w:r>
      <w:r w:rsidR="003000C6">
        <w:t>(June)</w:t>
      </w:r>
      <w:r w:rsidR="00AE5DED">
        <w:t>,</w:t>
      </w:r>
      <w:r w:rsidR="003000C6">
        <w:t xml:space="preserve"> </w:t>
      </w:r>
      <w:r w:rsidR="00187404">
        <w:t xml:space="preserve">which began earlier than </w:t>
      </w:r>
      <w:r w:rsidR="0056243D">
        <w:t xml:space="preserve">observed in other </w:t>
      </w:r>
      <w:r w:rsidR="00640593">
        <w:t xml:space="preserve">recent </w:t>
      </w:r>
      <w:r w:rsidR="0056243D">
        <w:t>years</w:t>
      </w:r>
      <w:r w:rsidR="0004545E">
        <w:t xml:space="preserve">. In addition, the </w:t>
      </w:r>
      <w:r w:rsidR="000A4519">
        <w:t xml:space="preserve">number of influenza cases </w:t>
      </w:r>
      <w:r w:rsidR="008731C2">
        <w:t xml:space="preserve">per week </w:t>
      </w:r>
      <w:r w:rsidR="000A4519">
        <w:t xml:space="preserve">remained elevated for a </w:t>
      </w:r>
      <w:r w:rsidR="00E75D6C">
        <w:t>longer</w:t>
      </w:r>
      <w:r w:rsidR="000A4519">
        <w:t xml:space="preserve"> </w:t>
      </w:r>
      <w:proofErr w:type="gramStart"/>
      <w:r w:rsidR="000A4519">
        <w:t>period of time</w:t>
      </w:r>
      <w:proofErr w:type="gramEnd"/>
      <w:r w:rsidR="003677D5">
        <w:t xml:space="preserve"> </w:t>
      </w:r>
      <w:r w:rsidR="000A2A94">
        <w:t xml:space="preserve">in 2024 </w:t>
      </w:r>
      <w:r w:rsidR="003677D5">
        <w:t>compared to previous years</w:t>
      </w:r>
      <w:r w:rsidR="004E3A80" w:rsidRPr="00B06E39">
        <w:t xml:space="preserve"> </w:t>
      </w:r>
      <w:r w:rsidR="00C7253C" w:rsidRPr="00B06E39">
        <w:t>(</w:t>
      </w:r>
      <w:r w:rsidR="004A5F5E">
        <w:t>Figure 6</w:t>
      </w:r>
      <w:r w:rsidR="00C7253C" w:rsidRPr="00B06E39">
        <w:t xml:space="preserve">a; </w:t>
      </w:r>
      <w:r w:rsidR="004A5F5E">
        <w:t>Figure 6</w:t>
      </w:r>
      <w:r w:rsidR="00C7253C" w:rsidRPr="00B06E39">
        <w:t>b).</w:t>
      </w:r>
    </w:p>
    <w:p w14:paraId="616A4E92" w14:textId="6CBF8A96" w:rsidR="00C7253C" w:rsidRPr="00036BB4" w:rsidRDefault="00C7253C" w:rsidP="00091C20">
      <w:r w:rsidRPr="00036BB4">
        <w:t>In 2024, influenza notification rates were highest in children aged 0–4 years and 5–9 years (Table 2).</w:t>
      </w:r>
    </w:p>
    <w:p w14:paraId="47CEACB3" w14:textId="254A8E45" w:rsidR="00990D1A" w:rsidRDefault="003A04A6" w:rsidP="00091C20">
      <w:r w:rsidRPr="003A04A6">
        <w:t xml:space="preserve">In 2024, </w:t>
      </w:r>
      <w:r>
        <w:t>influenza</w:t>
      </w:r>
      <w:r w:rsidRPr="003A04A6">
        <w:t xml:space="preserve"> notification rates were highest in </w:t>
      </w:r>
      <w:r w:rsidR="005B1319">
        <w:t>NSW</w:t>
      </w:r>
      <w:r w:rsidRPr="003A04A6">
        <w:t xml:space="preserve"> (1,</w:t>
      </w:r>
      <w:r>
        <w:t>904</w:t>
      </w:r>
      <w:r w:rsidRPr="003A04A6">
        <w:t xml:space="preserve"> </w:t>
      </w:r>
      <w:r w:rsidR="00163A9A">
        <w:t>cases</w:t>
      </w:r>
      <w:r w:rsidR="00163A9A" w:rsidRPr="003A04A6">
        <w:t xml:space="preserve"> </w:t>
      </w:r>
      <w:r w:rsidRPr="003A04A6">
        <w:t xml:space="preserve">per 100,000 population), followed by </w:t>
      </w:r>
      <w:r w:rsidR="005B1319">
        <w:t>Qld</w:t>
      </w:r>
      <w:r w:rsidRPr="003A04A6">
        <w:t xml:space="preserve"> (1,</w:t>
      </w:r>
      <w:r>
        <w:t>428</w:t>
      </w:r>
      <w:r w:rsidRPr="003A04A6">
        <w:t xml:space="preserve"> </w:t>
      </w:r>
      <w:r w:rsidR="00163A9A">
        <w:t>cases</w:t>
      </w:r>
      <w:r w:rsidR="00163A9A" w:rsidRPr="003A04A6">
        <w:t xml:space="preserve"> </w:t>
      </w:r>
      <w:r w:rsidRPr="003A04A6">
        <w:t xml:space="preserve">per 100,000 population), and notification rates were lowest in </w:t>
      </w:r>
      <w:r w:rsidR="005B1319">
        <w:t>WA</w:t>
      </w:r>
      <w:r w:rsidRPr="003A04A6">
        <w:t xml:space="preserve"> (5</w:t>
      </w:r>
      <w:r w:rsidR="000570FA">
        <w:t>77</w:t>
      </w:r>
      <w:r w:rsidRPr="003A04A6">
        <w:t xml:space="preserve"> </w:t>
      </w:r>
      <w:r w:rsidR="00163A9A">
        <w:t>cases</w:t>
      </w:r>
      <w:r w:rsidR="00163A9A" w:rsidRPr="003A04A6">
        <w:t xml:space="preserve"> </w:t>
      </w:r>
      <w:r w:rsidRPr="003A04A6">
        <w:t>per 100,000 population) (Table 2).</w:t>
      </w:r>
      <w:r w:rsidR="00990D1A">
        <w:t xml:space="preserve"> </w:t>
      </w:r>
    </w:p>
    <w:p w14:paraId="2343F7E2" w14:textId="369416C9" w:rsidR="00247B58" w:rsidRPr="000E02DC" w:rsidRDefault="00FB058A" w:rsidP="000E02DC">
      <w:pPr>
        <w:rPr>
          <w:rStyle w:val="BodyTextChar"/>
        </w:rPr>
      </w:pPr>
      <w:r w:rsidRPr="002139CA">
        <w:t xml:space="preserve">In 2024, </w:t>
      </w:r>
      <w:r w:rsidR="00525F5A" w:rsidRPr="002139CA">
        <w:t xml:space="preserve">most jurisdictions </w:t>
      </w:r>
      <w:r w:rsidR="000E386F" w:rsidRPr="002139CA">
        <w:t>experienced consistent</w:t>
      </w:r>
      <w:r w:rsidR="00CB5A94" w:rsidRPr="002139CA">
        <w:t xml:space="preserve"> notification trends over time</w:t>
      </w:r>
      <w:r w:rsidR="000E386F" w:rsidRPr="002139CA">
        <w:t xml:space="preserve">; however, influenza notification </w:t>
      </w:r>
      <w:r w:rsidR="009C47DE">
        <w:t>rates</w:t>
      </w:r>
      <w:r w:rsidR="000E386F" w:rsidRPr="002139CA">
        <w:t xml:space="preserve"> in </w:t>
      </w:r>
      <w:r w:rsidR="005B1319">
        <w:t>NSW</w:t>
      </w:r>
      <w:r w:rsidR="00E3079B">
        <w:t xml:space="preserve"> and</w:t>
      </w:r>
      <w:r w:rsidR="000E386F" w:rsidRPr="002139CA">
        <w:t xml:space="preserve"> the </w:t>
      </w:r>
      <w:r w:rsidR="005B1319">
        <w:t>NT</w:t>
      </w:r>
      <w:r w:rsidR="000E386F" w:rsidRPr="002139CA">
        <w:t xml:space="preserve"> </w:t>
      </w:r>
      <w:r w:rsidR="002139CA" w:rsidRPr="002139CA">
        <w:t>differed</w:t>
      </w:r>
      <w:r w:rsidR="00FD6D0F">
        <w:t xml:space="preserve"> considerably</w:t>
      </w:r>
      <w:r w:rsidR="002139CA" w:rsidRPr="002139CA">
        <w:t xml:space="preserve"> from those in other jurisdictions </w:t>
      </w:r>
      <w:r w:rsidR="00C7253C" w:rsidRPr="002139CA">
        <w:t>(</w:t>
      </w:r>
      <w:r w:rsidR="004A5F5E">
        <w:t>Figure 7</w:t>
      </w:r>
      <w:r w:rsidR="00C7253C" w:rsidRPr="002139CA">
        <w:t>).</w:t>
      </w:r>
      <w:r w:rsidR="00AF6FB6">
        <w:t xml:space="preserve"> The </w:t>
      </w:r>
      <w:r w:rsidR="005B1319">
        <w:t>NT</w:t>
      </w:r>
      <w:r w:rsidR="00AF6FB6">
        <w:t xml:space="preserve"> </w:t>
      </w:r>
      <w:r w:rsidR="006D25AC">
        <w:t>experienced t</w:t>
      </w:r>
      <w:r w:rsidR="00216AA1">
        <w:t>wo distinct peaks</w:t>
      </w:r>
      <w:r w:rsidR="00827F94">
        <w:t xml:space="preserve"> in 2024</w:t>
      </w:r>
      <w:r w:rsidR="003803BC">
        <w:t>;</w:t>
      </w:r>
      <w:r w:rsidR="00827F94">
        <w:t xml:space="preserve"> the first prolonged peak occurred </w:t>
      </w:r>
      <w:r w:rsidR="003414C4">
        <w:t xml:space="preserve">from mid-April to mid-May </w:t>
      </w:r>
      <w:r w:rsidR="003A7C19">
        <w:t xml:space="preserve">at </w:t>
      </w:r>
      <w:r w:rsidR="00606FC1">
        <w:t>89</w:t>
      </w:r>
      <w:r w:rsidR="003A7C19">
        <w:t xml:space="preserve"> </w:t>
      </w:r>
      <w:r w:rsidR="00163A9A">
        <w:t xml:space="preserve">cases </w:t>
      </w:r>
      <w:r w:rsidR="003A7C19">
        <w:t>per week</w:t>
      </w:r>
      <w:r w:rsidR="006A3943">
        <w:t xml:space="preserve"> and the second, smaller peak occurred</w:t>
      </w:r>
      <w:r w:rsidR="00026FB9">
        <w:t xml:space="preserve"> in early September</w:t>
      </w:r>
      <w:r w:rsidR="00236A17">
        <w:t xml:space="preserve"> at </w:t>
      </w:r>
      <w:r w:rsidR="002F368F">
        <w:t>51</w:t>
      </w:r>
      <w:r w:rsidR="00236A17">
        <w:t xml:space="preserve"> </w:t>
      </w:r>
      <w:r w:rsidR="00163A9A">
        <w:t xml:space="preserve">cases </w:t>
      </w:r>
      <w:r w:rsidR="00236A17">
        <w:t>per week</w:t>
      </w:r>
      <w:r w:rsidR="00B73C77">
        <w:t xml:space="preserve">. </w:t>
      </w:r>
      <w:r w:rsidR="000770E0" w:rsidRPr="000770E0">
        <w:t>In tropical and subtropical regions</w:t>
      </w:r>
      <w:r w:rsidR="00D80839">
        <w:t xml:space="preserve">, like the </w:t>
      </w:r>
      <w:r w:rsidR="005B1319">
        <w:t>NT</w:t>
      </w:r>
      <w:r w:rsidR="000770E0" w:rsidRPr="000770E0">
        <w:t xml:space="preserve">, </w:t>
      </w:r>
      <w:r w:rsidR="007C0572">
        <w:t xml:space="preserve">it is not uncommon for </w:t>
      </w:r>
      <w:r w:rsidR="000770E0" w:rsidRPr="000770E0">
        <w:t xml:space="preserve">influenza seasonality </w:t>
      </w:r>
      <w:r w:rsidR="007C0572">
        <w:t>to be</w:t>
      </w:r>
      <w:r w:rsidR="000770E0" w:rsidRPr="000770E0">
        <w:t xml:space="preserve"> less distinct, with some </w:t>
      </w:r>
      <w:r w:rsidR="007C0572" w:rsidRPr="000770E0">
        <w:lastRenderedPageBreak/>
        <w:t>tropical and subtropical regions</w:t>
      </w:r>
      <w:r w:rsidR="007C0572">
        <w:t xml:space="preserve"> </w:t>
      </w:r>
      <w:r w:rsidR="000770E0" w:rsidRPr="000770E0">
        <w:t>experiencing year-round circulation, multiple peaks, or extended periods of activity</w:t>
      </w:r>
      <w:r w:rsidR="0068127D">
        <w:t>.</w:t>
      </w:r>
      <w:r w:rsidR="00F93C04">
        <w:fldChar w:fldCharType="begin"/>
      </w:r>
      <w:r w:rsidR="00C364E0">
        <w:instrText xml:space="preserve"> ADDIN EN.CITE &lt;EndNote&gt;&lt;Cite&gt;&lt;Author&gt;Lu&lt;/Author&gt;&lt;Year&gt;2025&lt;/Year&gt;&lt;RecNum&gt;2817&lt;/RecNum&gt;&lt;DisplayText&gt;&lt;style face="superscript"&gt;24&lt;/style&gt;&lt;/DisplayText&gt;&lt;record&gt;&lt;rec-number&gt;2817&lt;/rec-number&gt;&lt;foreign-keys&gt;&lt;key app="EN" db-id="ptaw2s0tmse5w0exvrh5d2vpdtxat2eaaazf" timestamp="1742520680"&gt;2817&lt;/key&gt;&lt;/foreign-keys&gt;&lt;ref-type name="Journal Article"&gt;17&lt;/ref-type&gt;&lt;contributors&gt;&lt;authors&gt;&lt;author&gt;Lu, Cynthia&lt;/author&gt;&lt;author&gt;Barr, Ian G.&lt;/author&gt;&lt;author&gt;Lambert, Stephen&lt;/author&gt;&lt;author&gt;Mengersen, Kerrie&lt;/author&gt;&lt;author&gt;Wang, Liping&lt;/author&gt;&lt;author&gt;Yang, Weizhong&lt;/author&gt;&lt;author&gt;Li, Zhongjie&lt;/author&gt;&lt;author&gt;Vardoulakis, Sotiris&lt;/author&gt;&lt;author&gt;Bambrick, Hilary&lt;/author&gt;&lt;author&gt;Hu, Wenbiao&lt;/author&gt;&lt;/authors&gt;&lt;/contributors&gt;&lt;titles&gt;&lt;title&gt;Shifts in seasonal influenza patterns in Australia during and after COVID-19: A comprehensive analysis&lt;/title&gt;&lt;secondary-title&gt;J Infect Public Health&lt;/secondary-title&gt;&lt;/titles&gt;&lt;periodical&gt;&lt;full-title&gt;J Infect Public Health&lt;/full-title&gt;&lt;/periodical&gt;&lt;pages&gt;102620&lt;/pages&gt;&lt;volume&gt;18&lt;/volume&gt;&lt;number&gt;1&lt;/number&gt;&lt;keywords&gt;&lt;keyword&gt;Seasonal influenza&lt;/keyword&gt;&lt;keyword&gt;Surveillance&lt;/keyword&gt;&lt;keyword&gt;Epidemic onset&lt;/keyword&gt;&lt;keyword&gt;Subtypes&lt;/keyword&gt;&lt;keyword&gt;COVID-19&lt;/keyword&gt;&lt;/keywords&gt;&lt;dates&gt;&lt;year&gt;2025&lt;/year&gt;&lt;pub-dates&gt;&lt;date&gt;2025/01/01/&lt;/date&gt;&lt;/pub-dates&gt;&lt;/dates&gt;&lt;isbn&gt;1876-0341&lt;/isbn&gt;&lt;urls&gt;&lt;related-urls&gt;&lt;url&gt;https://www.sciencedirect.com/science/article/pii/S187603412400354X&lt;/url&gt;&lt;/related-urls&gt;&lt;/urls&gt;&lt;electronic-resource-num&gt;doi: https://doi.org/10.1016/j.jiph.2024.102620&lt;/electronic-resource-num&gt;&lt;/record&gt;&lt;/Cite&gt;&lt;/EndNote&gt;</w:instrText>
      </w:r>
      <w:r w:rsidR="00F93C04">
        <w:fldChar w:fldCharType="separate"/>
      </w:r>
      <w:r w:rsidR="00E13203" w:rsidRPr="00E13203">
        <w:rPr>
          <w:noProof/>
          <w:vertAlign w:val="superscript"/>
        </w:rPr>
        <w:t>24</w:t>
      </w:r>
      <w:r w:rsidR="00F93C04">
        <w:fldChar w:fldCharType="end"/>
      </w:r>
      <w:r w:rsidR="003942E4">
        <w:t xml:space="preserve"> </w:t>
      </w:r>
      <w:r w:rsidR="00C2269C">
        <w:t>In contrast</w:t>
      </w:r>
      <w:r w:rsidR="003942E4">
        <w:t xml:space="preserve">, </w:t>
      </w:r>
      <w:r w:rsidR="005B1319">
        <w:t>NSW</w:t>
      </w:r>
      <w:r w:rsidR="0083473F">
        <w:t xml:space="preserve"> </w:t>
      </w:r>
      <w:r w:rsidR="008C276E">
        <w:t>experienced a rapid increase in notification</w:t>
      </w:r>
      <w:r w:rsidR="009C47DE">
        <w:t xml:space="preserve"> rate</w:t>
      </w:r>
      <w:r w:rsidR="008C276E">
        <w:t>s</w:t>
      </w:r>
      <w:r w:rsidR="00101B06">
        <w:t xml:space="preserve"> from late April</w:t>
      </w:r>
      <w:r w:rsidR="000D6DBE">
        <w:t xml:space="preserve"> to a single defined peak</w:t>
      </w:r>
      <w:r w:rsidR="00AA6DC2">
        <w:t xml:space="preserve"> that </w:t>
      </w:r>
      <w:r w:rsidR="002B6840">
        <w:t>occurred in mid-July</w:t>
      </w:r>
      <w:r w:rsidR="000D6DBE">
        <w:t xml:space="preserve"> at </w:t>
      </w:r>
      <w:r w:rsidR="00724C06">
        <w:t>209</w:t>
      </w:r>
      <w:r w:rsidR="000D6DBE">
        <w:t xml:space="preserve"> </w:t>
      </w:r>
      <w:r w:rsidR="00163A9A">
        <w:t>cases</w:t>
      </w:r>
      <w:r w:rsidR="000D6DBE">
        <w:t xml:space="preserve"> per </w:t>
      </w:r>
      <w:r w:rsidR="00783E0B">
        <w:t>week and</w:t>
      </w:r>
      <w:r w:rsidR="002B6840">
        <w:t xml:space="preserve"> was followed by </w:t>
      </w:r>
      <w:r w:rsidR="00C91747">
        <w:t>rapid decline in notifications</w:t>
      </w:r>
      <w:r w:rsidR="0083473F">
        <w:t>.</w:t>
      </w:r>
      <w:r w:rsidR="00101B06">
        <w:t xml:space="preserve"> </w:t>
      </w:r>
      <w:r w:rsidR="00783E0B">
        <w:t xml:space="preserve">Notification rates in other </w:t>
      </w:r>
      <w:r w:rsidR="00101B06">
        <w:t xml:space="preserve">jurisdictions </w:t>
      </w:r>
      <w:r w:rsidR="00783E0B">
        <w:t>generally began to increase in May</w:t>
      </w:r>
      <w:r w:rsidR="007A0CB6">
        <w:t xml:space="preserve">, with a peak in notification rates </w:t>
      </w:r>
      <w:r w:rsidR="00463D35">
        <w:t xml:space="preserve">that </w:t>
      </w:r>
      <w:r w:rsidR="007A0CB6">
        <w:t>occurred later</w:t>
      </w:r>
      <w:r w:rsidR="004B520C">
        <w:t xml:space="preserve"> (August)</w:t>
      </w:r>
      <w:r w:rsidR="007A0CB6">
        <w:t xml:space="preserve"> and</w:t>
      </w:r>
      <w:r w:rsidR="002C5AFE">
        <w:t xml:space="preserve"> </w:t>
      </w:r>
      <w:r w:rsidR="00463D35">
        <w:t xml:space="preserve">was </w:t>
      </w:r>
      <w:r w:rsidR="002C5AFE">
        <w:t xml:space="preserve">lower compared with </w:t>
      </w:r>
      <w:r w:rsidR="005B1319">
        <w:t>NSW</w:t>
      </w:r>
      <w:r w:rsidR="002C5AFE">
        <w:t xml:space="preserve"> </w:t>
      </w:r>
      <w:r w:rsidR="0083473F">
        <w:t>(</w:t>
      </w:r>
      <w:r w:rsidR="004A5F5E">
        <w:t>Figure 7</w:t>
      </w:r>
      <w:r w:rsidR="0083473F">
        <w:t xml:space="preserve">). </w:t>
      </w:r>
    </w:p>
    <w:p w14:paraId="4B70ED86" w14:textId="1B709F9F" w:rsidR="00E62A09" w:rsidRDefault="004A5F5E" w:rsidP="000E02DC">
      <w:pPr>
        <w:pStyle w:val="Caption"/>
      </w:pPr>
      <w:r>
        <w:t>Figure 7</w:t>
      </w:r>
      <w:r w:rsidR="00E62A09">
        <w:t>: Notification rates per 100,000 population for influenza cases by state or territory and week of diagnosis, Australia, January to</w:t>
      </w:r>
      <w:r w:rsidR="000A3D53">
        <w:t xml:space="preserve"> </w:t>
      </w:r>
      <w:r w:rsidR="00E62A09">
        <w:t>December 2024</w:t>
      </w:r>
    </w:p>
    <w:p w14:paraId="46551634" w14:textId="77777777" w:rsidR="00E62A09" w:rsidRDefault="00E62A09" w:rsidP="00E62A09">
      <w:pPr>
        <w:pStyle w:val="BodyText"/>
      </w:pPr>
      <w:r>
        <w:rPr>
          <w:noProof/>
        </w:rPr>
        <w:drawing>
          <wp:inline distT="0" distB="0" distL="0" distR="0" wp14:anchorId="7848B7DE" wp14:editId="5F115A05">
            <wp:extent cx="6184900" cy="2650671"/>
            <wp:effectExtent l="0" t="0" r="0" b="0"/>
            <wp:docPr id="630776996" name="Picture"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wp:cNvGraphicFramePr/>
            <a:graphic xmlns:a="http://schemas.openxmlformats.org/drawingml/2006/main">
              <a:graphicData uri="http://schemas.openxmlformats.org/drawingml/2006/picture">
                <pic:pic xmlns:pic="http://schemas.openxmlformats.org/drawingml/2006/picture">
                  <pic:nvPicPr>
                    <pic:cNvPr id="630776996" name="Picture"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86D" w14:textId="54237C80" w:rsidR="00A715E6" w:rsidRDefault="00E62A09" w:rsidP="000E02DC">
      <w:pPr>
        <w:pStyle w:val="Smalltext"/>
      </w:pPr>
      <w:r>
        <w:t xml:space="preserve">Source: </w:t>
      </w:r>
      <w:proofErr w:type="gramStart"/>
      <w:r w:rsidR="00C23A60" w:rsidRPr="00132D56">
        <w:t>National Notifiable Diseases Surveillance System (NNDSS)</w:t>
      </w:r>
      <w:r w:rsidR="00C23A60" w:rsidRPr="00C23A60">
        <w:t>,</w:t>
      </w:r>
      <w:proofErr w:type="gramEnd"/>
      <w:r w:rsidR="00C23A60" w:rsidRPr="00C23A60">
        <w:t xml:space="preserve"> extracted 5 March 2025</w:t>
      </w:r>
      <w:r w:rsidR="00CE256D">
        <w:t>.</w:t>
      </w:r>
    </w:p>
    <w:p w14:paraId="64FDA61D" w14:textId="2BBABF0D" w:rsidR="00E93D4D" w:rsidRDefault="0019761A" w:rsidP="00C05A6F">
      <w:r>
        <w:t xml:space="preserve">In 2024, </w:t>
      </w:r>
      <w:r w:rsidR="005E35C5" w:rsidRPr="005E35C5">
        <w:t>most</w:t>
      </w:r>
      <w:r w:rsidR="000F5C17">
        <w:t xml:space="preserve"> (</w:t>
      </w:r>
      <w:r w:rsidR="000F5C17" w:rsidRPr="005E35C5">
        <w:t>92.8%</w:t>
      </w:r>
      <w:r w:rsidR="000F5C17">
        <w:t>)</w:t>
      </w:r>
      <w:r w:rsidR="005E35C5" w:rsidRPr="005E35C5">
        <w:t xml:space="preserve"> influenza </w:t>
      </w:r>
      <w:r w:rsidR="00163A9A">
        <w:t>cases</w:t>
      </w:r>
      <w:r w:rsidR="00163A9A" w:rsidRPr="005E35C5">
        <w:t xml:space="preserve"> </w:t>
      </w:r>
      <w:r w:rsidR="005E35C5" w:rsidRPr="005E35C5">
        <w:t>were influenza A(</w:t>
      </w:r>
      <w:proofErr w:type="spellStart"/>
      <w:r w:rsidR="005E35C5" w:rsidRPr="005E35C5">
        <w:t>Unsubtyped</w:t>
      </w:r>
      <w:proofErr w:type="spellEnd"/>
      <w:r w:rsidR="005E35C5" w:rsidRPr="005E35C5">
        <w:t>)</w:t>
      </w:r>
      <w:r w:rsidR="00756E88">
        <w:t xml:space="preserve">, </w:t>
      </w:r>
      <w:r w:rsidR="00795A26">
        <w:t xml:space="preserve">while </w:t>
      </w:r>
      <w:r>
        <w:t>4.0% were influenza B, 2.1% were influenza A(H3N2)</w:t>
      </w:r>
      <w:r w:rsidR="00795A26">
        <w:t xml:space="preserve">, </w:t>
      </w:r>
      <w:r>
        <w:t>1.1% were influenza A(H1N1)</w:t>
      </w:r>
      <w:r w:rsidR="00795A26">
        <w:t xml:space="preserve"> and th</w:t>
      </w:r>
      <w:r>
        <w:t>ere were 130 influenza A&amp;B co-detections (</w:t>
      </w:r>
      <w:r w:rsidR="000F5C17">
        <w:t>Table 3</w:t>
      </w:r>
      <w:r>
        <w:t>).</w:t>
      </w:r>
      <w:r w:rsidR="00C05A6F">
        <w:t xml:space="preserve"> </w:t>
      </w:r>
      <w:r w:rsidR="00BB7936">
        <w:t xml:space="preserve">In 2024, </w:t>
      </w:r>
      <w:r w:rsidR="008035BB">
        <w:t>there w</w:t>
      </w:r>
      <w:r w:rsidR="00DE55E2">
        <w:t xml:space="preserve">ere a higher proportion of </w:t>
      </w:r>
      <w:r w:rsidR="001B05EE">
        <w:t xml:space="preserve">influenza </w:t>
      </w:r>
      <w:r w:rsidR="008A32DC" w:rsidRPr="008A32DC">
        <w:t>A(H3N2)</w:t>
      </w:r>
      <w:r w:rsidR="007D38C9">
        <w:t xml:space="preserve"> </w:t>
      </w:r>
      <w:r w:rsidR="00163A9A">
        <w:t xml:space="preserve">cases </w:t>
      </w:r>
      <w:r w:rsidR="000C35E9">
        <w:t xml:space="preserve">(2.1%) </w:t>
      </w:r>
      <w:r w:rsidR="00636B0D">
        <w:t xml:space="preserve">than influenza </w:t>
      </w:r>
      <w:r w:rsidR="00636B0D" w:rsidRPr="008A32DC">
        <w:t>A(H</w:t>
      </w:r>
      <w:r w:rsidR="00636B0D">
        <w:t>1</w:t>
      </w:r>
      <w:r w:rsidR="00636B0D" w:rsidRPr="008A32DC">
        <w:t>N</w:t>
      </w:r>
      <w:r w:rsidR="00636B0D">
        <w:t>1</w:t>
      </w:r>
      <w:r w:rsidR="00636B0D" w:rsidRPr="008A32DC">
        <w:t>)</w:t>
      </w:r>
      <w:r w:rsidR="00252903">
        <w:t xml:space="preserve"> </w:t>
      </w:r>
      <w:r w:rsidR="00163A9A">
        <w:t xml:space="preserve">cases </w:t>
      </w:r>
      <w:r w:rsidR="00252903">
        <w:t>(</w:t>
      </w:r>
      <w:r w:rsidR="00762667">
        <w:t>1.1%</w:t>
      </w:r>
      <w:r w:rsidR="00252903">
        <w:t>)</w:t>
      </w:r>
      <w:r w:rsidR="009F2FD3">
        <w:t>,</w:t>
      </w:r>
      <w:r w:rsidR="00762667">
        <w:t xml:space="preserve"> whereas the opposite trend occurred in </w:t>
      </w:r>
      <w:r w:rsidR="00926F26">
        <w:t>2023</w:t>
      </w:r>
      <w:r w:rsidR="00471B5A">
        <w:t xml:space="preserve">. In contrast, </w:t>
      </w:r>
      <w:r w:rsidR="00B90C6B">
        <w:t xml:space="preserve">there were </w:t>
      </w:r>
      <w:r w:rsidR="00762667">
        <w:t>a</w:t>
      </w:r>
      <w:r w:rsidR="000C35E9">
        <w:t xml:space="preserve"> considerably l</w:t>
      </w:r>
      <w:r w:rsidR="00762667">
        <w:t>ower proportion of</w:t>
      </w:r>
      <w:r w:rsidR="00113954">
        <w:t xml:space="preserve"> influenza B </w:t>
      </w:r>
      <w:r w:rsidR="00163A9A">
        <w:t xml:space="preserve">cases </w:t>
      </w:r>
      <w:r w:rsidR="00113954">
        <w:t xml:space="preserve">(4.0%) </w:t>
      </w:r>
      <w:r w:rsidR="00B90C6B">
        <w:t>in 2024, compared with 2023 (</w:t>
      </w:r>
      <w:r w:rsidR="001A4DB7">
        <w:t>35.9%</w:t>
      </w:r>
      <w:r w:rsidR="00B90C6B">
        <w:t>) (Table 3).</w:t>
      </w:r>
    </w:p>
    <w:p w14:paraId="16A31871" w14:textId="63E66BB9" w:rsidR="00A715E6" w:rsidRDefault="0019761A" w:rsidP="000E02DC">
      <w:pPr>
        <w:pStyle w:val="Caption"/>
      </w:pPr>
      <w:r>
        <w:t xml:space="preserve">Table 3: Notified influenza cases by influenza subtype and diagnosis year, Australia, </w:t>
      </w:r>
      <w:r w:rsidR="00A2391B">
        <w:t xml:space="preserve">1 </w:t>
      </w:r>
      <w:r w:rsidR="00D37EA6">
        <w:t xml:space="preserve">January 2022 to </w:t>
      </w:r>
      <w:r w:rsidR="00A2391B">
        <w:t xml:space="preserve">31 </w:t>
      </w:r>
      <w:r w:rsidR="00D37EA6">
        <w:t>December 2024</w:t>
      </w:r>
    </w:p>
    <w:tbl>
      <w:tblPr>
        <w:tblW w:w="5000" w:type="pct"/>
        <w:jc w:val="center"/>
        <w:tblLook w:val="0420" w:firstRow="1" w:lastRow="0" w:firstColumn="0" w:lastColumn="0" w:noHBand="0" w:noVBand="1"/>
        <w:tblDescription w:val="A table summarising the number of notified influenza cases and proportion of influenza subtypes reported to the NNDSS by diagnosis year from 3 January 2022 to 31 December 2024. Influenza sub-types reported include influenza A(H1N1), influenza A(H3N2), influenza A(Unsubtyped), influenza A&amp;B, influenza B and influenza untyped. In 2022, there were 233,455 influenza cases; 79.9% (186,453/233,455) were influenza A(Unsubtyped), 14.5% (33,824/233,455) were untyped, 4.0% (9,369/233,455) were influenza A(H3N2), 1.0% (2,256/233,455) were influenza A(H1N1), 0.6% (1,303/233,455) were influenza B, and 0.1% (250/233,455) were influenza A and B co-detections. In 2023, there were 289,154 influenza cases; 59.8% (172,828/289,154) were influenza A(Unsubtyped), 35.9% (103,707/289,154) were influenza B, 2.5% (7,169/289,154) were influenza A(H1N1), 0.8% (2,239/289,154) were influenza A(H3N2), 0.6% (1,848/289,154) were untyped, and 0.5% (1,363/289,154) were influenza A and B co-detections. In 2024, there were 365,589 influenza cases; 92.8% (339,147/365,589) were influenza A(Unsubtyped), 4.0% (14,520/365,589) were influenza B, 2.1% (7,652/365,589) were influenza A(H3N2), 1.1% (4,016/365,589) were influenza A(H1N1), &lt;0.05% (130/365,589) were influenza A and B co-detections and &lt;0.05% (124/365,589) were untyped."/>
      </w:tblPr>
      <w:tblGrid>
        <w:gridCol w:w="2537"/>
        <w:gridCol w:w="2405"/>
        <w:gridCol w:w="2405"/>
        <w:gridCol w:w="2405"/>
      </w:tblGrid>
      <w:tr w:rsidR="00A715E6" w14:paraId="16A3187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2" w14:textId="3A0FFFCB" w:rsidR="00A715E6" w:rsidRDefault="00A807D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Influenza s</w:t>
            </w:r>
            <w:r w:rsidR="0019761A">
              <w:rPr>
                <w:rFonts w:eastAsia="Arial" w:cs="Arial"/>
                <w:b/>
                <w:color w:val="033636"/>
                <w:sz w:val="18"/>
                <w:szCs w:val="18"/>
              </w:rPr>
              <w:t>ubtype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3"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4"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875" w14:textId="77777777" w:rsidR="00A715E6" w:rsidRDefault="0019761A" w:rsidP="005F65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2024</w:t>
            </w:r>
          </w:p>
        </w:tc>
      </w:tr>
      <w:tr w:rsidR="00A715E6" w14:paraId="16A318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2,256 (1.0%)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7,169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4,016 (1.1%)</w:t>
            </w:r>
          </w:p>
        </w:tc>
      </w:tr>
      <w:tr w:rsidR="00A715E6" w14:paraId="16A318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9,369 (4.0%)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2,239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7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7,652 (2.1%)</w:t>
            </w:r>
          </w:p>
        </w:tc>
      </w:tr>
      <w:tr w:rsidR="00A715E6" w14:paraId="16A318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w:t>
            </w:r>
            <w:proofErr w:type="spellStart"/>
            <w:r>
              <w:rPr>
                <w:rFonts w:eastAsia="Arial" w:cs="Arial"/>
                <w:color w:val="033636"/>
                <w:sz w:val="18"/>
                <w:szCs w:val="18"/>
              </w:rPr>
              <w:t>Unsubtyped</w:t>
            </w:r>
            <w:proofErr w:type="spellEnd"/>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186,453 (79.9%)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172,828 (59.8%)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339,147 (92.8%)</w:t>
            </w:r>
          </w:p>
        </w:tc>
      </w:tr>
      <w:tr w:rsidR="00A715E6" w14:paraId="16A318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A&amp;B</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1,363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9" w14:textId="67813211"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130 (</w:t>
            </w:r>
            <w:r w:rsidR="00D321A5">
              <w:rPr>
                <w:rFonts w:eastAsia="Arial" w:cs="Arial"/>
                <w:color w:val="033636"/>
                <w:sz w:val="18"/>
                <w:szCs w:val="18"/>
              </w:rPr>
              <w:t>&lt;0.05%</w:t>
            </w:r>
            <w:r>
              <w:rPr>
                <w:rFonts w:eastAsia="Arial" w:cs="Arial"/>
                <w:color w:val="033636"/>
                <w:sz w:val="18"/>
                <w:szCs w:val="18"/>
              </w:rPr>
              <w:t>)</w:t>
            </w:r>
          </w:p>
        </w:tc>
      </w:tr>
      <w:tr w:rsidR="00A715E6" w14:paraId="16A318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1,303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103,707 (35.9%)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8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14,520 (4.0%)</w:t>
            </w:r>
          </w:p>
        </w:tc>
      </w:tr>
      <w:tr w:rsidR="00A715E6" w14:paraId="16A318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Untyped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33,824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1,848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3" w14:textId="62DC20FF"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124 (</w:t>
            </w:r>
            <w:r w:rsidR="00F613C8">
              <w:rPr>
                <w:rFonts w:eastAsia="Arial" w:cs="Arial"/>
                <w:color w:val="033636"/>
                <w:sz w:val="18"/>
                <w:szCs w:val="18"/>
              </w:rPr>
              <w:t>&lt;</w:t>
            </w:r>
            <w:r>
              <w:rPr>
                <w:rFonts w:eastAsia="Arial" w:cs="Arial"/>
                <w:color w:val="033636"/>
                <w:sz w:val="18"/>
                <w:szCs w:val="18"/>
              </w:rPr>
              <w:t>0.0</w:t>
            </w:r>
            <w:r w:rsidR="00D321A5">
              <w:rPr>
                <w:rFonts w:eastAsia="Arial" w:cs="Arial"/>
                <w:color w:val="033636"/>
                <w:sz w:val="18"/>
                <w:szCs w:val="18"/>
              </w:rPr>
              <w:t>5</w:t>
            </w:r>
            <w:r>
              <w:rPr>
                <w:rFonts w:eastAsia="Arial" w:cs="Arial"/>
                <w:color w:val="033636"/>
                <w:sz w:val="18"/>
                <w:szCs w:val="18"/>
              </w:rPr>
              <w:t>%)</w:t>
            </w:r>
          </w:p>
        </w:tc>
      </w:tr>
      <w:tr w:rsidR="00A715E6" w14:paraId="16A318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233,455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289,154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89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365,589 (100.0%)</w:t>
            </w:r>
          </w:p>
        </w:tc>
      </w:tr>
    </w:tbl>
    <w:p w14:paraId="16A3189A" w14:textId="706C2D10" w:rsidR="00A715E6" w:rsidRDefault="001A4DB7" w:rsidP="001A4DB7">
      <w:pPr>
        <w:pStyle w:val="BodyText"/>
        <w:spacing w:after="0"/>
      </w:pPr>
      <w:r w:rsidRPr="001A4DB7">
        <w:rPr>
          <w:sz w:val="14"/>
        </w:rPr>
        <w:t xml:space="preserve">Source: </w:t>
      </w:r>
      <w:proofErr w:type="gramStart"/>
      <w:r w:rsidR="00C23A60" w:rsidRPr="00132D56">
        <w:rPr>
          <w:sz w:val="14"/>
          <w:szCs w:val="18"/>
        </w:rPr>
        <w:t>National Notifiable Diseases Surveillance System (NNDSS)</w:t>
      </w:r>
      <w:r w:rsidR="00C23A60" w:rsidRPr="00C23A60">
        <w:rPr>
          <w:sz w:val="14"/>
          <w:szCs w:val="18"/>
        </w:rPr>
        <w:t>,</w:t>
      </w:r>
      <w:proofErr w:type="gramEnd"/>
      <w:r w:rsidR="00C23A60" w:rsidRPr="00C23A60">
        <w:rPr>
          <w:sz w:val="14"/>
          <w:szCs w:val="18"/>
        </w:rPr>
        <w:t xml:space="preserve"> extracted 5 March 2025</w:t>
      </w:r>
      <w:r w:rsidR="00CE256D">
        <w:rPr>
          <w:sz w:val="14"/>
          <w:szCs w:val="18"/>
        </w:rPr>
        <w:t>.</w:t>
      </w:r>
    </w:p>
    <w:p w14:paraId="3D983446" w14:textId="22CEC0FF" w:rsidR="00766E84" w:rsidRDefault="00465E10" w:rsidP="00287775">
      <w:pPr>
        <w:pStyle w:val="BodyText"/>
      </w:pPr>
      <w:r>
        <w:t>In 2024, across all jurisdictions</w:t>
      </w:r>
      <w:r w:rsidR="004445B0">
        <w:t xml:space="preserve"> </w:t>
      </w:r>
      <w:r w:rsidR="004445B0" w:rsidRPr="000B716E">
        <w:t>influenza A(</w:t>
      </w:r>
      <w:proofErr w:type="spellStart"/>
      <w:r w:rsidR="004445B0" w:rsidRPr="000B716E">
        <w:t>Unsubtyped</w:t>
      </w:r>
      <w:proofErr w:type="spellEnd"/>
      <w:r w:rsidR="004445B0" w:rsidRPr="000B716E">
        <w:t>)</w:t>
      </w:r>
      <w:r w:rsidR="00187B7C">
        <w:t xml:space="preserve"> accounted for </w:t>
      </w:r>
      <w:proofErr w:type="gramStart"/>
      <w:r w:rsidR="00187B7C">
        <w:t>the majority of</w:t>
      </w:r>
      <w:proofErr w:type="gramEnd"/>
      <w:r w:rsidR="00187B7C">
        <w:t xml:space="preserve"> </w:t>
      </w:r>
      <w:r w:rsidR="002B67ED">
        <w:t>notified cases</w:t>
      </w:r>
      <w:r w:rsidR="00187B7C">
        <w:t>.</w:t>
      </w:r>
      <w:r w:rsidR="006E6918">
        <w:t xml:space="preserve"> A</w:t>
      </w:r>
      <w:r w:rsidR="006E6918" w:rsidRPr="006E6918">
        <w:t>fter influenza A(</w:t>
      </w:r>
      <w:proofErr w:type="spellStart"/>
      <w:r w:rsidR="006E6918" w:rsidRPr="006E6918">
        <w:t>Unsubtyped</w:t>
      </w:r>
      <w:proofErr w:type="spellEnd"/>
      <w:r w:rsidR="006E6918" w:rsidRPr="006E6918">
        <w:t xml:space="preserve">), influenza B accounted for the highest proportion of influenza </w:t>
      </w:r>
      <w:r w:rsidR="002B67ED">
        <w:t>cases</w:t>
      </w:r>
      <w:r w:rsidR="006E6918">
        <w:t xml:space="preserve"> in the </w:t>
      </w:r>
      <w:r w:rsidR="005B1319">
        <w:t>ACT</w:t>
      </w:r>
      <w:r w:rsidR="0052752D">
        <w:t xml:space="preserve"> (1.</w:t>
      </w:r>
      <w:r w:rsidR="00ED7A17">
        <w:t>9</w:t>
      </w:r>
      <w:r w:rsidR="0052752D">
        <w:t xml:space="preserve">%; </w:t>
      </w:r>
      <w:r w:rsidR="00ED7A17">
        <w:t>92/4,837</w:t>
      </w:r>
      <w:r w:rsidR="0052752D">
        <w:t>)</w:t>
      </w:r>
      <w:r w:rsidR="006E6918">
        <w:t xml:space="preserve">, </w:t>
      </w:r>
      <w:r w:rsidR="005B1319">
        <w:t>NSW</w:t>
      </w:r>
      <w:r w:rsidR="00ED7A17">
        <w:t xml:space="preserve"> (</w:t>
      </w:r>
      <w:r w:rsidR="00A64E96">
        <w:t xml:space="preserve">3.1%; </w:t>
      </w:r>
      <w:r w:rsidR="00A64E96" w:rsidRPr="00A64E96">
        <w:t>5,087</w:t>
      </w:r>
      <w:r w:rsidR="00A64E96">
        <w:t>/</w:t>
      </w:r>
      <w:r w:rsidR="00A64E96" w:rsidRPr="00A64E96">
        <w:t>161,534</w:t>
      </w:r>
      <w:r w:rsidR="00ED7A17">
        <w:t>)</w:t>
      </w:r>
      <w:r w:rsidR="00EF5303">
        <w:t xml:space="preserve">, </w:t>
      </w:r>
      <w:r w:rsidR="005B1319">
        <w:t>SA</w:t>
      </w:r>
      <w:r w:rsidR="001345AA">
        <w:t xml:space="preserve"> (</w:t>
      </w:r>
      <w:r w:rsidR="001345AA" w:rsidRPr="000D2714">
        <w:t>10.5%</w:t>
      </w:r>
      <w:r w:rsidR="001345AA">
        <w:t xml:space="preserve">; </w:t>
      </w:r>
      <w:r w:rsidR="001345AA" w:rsidRPr="00BD27AA">
        <w:t>2,393</w:t>
      </w:r>
      <w:r w:rsidR="001345AA">
        <w:t>/</w:t>
      </w:r>
      <w:r w:rsidR="001345AA" w:rsidRPr="004169B4">
        <w:t>22,762</w:t>
      </w:r>
      <w:r w:rsidR="001345AA">
        <w:t>)</w:t>
      </w:r>
      <w:r w:rsidR="00F33CF4">
        <w:t xml:space="preserve"> and </w:t>
      </w:r>
      <w:r w:rsidR="005B1319">
        <w:t>Vic.</w:t>
      </w:r>
      <w:r w:rsidR="00C52DE0">
        <w:t xml:space="preserve"> (5.5%; </w:t>
      </w:r>
      <w:r w:rsidR="00C52DE0" w:rsidRPr="00C52DE0">
        <w:t>3,976</w:t>
      </w:r>
      <w:r w:rsidR="00C52DE0">
        <w:t>/</w:t>
      </w:r>
      <w:r w:rsidR="00C433B4" w:rsidRPr="00C433B4">
        <w:t>72,174</w:t>
      </w:r>
      <w:r w:rsidR="00C52DE0">
        <w:t>)</w:t>
      </w:r>
      <w:r w:rsidR="00F33CF4">
        <w:t>.</w:t>
      </w:r>
      <w:r w:rsidR="00C54861">
        <w:t xml:space="preserve"> </w:t>
      </w:r>
      <w:r w:rsidR="00C54861" w:rsidRPr="00C54861">
        <w:t>In contrast, after influenza A(</w:t>
      </w:r>
      <w:proofErr w:type="spellStart"/>
      <w:r w:rsidR="00C54861" w:rsidRPr="00C54861">
        <w:t>Unsubtyped</w:t>
      </w:r>
      <w:proofErr w:type="spellEnd"/>
      <w:r w:rsidR="00C54861" w:rsidRPr="00C54861">
        <w:t xml:space="preserve">), influenza A(H3N2) accounted </w:t>
      </w:r>
      <w:r w:rsidR="007F61A5" w:rsidRPr="006E6918">
        <w:t xml:space="preserve">the highest proportion of influenza </w:t>
      </w:r>
      <w:r w:rsidR="002B67ED">
        <w:t>cases</w:t>
      </w:r>
      <w:r w:rsidR="00C54861" w:rsidRPr="00C54861">
        <w:t xml:space="preserve"> in </w:t>
      </w:r>
      <w:r w:rsidR="005B1319">
        <w:t>Qld</w:t>
      </w:r>
      <w:r w:rsidR="006B2F5E">
        <w:t xml:space="preserve"> (2.8%; </w:t>
      </w:r>
      <w:r w:rsidR="006B2F5E" w:rsidRPr="006B2F5E">
        <w:t>2,244</w:t>
      </w:r>
      <w:r w:rsidR="006B2F5E">
        <w:t>/</w:t>
      </w:r>
      <w:r w:rsidR="00821E93" w:rsidRPr="00821E93">
        <w:t>79,798</w:t>
      </w:r>
      <w:r w:rsidR="006B2F5E">
        <w:t>)</w:t>
      </w:r>
      <w:r w:rsidR="00F8014B">
        <w:t xml:space="preserve">, </w:t>
      </w:r>
      <w:r w:rsidR="005B1319">
        <w:t>Tas.</w:t>
      </w:r>
      <w:r w:rsidR="00752F91">
        <w:t xml:space="preserve"> (7.7%; </w:t>
      </w:r>
      <w:r w:rsidR="00752F91" w:rsidRPr="00752F91">
        <w:t>312</w:t>
      </w:r>
      <w:r w:rsidR="00752F91">
        <w:t>/</w:t>
      </w:r>
      <w:r w:rsidR="00A97DE6" w:rsidRPr="00A97DE6">
        <w:t>4,072</w:t>
      </w:r>
      <w:r w:rsidR="00752F91">
        <w:t>)</w:t>
      </w:r>
      <w:r w:rsidR="00F8014B">
        <w:t xml:space="preserve"> and </w:t>
      </w:r>
      <w:r w:rsidR="005B1319">
        <w:t>WA</w:t>
      </w:r>
      <w:r w:rsidR="001345AA">
        <w:t xml:space="preserve"> (16.1%; </w:t>
      </w:r>
      <w:r w:rsidR="001345AA" w:rsidRPr="00E73D20">
        <w:t>2,748</w:t>
      </w:r>
      <w:r w:rsidR="001345AA">
        <w:t>/</w:t>
      </w:r>
      <w:r w:rsidR="001345AA" w:rsidRPr="00234FDA">
        <w:t>17,109</w:t>
      </w:r>
      <w:r w:rsidR="001345AA">
        <w:t>)</w:t>
      </w:r>
      <w:r w:rsidR="009D7995">
        <w:t xml:space="preserve">. </w:t>
      </w:r>
      <w:r w:rsidR="005C2902">
        <w:t xml:space="preserve">While </w:t>
      </w:r>
      <w:r w:rsidR="00937085">
        <w:t xml:space="preserve">in the </w:t>
      </w:r>
      <w:r w:rsidR="005B1319">
        <w:t>NT</w:t>
      </w:r>
      <w:r w:rsidR="005C2902">
        <w:t xml:space="preserve"> the proportion of </w:t>
      </w:r>
      <w:r w:rsidR="005C2902" w:rsidRPr="002A3C29">
        <w:t>influenza A(H3N2)</w:t>
      </w:r>
      <w:r w:rsidR="005C2902">
        <w:t xml:space="preserve">, </w:t>
      </w:r>
      <w:r w:rsidR="005C2902" w:rsidRPr="002A3C29">
        <w:t xml:space="preserve">influenza A(H1N1) </w:t>
      </w:r>
      <w:r w:rsidR="005C2902">
        <w:t xml:space="preserve">and influenza B </w:t>
      </w:r>
      <w:r w:rsidR="005C2902" w:rsidRPr="002A3C29">
        <w:t xml:space="preserve">subtypes </w:t>
      </w:r>
      <w:r w:rsidR="005C2902">
        <w:t xml:space="preserve">were low and approximately </w:t>
      </w:r>
      <w:r w:rsidR="005C2902">
        <w:lastRenderedPageBreak/>
        <w:t>equal</w:t>
      </w:r>
      <w:r w:rsidR="001345AA">
        <w:t xml:space="preserve"> (Figure 8)</w:t>
      </w:r>
      <w:r w:rsidR="005C2902">
        <w:t>.</w:t>
      </w:r>
      <w:r w:rsidR="00287775">
        <w:t xml:space="preserve"> </w:t>
      </w:r>
      <w:r w:rsidR="00766E84">
        <w:t>Trends in influenza subtype</w:t>
      </w:r>
      <w:r w:rsidR="002B67ED">
        <w:t>s</w:t>
      </w:r>
      <w:r w:rsidR="00766E84">
        <w:t xml:space="preserve"> should be interpreted with caution as </w:t>
      </w:r>
      <w:r w:rsidR="00137AA5">
        <w:t xml:space="preserve">there are </w:t>
      </w:r>
      <w:r w:rsidR="00814A30">
        <w:t xml:space="preserve">jurisdictional </w:t>
      </w:r>
      <w:r w:rsidR="00766E84" w:rsidRPr="00766E84">
        <w:t xml:space="preserve">differences in the proportion and selection of </w:t>
      </w:r>
      <w:r w:rsidR="00137AA5">
        <w:t xml:space="preserve">influenza </w:t>
      </w:r>
      <w:r w:rsidR="00766E84" w:rsidRPr="00766E84">
        <w:t>samples that undergo typing</w:t>
      </w:r>
      <w:r w:rsidR="00814A30">
        <w:t>.</w:t>
      </w:r>
    </w:p>
    <w:p w14:paraId="16A318ED" w14:textId="361AE65A" w:rsidR="00A715E6" w:rsidRDefault="004A5F5E" w:rsidP="000E02DC">
      <w:pPr>
        <w:pStyle w:val="Caption"/>
      </w:pPr>
      <w:r>
        <w:t>Figure 8</w:t>
      </w:r>
      <w:r w:rsidR="0019761A">
        <w:t>: Notified influenza cases by influenza subtype, jurisdiction*, and week of diagnosis, Australia, January to</w:t>
      </w:r>
      <w:r w:rsidR="00CE585D" w:rsidRPr="00CE585D">
        <w:rPr>
          <w:noProof/>
        </w:rPr>
        <w:t xml:space="preserve"> </w:t>
      </w:r>
      <w:r w:rsidR="00CE585D">
        <w:t>December 2024</w:t>
      </w:r>
      <w:r w:rsidR="0019761A">
        <w:t xml:space="preserve"> </w:t>
      </w:r>
    </w:p>
    <w:p w14:paraId="11FB0867" w14:textId="429C7936" w:rsidR="0099374F" w:rsidRDefault="008D0FD1" w:rsidP="000E02DC">
      <w:pPr>
        <w:pStyle w:val="Smalltext"/>
      </w:pPr>
      <w:r>
        <w:rPr>
          <w:noProof/>
        </w:rPr>
        <w:drawing>
          <wp:inline distT="0" distB="0" distL="0" distR="0" wp14:anchorId="07E2DD05" wp14:editId="05761AE8">
            <wp:extent cx="6184900" cy="7068457"/>
            <wp:effectExtent l="0" t="0" r="0" b="0"/>
            <wp:docPr id="49" name="Picture"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wp:cNvGraphicFramePr/>
            <a:graphic xmlns:a="http://schemas.openxmlformats.org/drawingml/2006/main">
              <a:graphicData uri="http://schemas.openxmlformats.org/drawingml/2006/picture">
                <pic:pic xmlns:pic="http://schemas.openxmlformats.org/drawingml/2006/picture">
                  <pic:nvPicPr>
                    <pic:cNvPr id="49" name="Picture"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16A318F0" w14:textId="18D86A66" w:rsidR="00A715E6" w:rsidRDefault="0019761A" w:rsidP="000E02DC">
      <w:pPr>
        <w:pStyle w:val="Smalltext"/>
      </w:pPr>
      <w:r>
        <w:t xml:space="preserve">Source: </w:t>
      </w:r>
      <w:r w:rsidR="00C23A60" w:rsidRPr="00132D56">
        <w:t>National Notifiable Diseases Surveillance System (NNDSS)</w:t>
      </w:r>
      <w:r w:rsidR="00C23A60" w:rsidRPr="00C23A60">
        <w:t>, extracted 5 March 2025</w:t>
      </w:r>
      <w:r w:rsidR="00CE256D">
        <w:t>.</w:t>
      </w:r>
      <w:r>
        <w:br/>
        <w:t>* Axis varies between jurisdictions.</w:t>
      </w:r>
      <w:r>
        <w:br w:type="page"/>
      </w:r>
    </w:p>
    <w:p w14:paraId="18C073C0" w14:textId="06C381D4" w:rsidR="00811C00" w:rsidRPr="00811C00" w:rsidRDefault="00811C00" w:rsidP="00366C54">
      <w:r w:rsidRPr="00811C00">
        <w:lastRenderedPageBreak/>
        <w:t xml:space="preserve">In 2024, there were </w:t>
      </w:r>
      <w:r w:rsidR="002265DD" w:rsidRPr="002265DD">
        <w:t>175,918</w:t>
      </w:r>
      <w:r w:rsidRPr="002265DD">
        <w:t xml:space="preserve"> RSV </w:t>
      </w:r>
      <w:r w:rsidR="005E4086">
        <w:t>cases</w:t>
      </w:r>
      <w:r w:rsidRPr="0023103E">
        <w:t xml:space="preserve">, which is </w:t>
      </w:r>
      <w:r w:rsidR="00CE7E86" w:rsidRPr="0023103E">
        <w:t>37</w:t>
      </w:r>
      <w:r w:rsidRPr="0023103E">
        <w:t>.</w:t>
      </w:r>
      <w:r w:rsidR="00CE7E86" w:rsidRPr="0023103E">
        <w:t>3</w:t>
      </w:r>
      <w:r w:rsidRPr="0023103E">
        <w:t xml:space="preserve">% more than the </w:t>
      </w:r>
      <w:r w:rsidR="00ED513D" w:rsidRPr="0023103E">
        <w:t>128,123</w:t>
      </w:r>
      <w:r w:rsidRPr="0023103E">
        <w:t xml:space="preserve"> </w:t>
      </w:r>
      <w:r w:rsidR="002265DD" w:rsidRPr="0023103E">
        <w:t>RSV</w:t>
      </w:r>
      <w:r w:rsidRPr="002265DD">
        <w:t xml:space="preserve"> </w:t>
      </w:r>
      <w:r w:rsidR="005E4086">
        <w:t>cases</w:t>
      </w:r>
      <w:r w:rsidR="005E4086" w:rsidRPr="002265DD">
        <w:t xml:space="preserve"> </w:t>
      </w:r>
      <w:r w:rsidR="00F03AB5">
        <w:t xml:space="preserve">reported </w:t>
      </w:r>
      <w:r w:rsidRPr="002265DD">
        <w:t>in 2023</w:t>
      </w:r>
      <w:r w:rsidRPr="00811C00">
        <w:t xml:space="preserve"> (Table 2; </w:t>
      </w:r>
      <w:r w:rsidR="009E0BB6" w:rsidRPr="00306886">
        <w:t>Table S1</w:t>
      </w:r>
      <w:r w:rsidR="009E0BB6">
        <w:t>; Table S2</w:t>
      </w:r>
      <w:r w:rsidRPr="00CC3C32">
        <w:t>).</w:t>
      </w:r>
      <w:r w:rsidR="00D10081">
        <w:t xml:space="preserve"> Although</w:t>
      </w:r>
      <w:r w:rsidR="0023103E">
        <w:t xml:space="preserve"> </w:t>
      </w:r>
      <w:r w:rsidR="0023103E" w:rsidRPr="0023103E">
        <w:t xml:space="preserve">RSV became </w:t>
      </w:r>
      <w:r w:rsidR="00D10081">
        <w:t xml:space="preserve">a nationally notifiable disease </w:t>
      </w:r>
      <w:r w:rsidR="00D20854">
        <w:t>in July 2021</w:t>
      </w:r>
      <w:r w:rsidR="001C5DAE">
        <w:t xml:space="preserve">, notification data was only received from </w:t>
      </w:r>
      <w:r w:rsidR="0023103E" w:rsidRPr="0023103E">
        <w:t xml:space="preserve">all states and territories </w:t>
      </w:r>
      <w:r w:rsidR="009F523F">
        <w:t>from</w:t>
      </w:r>
      <w:r w:rsidR="009F523F" w:rsidRPr="0023103E">
        <w:t xml:space="preserve"> </w:t>
      </w:r>
      <w:r w:rsidR="0023103E" w:rsidRPr="0023103E">
        <w:t>1 September 2022. For this reason,</w:t>
      </w:r>
      <w:r w:rsidR="0023103E">
        <w:t xml:space="preserve"> </w:t>
      </w:r>
      <w:r w:rsidR="0023103E" w:rsidRPr="0023103E">
        <w:t xml:space="preserve">RSV notification trends in 2022 </w:t>
      </w:r>
      <w:r w:rsidR="0091348E">
        <w:t>are not compared with later years</w:t>
      </w:r>
      <w:r w:rsidR="006C3031">
        <w:t>, and 2022 notification trends</w:t>
      </w:r>
      <w:r w:rsidR="0091348E">
        <w:t xml:space="preserve"> </w:t>
      </w:r>
      <w:r w:rsidR="0023103E" w:rsidRPr="0023103E">
        <w:t>should be interpreted with caution as they are unlikely to be complete or representative.</w:t>
      </w:r>
    </w:p>
    <w:p w14:paraId="16A318F1" w14:textId="6028F9CD" w:rsidR="00A715E6" w:rsidRDefault="003121A8" w:rsidP="00366C54">
      <w:r w:rsidRPr="003D7BD5">
        <w:t xml:space="preserve">In 2024, </w:t>
      </w:r>
      <w:r w:rsidR="00485E5B" w:rsidRPr="003D7BD5">
        <w:t xml:space="preserve">RSV notifications </w:t>
      </w:r>
      <w:r w:rsidR="00962F53" w:rsidRPr="003D7BD5">
        <w:t xml:space="preserve">increased </w:t>
      </w:r>
      <w:r w:rsidR="00485E5B" w:rsidRPr="003D7BD5">
        <w:t xml:space="preserve">steadily from the start of the year </w:t>
      </w:r>
      <w:r w:rsidRPr="003D7BD5">
        <w:t xml:space="preserve">to </w:t>
      </w:r>
      <w:r w:rsidR="00485E5B" w:rsidRPr="003D7BD5">
        <w:t xml:space="preserve">a </w:t>
      </w:r>
      <w:r w:rsidRPr="003D7BD5">
        <w:t xml:space="preserve">peak of </w:t>
      </w:r>
      <w:r w:rsidR="00E37230" w:rsidRPr="00E37230">
        <w:t>7</w:t>
      </w:r>
      <w:r w:rsidR="00E37230">
        <w:t>,</w:t>
      </w:r>
      <w:r w:rsidR="00E37230" w:rsidRPr="00E37230">
        <w:t>386</w:t>
      </w:r>
      <w:r w:rsidR="00E37230">
        <w:t xml:space="preserve"> </w:t>
      </w:r>
      <w:r w:rsidRPr="003D7BD5">
        <w:t xml:space="preserve">notifications per week in </w:t>
      </w:r>
      <w:r w:rsidR="00485E5B" w:rsidRPr="003D7BD5">
        <w:t>late May</w:t>
      </w:r>
      <w:r w:rsidR="00C97CBA">
        <w:t xml:space="preserve">, </w:t>
      </w:r>
      <w:proofErr w:type="gramStart"/>
      <w:r w:rsidR="00C97CBA">
        <w:t xml:space="preserve">similar </w:t>
      </w:r>
      <w:r w:rsidR="00BB38B5">
        <w:t>to</w:t>
      </w:r>
      <w:proofErr w:type="gramEnd"/>
      <w:r w:rsidR="00BB38B5">
        <w:t xml:space="preserve"> the timing of the peak in 2023</w:t>
      </w:r>
      <w:r w:rsidRPr="003D7BD5">
        <w:t xml:space="preserve">. Following the </w:t>
      </w:r>
      <w:r w:rsidR="00AB1241" w:rsidRPr="003D7BD5">
        <w:t>May</w:t>
      </w:r>
      <w:r w:rsidRPr="003D7BD5">
        <w:t xml:space="preserve"> peak, notifications declined sl</w:t>
      </w:r>
      <w:r w:rsidR="008709DA" w:rsidRPr="003D7BD5">
        <w:t xml:space="preserve">owly </w:t>
      </w:r>
      <w:r w:rsidR="0081720F">
        <w:t>between</w:t>
      </w:r>
      <w:r w:rsidR="0081720F" w:rsidRPr="003D7BD5">
        <w:t xml:space="preserve"> </w:t>
      </w:r>
      <w:r w:rsidR="00E63C14" w:rsidRPr="003D7BD5">
        <w:t xml:space="preserve">June </w:t>
      </w:r>
      <w:r w:rsidR="0081720F">
        <w:t>and</w:t>
      </w:r>
      <w:r w:rsidR="00E63C14" w:rsidRPr="003D7BD5">
        <w:t xml:space="preserve"> </w:t>
      </w:r>
      <w:r w:rsidR="00FF1FF7" w:rsidRPr="003D7BD5">
        <w:t>November</w:t>
      </w:r>
      <w:r w:rsidR="003D7BD5" w:rsidRPr="003D7BD5">
        <w:t xml:space="preserve"> to low </w:t>
      </w:r>
      <w:proofErr w:type="spellStart"/>
      <w:r w:rsidR="003D7BD5" w:rsidRPr="003D7BD5">
        <w:t>interseasonal</w:t>
      </w:r>
      <w:proofErr w:type="spellEnd"/>
      <w:r w:rsidR="003D7BD5" w:rsidRPr="003D7BD5">
        <w:t xml:space="preserve"> levels</w:t>
      </w:r>
      <w:r w:rsidR="0044323D" w:rsidRPr="003D7BD5">
        <w:t>, followed by a slight increas</w:t>
      </w:r>
      <w:r w:rsidR="00BB3CB1" w:rsidRPr="003D7BD5">
        <w:t>e</w:t>
      </w:r>
      <w:r w:rsidR="00FF1FF7" w:rsidRPr="003D7BD5">
        <w:t xml:space="preserve"> </w:t>
      </w:r>
      <w:r w:rsidRPr="003D7BD5">
        <w:t>until</w:t>
      </w:r>
      <w:r w:rsidR="00F177B9" w:rsidRPr="003D7BD5">
        <w:t xml:space="preserve"> late</w:t>
      </w:r>
      <w:r w:rsidRPr="003D7BD5">
        <w:t xml:space="preserve"> December </w:t>
      </w:r>
      <w:r w:rsidR="0019761A" w:rsidRPr="003D7BD5">
        <w:t>(</w:t>
      </w:r>
      <w:r w:rsidR="004A5F5E">
        <w:t>Figure 9</w:t>
      </w:r>
      <w:r w:rsidR="0019761A" w:rsidRPr="003D7BD5">
        <w:t>).</w:t>
      </w:r>
    </w:p>
    <w:p w14:paraId="44959509" w14:textId="77777777" w:rsidR="0052650B" w:rsidRPr="00762690" w:rsidRDefault="0052650B" w:rsidP="0052650B">
      <w:r w:rsidRPr="00762690">
        <w:t xml:space="preserve">In 2024, RSV notification rates were considerably higher in children aged 0–4 years than in other age groups (Table </w:t>
      </w:r>
      <w:r>
        <w:t>2</w:t>
      </w:r>
      <w:r w:rsidRPr="00762690">
        <w:t>).</w:t>
      </w:r>
    </w:p>
    <w:p w14:paraId="16A318F6" w14:textId="5C9DB1C1" w:rsidR="00A715E6" w:rsidRDefault="004A5F5E" w:rsidP="000E02DC">
      <w:pPr>
        <w:pStyle w:val="Caption"/>
      </w:pPr>
      <w:r>
        <w:t>Figure 9</w:t>
      </w:r>
      <w:r w:rsidR="0019761A">
        <w:t xml:space="preserve">: Notified RSV cases by year and week of diagnosis*, Australia, </w:t>
      </w:r>
      <w:r w:rsidR="00EE7369">
        <w:t>January 2022 to December 2024</w:t>
      </w:r>
    </w:p>
    <w:p w14:paraId="16A318F7" w14:textId="70CAB10E" w:rsidR="00A715E6" w:rsidRDefault="00294101">
      <w:pPr>
        <w:pStyle w:val="BodyText"/>
      </w:pPr>
      <w:r w:rsidRPr="00294101">
        <w:rPr>
          <w:noProof/>
        </w:rPr>
        <w:drawing>
          <wp:inline distT="0" distB="0" distL="0" distR="0" wp14:anchorId="2AF76A56" wp14:editId="299FB0C3">
            <wp:extent cx="6192520" cy="4454525"/>
            <wp:effectExtent l="0" t="0" r="0" b="3175"/>
            <wp:docPr id="1281654335" name="Picture 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54335" name="Picture 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10;"/>
                    <pic:cNvPicPr/>
                  </pic:nvPicPr>
                  <pic:blipFill>
                    <a:blip r:embed="rId28"/>
                    <a:stretch>
                      <a:fillRect/>
                    </a:stretch>
                  </pic:blipFill>
                  <pic:spPr>
                    <a:xfrm>
                      <a:off x="0" y="0"/>
                      <a:ext cx="6192520" cy="4454525"/>
                    </a:xfrm>
                    <a:prstGeom prst="rect">
                      <a:avLst/>
                    </a:prstGeom>
                  </pic:spPr>
                </pic:pic>
              </a:graphicData>
            </a:graphic>
          </wp:inline>
        </w:drawing>
      </w:r>
    </w:p>
    <w:p w14:paraId="16A318F8" w14:textId="611E2586" w:rsidR="00A715E6" w:rsidRDefault="0019761A" w:rsidP="000E02DC">
      <w:pPr>
        <w:pStyle w:val="Smalltext"/>
      </w:pPr>
      <w:r>
        <w:t xml:space="preserve">Source: </w:t>
      </w:r>
      <w:proofErr w:type="gramStart"/>
      <w:r w:rsidR="00C23A60" w:rsidRPr="00132D56">
        <w:rPr>
          <w:szCs w:val="18"/>
        </w:rPr>
        <w:t>National Notifiable Diseases Surveillance System (NNDSS)</w:t>
      </w:r>
      <w:r w:rsidR="00C23A60" w:rsidRPr="00C23A60">
        <w:rPr>
          <w:szCs w:val="18"/>
        </w:rPr>
        <w:t>,</w:t>
      </w:r>
      <w:proofErr w:type="gramEnd"/>
      <w:r w:rsidR="00C23A60" w:rsidRPr="00C23A60">
        <w:rPr>
          <w:szCs w:val="18"/>
        </w:rPr>
        <w:t xml:space="preserve"> extracted 5 March 2025</w:t>
      </w:r>
      <w:r w:rsidR="00CE256D">
        <w:rPr>
          <w:szCs w:val="18"/>
        </w:rPr>
        <w:t>.</w:t>
      </w:r>
      <w:r w:rsidR="00E2412B">
        <w:br/>
      </w:r>
      <w:r>
        <w:t xml:space="preserve">* RSV was added to the </w:t>
      </w:r>
      <w:r>
        <w:rPr>
          <w:i/>
          <w:iCs/>
        </w:rPr>
        <w:t>National Health Security (National Notifiable Disease List) Instrument 2018</w:t>
      </w:r>
      <w:r>
        <w:t xml:space="preserve"> in July 2021. Following this some jurisdictions began notifying RSV cases to the NNDSS; however, </w:t>
      </w:r>
      <w:bookmarkStart w:id="20" w:name="_Hlk192842769"/>
      <w:r w:rsidR="009504F1">
        <w:t>RSV notification data was only received from</w:t>
      </w:r>
      <w:r>
        <w:t xml:space="preserve"> all states and territories </w:t>
      </w:r>
      <w:r w:rsidR="009504F1">
        <w:t xml:space="preserve">from </w:t>
      </w:r>
      <w:r>
        <w:t>1 September 2022 and comprehensive national notification data became available after this point. For this reason, RSV notification trends in 2022 should be interpreted with caution as they are unlikely to be complete or representative.</w:t>
      </w:r>
      <w:bookmarkEnd w:id="20"/>
    </w:p>
    <w:p w14:paraId="72DAECF9" w14:textId="77777777" w:rsidR="00780622" w:rsidRDefault="00780622">
      <w:pPr>
        <w:spacing w:before="0" w:after="0" w:line="240" w:lineRule="auto"/>
        <w:rPr>
          <w:b/>
          <w:bCs/>
        </w:rPr>
      </w:pPr>
      <w:r>
        <w:rPr>
          <w:b/>
          <w:bCs/>
        </w:rPr>
        <w:br w:type="page"/>
      </w:r>
    </w:p>
    <w:p w14:paraId="676358DA" w14:textId="475A7E6D" w:rsidR="00E30350" w:rsidRDefault="00E36394" w:rsidP="00A56E68">
      <w:r w:rsidRPr="003A04A6">
        <w:lastRenderedPageBreak/>
        <w:t xml:space="preserve">In 2024, </w:t>
      </w:r>
      <w:r>
        <w:t>RSV</w:t>
      </w:r>
      <w:r w:rsidRPr="003A04A6">
        <w:t xml:space="preserve"> notification rates were highest in </w:t>
      </w:r>
      <w:r w:rsidR="005B1319">
        <w:t>NSW</w:t>
      </w:r>
      <w:r w:rsidRPr="003A04A6">
        <w:t xml:space="preserve"> (</w:t>
      </w:r>
      <w:r w:rsidRPr="00E36394">
        <w:t>869</w:t>
      </w:r>
      <w:r w:rsidRPr="003A04A6">
        <w:t xml:space="preserve"> </w:t>
      </w:r>
      <w:r w:rsidR="00B901C9">
        <w:t>cases</w:t>
      </w:r>
      <w:r w:rsidR="00B901C9" w:rsidRPr="003A04A6">
        <w:t xml:space="preserve"> </w:t>
      </w:r>
      <w:r w:rsidRPr="003A04A6">
        <w:t xml:space="preserve">per 100,000 population), followed by </w:t>
      </w:r>
      <w:r w:rsidR="005B1319">
        <w:t>Qld</w:t>
      </w:r>
      <w:r w:rsidRPr="003A04A6">
        <w:t xml:space="preserve"> (</w:t>
      </w:r>
      <w:r w:rsidRPr="00E36394">
        <w:t>764</w:t>
      </w:r>
      <w:r w:rsidRPr="003A04A6">
        <w:t xml:space="preserve"> </w:t>
      </w:r>
      <w:r w:rsidR="00B901C9">
        <w:t>cases</w:t>
      </w:r>
      <w:r w:rsidR="00B901C9" w:rsidRPr="003A04A6">
        <w:t xml:space="preserve"> </w:t>
      </w:r>
      <w:r w:rsidRPr="003A04A6">
        <w:t xml:space="preserve">per 100,000 population), and notification rates were lowest in </w:t>
      </w:r>
      <w:r w:rsidR="005B1319">
        <w:t>WA</w:t>
      </w:r>
      <w:r w:rsidRPr="003A04A6">
        <w:t xml:space="preserve"> (</w:t>
      </w:r>
      <w:r w:rsidRPr="00E36394">
        <w:t>313</w:t>
      </w:r>
      <w:r w:rsidRPr="003A04A6">
        <w:t xml:space="preserve"> </w:t>
      </w:r>
      <w:r w:rsidR="00B901C9">
        <w:t>cases</w:t>
      </w:r>
      <w:r w:rsidR="00B901C9" w:rsidRPr="003A04A6">
        <w:t xml:space="preserve"> </w:t>
      </w:r>
      <w:r w:rsidRPr="003A04A6">
        <w:t>per 100,000 population) (Table 2).</w:t>
      </w:r>
      <w:r w:rsidR="00A56E68">
        <w:t xml:space="preserve"> </w:t>
      </w:r>
      <w:r w:rsidR="0000420E">
        <w:t>As observed in 2023</w:t>
      </w:r>
      <w:r w:rsidR="009D29A4">
        <w:t>, i</w:t>
      </w:r>
      <w:r w:rsidR="00522915" w:rsidRPr="00BD3D09">
        <w:t xml:space="preserve">n 2024 RSV notification </w:t>
      </w:r>
      <w:r w:rsidR="00D540AF">
        <w:t xml:space="preserve">trends </w:t>
      </w:r>
      <w:r w:rsidR="00522915" w:rsidRPr="00BD3D09">
        <w:t>varied greatly between jurisdictions</w:t>
      </w:r>
      <w:r w:rsidR="00884444" w:rsidRPr="00BD3D09">
        <w:t xml:space="preserve"> with </w:t>
      </w:r>
      <w:r w:rsidR="00E35769" w:rsidRPr="00BD3D09">
        <w:t>most jurisdictions experiencing a peak in notification rates at different times of the year</w:t>
      </w:r>
      <w:r w:rsidR="00522915" w:rsidRPr="00BD3D09">
        <w:t xml:space="preserve"> (</w:t>
      </w:r>
      <w:r w:rsidR="004A5F5E">
        <w:t>Figure 10</w:t>
      </w:r>
      <w:r w:rsidR="00522915" w:rsidRPr="00BD3D09">
        <w:t xml:space="preserve">). </w:t>
      </w:r>
    </w:p>
    <w:p w14:paraId="7947C306" w14:textId="27D09B6E" w:rsidR="00522915" w:rsidRPr="009A0B90" w:rsidRDefault="005B1319" w:rsidP="00A56E68">
      <w:r>
        <w:t>NSW</w:t>
      </w:r>
      <w:r w:rsidR="00C26CFE" w:rsidRPr="00BD3D09">
        <w:t xml:space="preserve"> and t</w:t>
      </w:r>
      <w:r w:rsidR="00522915" w:rsidRPr="00BD3D09">
        <w:t xml:space="preserve">he </w:t>
      </w:r>
      <w:r>
        <w:t>NT</w:t>
      </w:r>
      <w:r w:rsidR="00C26CFE" w:rsidRPr="00BD3D09">
        <w:t xml:space="preserve"> </w:t>
      </w:r>
      <w:r w:rsidR="001469BB" w:rsidRPr="00BD3D09">
        <w:t>experienced</w:t>
      </w:r>
      <w:r w:rsidR="00BD211D" w:rsidRPr="00BD3D09">
        <w:t xml:space="preserve"> a </w:t>
      </w:r>
      <w:r w:rsidR="00182BF0" w:rsidRPr="00BD3D09">
        <w:t xml:space="preserve">first </w:t>
      </w:r>
      <w:r w:rsidR="00BD211D" w:rsidRPr="00BD3D09">
        <w:t xml:space="preserve">peak in notifications in April, while </w:t>
      </w:r>
      <w:r w:rsidR="00182BF0" w:rsidRPr="00BD3D09">
        <w:t xml:space="preserve">the </w:t>
      </w:r>
      <w:r>
        <w:t>ACT</w:t>
      </w:r>
      <w:r w:rsidR="009347E0" w:rsidRPr="00BD3D09">
        <w:t xml:space="preserve">, </w:t>
      </w:r>
      <w:r>
        <w:t>NSW</w:t>
      </w:r>
      <w:r w:rsidR="00E63897" w:rsidRPr="00BD3D09">
        <w:t xml:space="preserve"> (second peak)</w:t>
      </w:r>
      <w:r w:rsidR="009347E0" w:rsidRPr="00BD3D09">
        <w:t xml:space="preserve">, </w:t>
      </w:r>
      <w:r>
        <w:t>Qld</w:t>
      </w:r>
      <w:r w:rsidR="001741DF" w:rsidRPr="00BD3D09">
        <w:t xml:space="preserve"> and </w:t>
      </w:r>
      <w:r>
        <w:t>Vic.</w:t>
      </w:r>
      <w:r w:rsidR="001741DF" w:rsidRPr="00BD3D09">
        <w:t xml:space="preserve"> </w:t>
      </w:r>
      <w:r w:rsidR="00E63897" w:rsidRPr="00BD3D09">
        <w:t>peaked</w:t>
      </w:r>
      <w:r w:rsidR="00522915" w:rsidRPr="00BD3D09">
        <w:t xml:space="preserve"> </w:t>
      </w:r>
      <w:r w:rsidR="002E1A9C" w:rsidRPr="00BD3D09">
        <w:t>across May</w:t>
      </w:r>
      <w:r w:rsidR="00522915" w:rsidRPr="00BD3D09">
        <w:t xml:space="preserve">. </w:t>
      </w:r>
      <w:r>
        <w:t>SA</w:t>
      </w:r>
      <w:r w:rsidR="00522915" w:rsidRPr="00BD3D09">
        <w:t xml:space="preserve"> </w:t>
      </w:r>
      <w:r w:rsidR="000F1FD2" w:rsidRPr="00BD3D09">
        <w:t xml:space="preserve">and </w:t>
      </w:r>
      <w:r>
        <w:t>Tas.</w:t>
      </w:r>
      <w:r w:rsidR="000F1FD2" w:rsidRPr="00BD3D09">
        <w:t xml:space="preserve"> </w:t>
      </w:r>
      <w:r w:rsidR="00711B8E">
        <w:t>experienced a</w:t>
      </w:r>
      <w:r w:rsidR="00F028FE" w:rsidRPr="00BD3D09">
        <w:t xml:space="preserve"> peak in J</w:t>
      </w:r>
      <w:r w:rsidR="00522915" w:rsidRPr="00BD3D09">
        <w:t>uly</w:t>
      </w:r>
      <w:r w:rsidR="00F028FE" w:rsidRPr="00BD3D09">
        <w:t>,</w:t>
      </w:r>
      <w:r w:rsidR="00522915" w:rsidRPr="00BD3D09">
        <w:t xml:space="preserve"> followed by</w:t>
      </w:r>
      <w:r w:rsidR="00F028FE" w:rsidRPr="00BD3D09">
        <w:t xml:space="preserve"> </w:t>
      </w:r>
      <w:r>
        <w:t>WA</w:t>
      </w:r>
      <w:r w:rsidR="00522915" w:rsidRPr="00BD3D09">
        <w:t xml:space="preserve"> in </w:t>
      </w:r>
      <w:r w:rsidR="00F71485">
        <w:t>mid-August</w:t>
      </w:r>
      <w:r w:rsidR="00522915" w:rsidRPr="00BD3D09">
        <w:t>.</w:t>
      </w:r>
      <w:r w:rsidR="00B919AB" w:rsidRPr="00BD3D09">
        <w:t xml:space="preserve"> Lasty, the </w:t>
      </w:r>
      <w:r>
        <w:t>NT</w:t>
      </w:r>
      <w:r w:rsidR="00B919AB" w:rsidRPr="009A0B90">
        <w:t xml:space="preserve"> experienced a second, smaller peak in November</w:t>
      </w:r>
      <w:r w:rsidR="00E12CFF" w:rsidRPr="009A0B90">
        <w:t xml:space="preserve"> (</w:t>
      </w:r>
      <w:r w:rsidR="004A5F5E">
        <w:t>Figure 10</w:t>
      </w:r>
      <w:r w:rsidR="00E12CFF" w:rsidRPr="009A0B90">
        <w:t xml:space="preserve">). </w:t>
      </w:r>
      <w:r w:rsidR="00522915" w:rsidRPr="009A0B90">
        <w:t>The</w:t>
      </w:r>
      <w:r w:rsidR="00697DC1" w:rsidRPr="009A0B90">
        <w:t xml:space="preserve"> </w:t>
      </w:r>
      <w:r>
        <w:t>ACT</w:t>
      </w:r>
      <w:r w:rsidR="00B503D1" w:rsidRPr="009A0B90">
        <w:t xml:space="preserve"> (</w:t>
      </w:r>
      <w:r w:rsidR="00D2050A" w:rsidRPr="009A0B90">
        <w:t>47</w:t>
      </w:r>
      <w:r w:rsidR="00B503D1" w:rsidRPr="009A0B90">
        <w:t xml:space="preserve"> </w:t>
      </w:r>
      <w:r w:rsidR="00B901C9">
        <w:t>cases</w:t>
      </w:r>
      <w:r w:rsidR="00B901C9" w:rsidRPr="009A0B90">
        <w:t xml:space="preserve"> </w:t>
      </w:r>
      <w:r w:rsidR="00B503D1" w:rsidRPr="009A0B90">
        <w:t xml:space="preserve">per 100,000 population) and </w:t>
      </w:r>
      <w:r>
        <w:t>SA</w:t>
      </w:r>
      <w:r w:rsidR="00B503D1" w:rsidRPr="009A0B90">
        <w:t xml:space="preserve"> (</w:t>
      </w:r>
      <w:r w:rsidR="00D2050A" w:rsidRPr="009A0B90">
        <w:t>45</w:t>
      </w:r>
      <w:r w:rsidR="00B503D1" w:rsidRPr="009A0B90">
        <w:t xml:space="preserve"> </w:t>
      </w:r>
      <w:r w:rsidR="00B901C9">
        <w:t>cases</w:t>
      </w:r>
      <w:r w:rsidR="00B901C9" w:rsidRPr="009A0B90">
        <w:t xml:space="preserve"> </w:t>
      </w:r>
      <w:r w:rsidR="00B503D1" w:rsidRPr="009A0B90">
        <w:t>per 100,000 population)</w:t>
      </w:r>
      <w:r w:rsidR="00E12CFF" w:rsidRPr="009A0B90">
        <w:t xml:space="preserve"> experienced considerabl</w:t>
      </w:r>
      <w:r w:rsidR="002056B8">
        <w:t>y higher</w:t>
      </w:r>
      <w:r w:rsidR="00E519DC">
        <w:t xml:space="preserve">, but </w:t>
      </w:r>
      <w:r w:rsidR="00E262D3">
        <w:t>less prolonged</w:t>
      </w:r>
      <w:r w:rsidR="00E12CFF" w:rsidRPr="009A0B90">
        <w:t xml:space="preserve"> peaks in notification rates compared with other jurisdictions </w:t>
      </w:r>
      <w:r w:rsidR="00DC6B66">
        <w:t xml:space="preserve">such as </w:t>
      </w:r>
      <w:r>
        <w:t>NSW</w:t>
      </w:r>
      <w:r w:rsidR="00DC6B66">
        <w:t xml:space="preserve"> and </w:t>
      </w:r>
      <w:r>
        <w:t>Qld</w:t>
      </w:r>
      <w:r w:rsidR="00522915" w:rsidRPr="009A0B90">
        <w:t xml:space="preserve">. </w:t>
      </w:r>
      <w:r w:rsidR="00F71485">
        <w:t xml:space="preserve">WA </w:t>
      </w:r>
      <w:r w:rsidR="00D12D78" w:rsidRPr="009A0B90">
        <w:t xml:space="preserve">experienced </w:t>
      </w:r>
      <w:r w:rsidR="00D12D78">
        <w:t xml:space="preserve">a much later and lower, </w:t>
      </w:r>
      <w:r w:rsidR="00D12D78" w:rsidRPr="009A0B90">
        <w:t xml:space="preserve">peak in notification rates </w:t>
      </w:r>
      <w:r w:rsidR="00D12D78">
        <w:t>(</w:t>
      </w:r>
      <w:r w:rsidR="00A47B8B">
        <w:t>20 cases per 100,000 population per week</w:t>
      </w:r>
      <w:r w:rsidR="00D12D78">
        <w:t xml:space="preserve">) </w:t>
      </w:r>
      <w:r w:rsidR="00D12D78" w:rsidRPr="009A0B90">
        <w:t>compared with other jurisdictions</w:t>
      </w:r>
      <w:r w:rsidR="00D12D78">
        <w:t xml:space="preserve"> </w:t>
      </w:r>
      <w:r w:rsidR="00D12D78" w:rsidRPr="009A0B90">
        <w:t>(</w:t>
      </w:r>
      <w:r w:rsidR="00D12D78">
        <w:t>Figure 10</w:t>
      </w:r>
      <w:r w:rsidR="00D12D78" w:rsidRPr="009A0B90">
        <w:t>)</w:t>
      </w:r>
      <w:r w:rsidR="00D12D78">
        <w:t>.</w:t>
      </w:r>
      <w:r w:rsidR="009C61A1">
        <w:t xml:space="preserve"> </w:t>
      </w:r>
      <w:r w:rsidR="00AD36D0">
        <w:t>The low notification rates in WA, and to a lesser extent in Qld, may be</w:t>
      </w:r>
      <w:r w:rsidR="00560319">
        <w:t xml:space="preserve"> in part</w:t>
      </w:r>
      <w:r w:rsidR="00AD36D0">
        <w:t xml:space="preserve"> due to the</w:t>
      </w:r>
      <w:r w:rsidR="000D1AFF">
        <w:t xml:space="preserve"> 2024 </w:t>
      </w:r>
      <w:r w:rsidR="000D1AFF" w:rsidRPr="000D1AFF">
        <w:t>RSV Infant Immunisation Program</w:t>
      </w:r>
      <w:r w:rsidR="000D1AFF">
        <w:t>s in these states</w:t>
      </w:r>
      <w:r w:rsidR="0009029C">
        <w:t xml:space="preserve">. </w:t>
      </w:r>
      <w:r w:rsidR="00261CC4">
        <w:t>In 2024, t</w:t>
      </w:r>
      <w:r w:rsidR="0009029C">
        <w:t xml:space="preserve">here </w:t>
      </w:r>
      <w:r w:rsidR="00311843">
        <w:t>were</w:t>
      </w:r>
      <w:r w:rsidR="0009029C">
        <w:t xml:space="preserve"> a</w:t>
      </w:r>
      <w:r w:rsidR="00634F31">
        <w:t xml:space="preserve"> lower </w:t>
      </w:r>
      <w:r w:rsidR="00D062F6">
        <w:t>number of notified cases</w:t>
      </w:r>
      <w:r w:rsidR="0009029C">
        <w:t xml:space="preserve"> </w:t>
      </w:r>
      <w:r w:rsidR="00D062F6">
        <w:t>among</w:t>
      </w:r>
      <w:r w:rsidR="0009029C">
        <w:t xml:space="preserve"> infants (</w:t>
      </w:r>
      <w:r w:rsidR="00CE7171">
        <w:t>&lt; 6 months</w:t>
      </w:r>
      <w:r w:rsidR="0009029C">
        <w:t xml:space="preserve">) in </w:t>
      </w:r>
      <w:r w:rsidR="00311843">
        <w:t>Qld and WA,</w:t>
      </w:r>
      <w:r w:rsidR="00466D3C">
        <w:t xml:space="preserve"> and </w:t>
      </w:r>
      <w:r w:rsidR="00D062F6">
        <w:t>among</w:t>
      </w:r>
      <w:r w:rsidR="00466D3C">
        <w:t xml:space="preserve"> young children (6 months to &lt; 12 months) in WA, </w:t>
      </w:r>
      <w:r w:rsidR="00CE7171">
        <w:t xml:space="preserve">compared with </w:t>
      </w:r>
      <w:r w:rsidR="00311843">
        <w:t xml:space="preserve">the number of </w:t>
      </w:r>
      <w:r w:rsidR="00D062F6">
        <w:t>notified cases</w:t>
      </w:r>
      <w:r w:rsidR="00311843">
        <w:t xml:space="preserve"> in these age groups </w:t>
      </w:r>
      <w:r w:rsidR="00D76E4C">
        <w:t xml:space="preserve">and states </w:t>
      </w:r>
      <w:r w:rsidR="00311843">
        <w:t xml:space="preserve">in </w:t>
      </w:r>
      <w:r w:rsidR="00CE7171">
        <w:t>2023</w:t>
      </w:r>
      <w:r w:rsidR="00466D3C">
        <w:t>.</w:t>
      </w:r>
      <w:r w:rsidR="000D1AFF">
        <w:t xml:space="preserve"> </w:t>
      </w:r>
    </w:p>
    <w:p w14:paraId="16A318F9" w14:textId="7E49FF47" w:rsidR="00A715E6" w:rsidRDefault="004A5F5E" w:rsidP="000E02DC">
      <w:pPr>
        <w:pStyle w:val="Caption"/>
      </w:pPr>
      <w:r>
        <w:t>Figure 10</w:t>
      </w:r>
      <w:r w:rsidR="0019761A">
        <w:t>: Notification rates per 100,000 population for RSV cases by state or territory and week of diagnosis, Australia, January to December 2024</w:t>
      </w:r>
    </w:p>
    <w:p w14:paraId="16A318FA" w14:textId="77777777" w:rsidR="00A715E6" w:rsidRDefault="0019761A">
      <w:pPr>
        <w:pStyle w:val="BodyText"/>
      </w:pPr>
      <w:r>
        <w:rPr>
          <w:noProof/>
        </w:rPr>
        <w:drawing>
          <wp:inline distT="0" distB="0" distL="0" distR="0" wp14:anchorId="16A31FF5" wp14:editId="51ABF9D2">
            <wp:extent cx="6184900" cy="2650671"/>
            <wp:effectExtent l="0" t="0" r="0" b="0"/>
            <wp:docPr id="52" name="Picture"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A318FC" w14:textId="2883654E" w:rsidR="00A715E6" w:rsidRDefault="0019761A" w:rsidP="000E02DC">
      <w:pPr>
        <w:pStyle w:val="Smalltext"/>
      </w:pPr>
      <w:r>
        <w:t xml:space="preserve">Source: </w:t>
      </w:r>
      <w:r w:rsidR="00C23A60" w:rsidRPr="00132D56">
        <w:t>National Notifiable Diseases Surveillance System (NNDSS)</w:t>
      </w:r>
      <w:r w:rsidR="00C23A60" w:rsidRPr="00C23A60">
        <w:t>, extracted 5 March 2025</w:t>
      </w:r>
      <w:r w:rsidR="00CE256D">
        <w:t>.</w:t>
      </w:r>
      <w:r>
        <w:br w:type="page"/>
      </w:r>
    </w:p>
    <w:p w14:paraId="16A318FD" w14:textId="77777777" w:rsidR="00A715E6" w:rsidRDefault="0019761A">
      <w:pPr>
        <w:pStyle w:val="Heading1"/>
      </w:pPr>
      <w:bookmarkStart w:id="21" w:name="_Toc194074620"/>
      <w:bookmarkStart w:id="22" w:name="primary-care-surveillance"/>
      <w:bookmarkEnd w:id="18"/>
      <w:r>
        <w:lastRenderedPageBreak/>
        <w:t>Primary care surveillance</w:t>
      </w:r>
      <w:bookmarkEnd w:id="21"/>
    </w:p>
    <w:p w14:paraId="16A318FE" w14:textId="741E2506" w:rsidR="00A715E6" w:rsidRDefault="0019761A">
      <w:r>
        <w:t>Primary care surveillance monitors the number and characteristics of people who present to their general practitioner with influenza-like-illness and provides insight</w:t>
      </w:r>
      <w:r w:rsidR="00A67CE2">
        <w:t>s</w:t>
      </w:r>
      <w:r>
        <w:t xml:space="preserve"> on the different respiratory pathogens that are causing illness in the community.</w:t>
      </w:r>
    </w:p>
    <w:p w14:paraId="16A318FF" w14:textId="7C55C710" w:rsidR="00A715E6" w:rsidRDefault="00180BD3" w:rsidP="00A57D4A">
      <w:r>
        <w:t>In 2024,</w:t>
      </w:r>
      <w:r w:rsidRPr="00197105">
        <w:t xml:space="preserve"> </w:t>
      </w:r>
      <w:r w:rsidR="00B9087E" w:rsidRPr="00B9087E">
        <w:t>the rate of influenza-like-illness</w:t>
      </w:r>
      <w:r w:rsidR="00E445B5">
        <w:t xml:space="preserve"> </w:t>
      </w:r>
      <w:r w:rsidR="00155FB3">
        <w:t xml:space="preserve">(ILI) </w:t>
      </w:r>
      <w:r w:rsidR="001D138D">
        <w:t>consultations</w:t>
      </w:r>
      <w:r w:rsidR="00A560BD">
        <w:t xml:space="preserve"> at sentinel general practice sites gradually </w:t>
      </w:r>
      <w:r w:rsidR="00B9087E" w:rsidRPr="00B9087E">
        <w:t xml:space="preserve">increased </w:t>
      </w:r>
      <w:r w:rsidR="00283C6B">
        <w:t xml:space="preserve">between </w:t>
      </w:r>
      <w:r w:rsidR="00CE1882">
        <w:t xml:space="preserve">January </w:t>
      </w:r>
      <w:r w:rsidR="00283C6B">
        <w:t>and</w:t>
      </w:r>
      <w:r w:rsidR="00CE1882">
        <w:t xml:space="preserve"> </w:t>
      </w:r>
      <w:r w:rsidR="00DC170E">
        <w:t xml:space="preserve">early </w:t>
      </w:r>
      <w:r w:rsidR="00CE1882">
        <w:t>May (</w:t>
      </w:r>
      <w:r w:rsidR="00185072">
        <w:t xml:space="preserve">from approximately three to five </w:t>
      </w:r>
      <w:r w:rsidR="00155FB3">
        <w:t xml:space="preserve">ILI notifications </w:t>
      </w:r>
      <w:r w:rsidR="00185072">
        <w:t>per 1,000 consultations per week</w:t>
      </w:r>
      <w:r w:rsidR="00CE1882">
        <w:t>)</w:t>
      </w:r>
      <w:r w:rsidR="00185072">
        <w:t>,</w:t>
      </w:r>
      <w:r w:rsidR="00B9087E">
        <w:t xml:space="preserve"> </w:t>
      </w:r>
      <w:r w:rsidR="0022278E">
        <w:t xml:space="preserve">followed by a steeper increase </w:t>
      </w:r>
      <w:r w:rsidR="001B632E">
        <w:t xml:space="preserve">throughout </w:t>
      </w:r>
      <w:r w:rsidR="00DC170E">
        <w:t>May and June</w:t>
      </w:r>
      <w:r w:rsidR="00654489">
        <w:t>. There was a</w:t>
      </w:r>
      <w:r w:rsidR="00A2197A">
        <w:t xml:space="preserve"> sustained peak </w:t>
      </w:r>
      <w:r w:rsidR="00654489">
        <w:t xml:space="preserve">of </w:t>
      </w:r>
      <w:r w:rsidR="000E1BA7">
        <w:t>ILI</w:t>
      </w:r>
      <w:r w:rsidR="00ED57AD">
        <w:t xml:space="preserve"> rates </w:t>
      </w:r>
      <w:r w:rsidR="00D45EDF">
        <w:t>across</w:t>
      </w:r>
      <w:r w:rsidR="00CB7CCC">
        <w:t xml:space="preserve"> late June to early August (approximately </w:t>
      </w:r>
      <w:r w:rsidR="005E3245">
        <w:t>12–13</w:t>
      </w:r>
      <w:r w:rsidR="00CB7CCC">
        <w:t xml:space="preserve"> </w:t>
      </w:r>
      <w:r w:rsidR="00BB21AA">
        <w:t xml:space="preserve">ILI notifications </w:t>
      </w:r>
      <w:r w:rsidR="00CB7CCC">
        <w:t>per 1,000 consultations per week), followed by</w:t>
      </w:r>
      <w:r w:rsidR="00F03111">
        <w:t xml:space="preserve"> a gradual decline in </w:t>
      </w:r>
      <w:r w:rsidR="00BB21AA">
        <w:t>ILI</w:t>
      </w:r>
      <w:r w:rsidR="00F03111">
        <w:t xml:space="preserve"> rates</w:t>
      </w:r>
      <w:r w:rsidR="00D45EDF">
        <w:t xml:space="preserve"> </w:t>
      </w:r>
      <w:r w:rsidR="00391F79">
        <w:t>until mid-December when a</w:t>
      </w:r>
      <w:r w:rsidR="005F7603">
        <w:t>n</w:t>
      </w:r>
      <w:r w:rsidR="00391F79">
        <w:t xml:space="preserve"> uptick was observed</w:t>
      </w:r>
      <w:r>
        <w:t xml:space="preserve"> (</w:t>
      </w:r>
      <w:r w:rsidR="004A5F5E">
        <w:t>Figure 11</w:t>
      </w:r>
      <w:r>
        <w:t>).</w:t>
      </w:r>
    </w:p>
    <w:p w14:paraId="16A31900" w14:textId="76333BD9" w:rsidR="00A715E6" w:rsidRDefault="00E60936" w:rsidP="00A57D4A">
      <w:r>
        <w:t xml:space="preserve">Across 2024, </w:t>
      </w:r>
      <w:r w:rsidRPr="00B9087E">
        <w:t xml:space="preserve">the rate of </w:t>
      </w:r>
      <w:r w:rsidR="00BB21AA">
        <w:t>ILI notifications per 1,000</w:t>
      </w:r>
      <w:r>
        <w:t xml:space="preserve"> consultations at sentinel general practice sites was higher than the corresponding weeks of the five-year average (</w:t>
      </w:r>
      <w:r w:rsidR="004A5F5E">
        <w:t>Figure 11</w:t>
      </w:r>
      <w:r>
        <w:t xml:space="preserve">). </w:t>
      </w:r>
      <w:r w:rsidR="0019761A">
        <w:t xml:space="preserve">In 2024, there were more </w:t>
      </w:r>
      <w:r w:rsidR="0095357E">
        <w:t>ILI</w:t>
      </w:r>
      <w:r w:rsidR="001D138D">
        <w:t xml:space="preserve"> consultations</w:t>
      </w:r>
      <w:r w:rsidR="0019761A">
        <w:t xml:space="preserve"> (6.1 </w:t>
      </w:r>
      <w:r w:rsidR="0095357E">
        <w:t xml:space="preserve">ILI notifications </w:t>
      </w:r>
      <w:r w:rsidR="0019761A">
        <w:t xml:space="preserve">per 1,000 consultations per year) than in </w:t>
      </w:r>
      <w:r w:rsidR="00595BA1">
        <w:t>2023</w:t>
      </w:r>
      <w:r w:rsidR="0019761A">
        <w:t xml:space="preserve"> (4.1</w:t>
      </w:r>
      <w:r w:rsidR="0095357E">
        <w:t xml:space="preserve"> ILI notifications</w:t>
      </w:r>
      <w:r w:rsidR="0019761A">
        <w:t xml:space="preserve"> per 1,000 consultations per year)</w:t>
      </w:r>
      <w:r w:rsidR="005C189D">
        <w:t xml:space="preserve"> or 2022 (3.4</w:t>
      </w:r>
      <w:r w:rsidR="0095357E">
        <w:t xml:space="preserve"> ILI notifications</w:t>
      </w:r>
      <w:r w:rsidR="005C189D">
        <w:t xml:space="preserve"> per 1,000 consultations per year)</w:t>
      </w:r>
      <w:r w:rsidR="0019761A">
        <w:t xml:space="preserve"> (</w:t>
      </w:r>
      <w:r w:rsidR="004A5F5E">
        <w:t>Figure 11</w:t>
      </w:r>
      <w:r w:rsidR="0019761A">
        <w:t>).</w:t>
      </w:r>
      <w:r w:rsidR="002441D5">
        <w:t xml:space="preserve"> The increase in </w:t>
      </w:r>
      <w:r w:rsidR="00F338D4">
        <w:t>ILI</w:t>
      </w:r>
      <w:r w:rsidR="002441D5">
        <w:t xml:space="preserve"> rates aligns</w:t>
      </w:r>
      <w:r w:rsidR="00BC58BC">
        <w:t xml:space="preserve"> </w:t>
      </w:r>
      <w:r w:rsidR="002441D5">
        <w:t>with the increased activity observed in</w:t>
      </w:r>
      <w:r w:rsidR="006F777A">
        <w:t xml:space="preserve"> case notifications</w:t>
      </w:r>
      <w:r w:rsidR="002B7C4B">
        <w:t xml:space="preserve"> this year</w:t>
      </w:r>
      <w:r w:rsidR="006F777A">
        <w:t>.</w:t>
      </w:r>
      <w:r w:rsidR="002441D5">
        <w:t xml:space="preserve"> </w:t>
      </w:r>
      <w:r w:rsidR="0083714F" w:rsidRPr="0083714F">
        <w:t xml:space="preserve"> </w:t>
      </w:r>
    </w:p>
    <w:p w14:paraId="16C6374B" w14:textId="6189E5D9" w:rsidR="00B9087E" w:rsidRDefault="00B9087E" w:rsidP="00A57D4A">
      <w:r>
        <w:t xml:space="preserve">In 2024, </w:t>
      </w:r>
      <w:r w:rsidR="00EC4F46">
        <w:t xml:space="preserve">the season was </w:t>
      </w:r>
      <w:r w:rsidR="00494183">
        <w:t>longer,</w:t>
      </w:r>
      <w:r w:rsidR="00EC4F46">
        <w:t xml:space="preserve"> and </w:t>
      </w:r>
      <w:r>
        <w:t>t</w:t>
      </w:r>
      <w:r w:rsidRPr="007B46F9">
        <w:t xml:space="preserve">he peak </w:t>
      </w:r>
      <w:r w:rsidR="008205FB">
        <w:t>of ILI</w:t>
      </w:r>
      <w:r w:rsidR="00821BEB">
        <w:t xml:space="preserve"> </w:t>
      </w:r>
      <w:r w:rsidR="00D74550">
        <w:t>rate</w:t>
      </w:r>
      <w:r w:rsidR="00821BEB">
        <w:t>s</w:t>
      </w:r>
      <w:r w:rsidRPr="007B46F9">
        <w:t xml:space="preserve"> </w:t>
      </w:r>
      <w:r w:rsidR="00821BEB">
        <w:t xml:space="preserve">was </w:t>
      </w:r>
      <w:r w:rsidR="00B67391">
        <w:t>generally higher and more sustained</w:t>
      </w:r>
      <w:r w:rsidR="00B92F2A">
        <w:t xml:space="preserve"> than </w:t>
      </w:r>
      <w:r w:rsidR="00BB00C1">
        <w:t xml:space="preserve">in </w:t>
      </w:r>
      <w:r w:rsidR="00B92F2A">
        <w:t>previous years</w:t>
      </w:r>
      <w:r w:rsidR="00306D4B">
        <w:t xml:space="preserve">. </w:t>
      </w:r>
      <w:r w:rsidR="0048529F">
        <w:t>In 2024, a</w:t>
      </w:r>
      <w:r w:rsidR="00306D4B">
        <w:t xml:space="preserve"> </w:t>
      </w:r>
      <w:r w:rsidR="00380FFB">
        <w:t xml:space="preserve">double peak in </w:t>
      </w:r>
      <w:r w:rsidR="008205FB">
        <w:t xml:space="preserve">ILI </w:t>
      </w:r>
      <w:r w:rsidR="00702528">
        <w:t xml:space="preserve">rates </w:t>
      </w:r>
      <w:r w:rsidR="004D5599">
        <w:t>occurr</w:t>
      </w:r>
      <w:r w:rsidR="00306D4B">
        <w:t>ed</w:t>
      </w:r>
      <w:r w:rsidR="004D5599">
        <w:t xml:space="preserve"> across </w:t>
      </w:r>
      <w:r w:rsidR="008F7787">
        <w:t>early July (</w:t>
      </w:r>
      <w:r w:rsidR="00661BE0">
        <w:t>12.8</w:t>
      </w:r>
      <w:r w:rsidR="008205FB">
        <w:t xml:space="preserve"> ILI notifications</w:t>
      </w:r>
      <w:r w:rsidR="00E32649">
        <w:t xml:space="preserve"> per 1,000 consultations per year</w:t>
      </w:r>
      <w:r w:rsidR="008F7787">
        <w:t>)</w:t>
      </w:r>
      <w:r w:rsidR="004D5599">
        <w:t xml:space="preserve"> </w:t>
      </w:r>
      <w:r w:rsidR="00A64957">
        <w:t xml:space="preserve">and </w:t>
      </w:r>
      <w:r w:rsidR="004D5599">
        <w:t>early Au</w:t>
      </w:r>
      <w:r w:rsidR="004D5599" w:rsidRPr="002623F4">
        <w:t>gust</w:t>
      </w:r>
      <w:r w:rsidR="00517D01">
        <w:t xml:space="preserve"> (13.4 </w:t>
      </w:r>
      <w:r w:rsidR="008205FB">
        <w:t xml:space="preserve">ILI notifications </w:t>
      </w:r>
      <w:r w:rsidR="00517D01">
        <w:t>per 1,000 consultations per year)</w:t>
      </w:r>
      <w:r w:rsidR="004F1842">
        <w:t xml:space="preserve">. </w:t>
      </w:r>
      <w:r w:rsidR="00EB13AC">
        <w:t xml:space="preserve">In contrast, </w:t>
      </w:r>
      <w:r w:rsidR="00C424B2" w:rsidRPr="002623F4">
        <w:t>influenz</w:t>
      </w:r>
      <w:r w:rsidR="00C424B2" w:rsidRPr="00B9087E">
        <w:t>a-like-illness</w:t>
      </w:r>
      <w:r w:rsidR="00C424B2">
        <w:t xml:space="preserve"> consultation</w:t>
      </w:r>
      <w:r w:rsidR="00D74550">
        <w:t xml:space="preserve"> rate</w:t>
      </w:r>
      <w:r w:rsidR="00C424B2">
        <w:t>s</w:t>
      </w:r>
      <w:r w:rsidR="0045708D">
        <w:t xml:space="preserve"> </w:t>
      </w:r>
      <w:r w:rsidR="00AC2DEF">
        <w:t>were</w:t>
      </w:r>
      <w:r w:rsidR="00304FFE">
        <w:t xml:space="preserve"> </w:t>
      </w:r>
      <w:r w:rsidR="0045708D">
        <w:t>lower</w:t>
      </w:r>
      <w:r w:rsidRPr="00552BD0">
        <w:t xml:space="preserve"> in </w:t>
      </w:r>
      <w:r w:rsidR="00B6253D">
        <w:t>2023</w:t>
      </w:r>
      <w:r w:rsidR="00304FFE">
        <w:t xml:space="preserve"> though peaked at a similar time, </w:t>
      </w:r>
      <w:r w:rsidR="00035DDD">
        <w:t xml:space="preserve">and </w:t>
      </w:r>
      <w:r w:rsidR="00FA2D75">
        <w:t xml:space="preserve">in 2022 </w:t>
      </w:r>
      <w:r w:rsidR="00035DDD">
        <w:t>the peak was</w:t>
      </w:r>
      <w:r w:rsidR="00FA2D75">
        <w:t xml:space="preserve"> slightly</w:t>
      </w:r>
      <w:r w:rsidR="00035DDD">
        <w:t xml:space="preserve"> </w:t>
      </w:r>
      <w:r w:rsidR="00533D86">
        <w:t xml:space="preserve">earlier </w:t>
      </w:r>
      <w:r w:rsidR="005F5633">
        <w:t>(June)</w:t>
      </w:r>
      <w:r w:rsidR="00FA2D75">
        <w:t xml:space="preserve"> but </w:t>
      </w:r>
      <w:r w:rsidR="009A58C4">
        <w:t xml:space="preserve">almost as high as in </w:t>
      </w:r>
      <w:r w:rsidR="001A5742">
        <w:t xml:space="preserve">July </w:t>
      </w:r>
      <w:r w:rsidR="009A58C4">
        <w:t>2024</w:t>
      </w:r>
      <w:r w:rsidR="003A25F0">
        <w:t xml:space="preserve"> </w:t>
      </w:r>
      <w:r w:rsidR="001F34C7">
        <w:t>(</w:t>
      </w:r>
      <w:r w:rsidR="004A5F5E">
        <w:t>Figure 11</w:t>
      </w:r>
      <w:r w:rsidR="001F34C7">
        <w:t>)</w:t>
      </w:r>
      <w:r>
        <w:t>.</w:t>
      </w:r>
    </w:p>
    <w:p w14:paraId="16A31903" w14:textId="146C5D7D" w:rsidR="00A715E6" w:rsidRDefault="004A5F5E" w:rsidP="000E02DC">
      <w:pPr>
        <w:pStyle w:val="Caption"/>
      </w:pPr>
      <w:r>
        <w:t>Figure 11</w:t>
      </w:r>
      <w:r w:rsidR="0019761A">
        <w:t xml:space="preserve">: Rate of influenza-like-illness per 1,000 consultations per week </w:t>
      </w:r>
      <w:r w:rsidR="004B402F">
        <w:t>at</w:t>
      </w:r>
      <w:r w:rsidR="0019761A">
        <w:t xml:space="preserve"> sentinel general practice sites compared with the five-year average by year and week of consultation*, Australia, </w:t>
      </w:r>
      <w:r w:rsidR="002739F8">
        <w:t>January 2022 to December 2024</w:t>
      </w:r>
      <w:r w:rsidR="0019761A">
        <w:rPr>
          <w:noProof/>
        </w:rPr>
        <w:drawing>
          <wp:inline distT="0" distB="0" distL="0" distR="0" wp14:anchorId="16A31FF7" wp14:editId="193E833B">
            <wp:extent cx="6184900" cy="2650671"/>
            <wp:effectExtent l="0" t="0" r="0" b="0"/>
            <wp:docPr id="56" name="Picture"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60DF66D" w14:textId="77777777" w:rsidR="000E02DC" w:rsidRDefault="0019761A" w:rsidP="000E02DC">
      <w:pPr>
        <w:pStyle w:val="Smalltext"/>
        <w:rPr>
          <w:szCs w:val="18"/>
        </w:rPr>
      </w:pPr>
      <w:r>
        <w:t xml:space="preserve">Source: </w:t>
      </w:r>
      <w:proofErr w:type="gramStart"/>
      <w:r>
        <w:t>Australian Sentinel Practice</w:t>
      </w:r>
      <w:r w:rsidR="00A74C9C">
        <w:t>s</w:t>
      </w:r>
      <w:r>
        <w:t xml:space="preserve"> Research Network (ASPREN)</w:t>
      </w:r>
      <w:r w:rsidR="008D5B68" w:rsidRPr="00C23A60">
        <w:rPr>
          <w:szCs w:val="18"/>
        </w:rPr>
        <w:t>,</w:t>
      </w:r>
      <w:proofErr w:type="gramEnd"/>
      <w:r w:rsidR="008D5B68" w:rsidRPr="00C23A60">
        <w:rPr>
          <w:szCs w:val="18"/>
        </w:rPr>
        <w:t xml:space="preserve"> extracted </w:t>
      </w:r>
      <w:r w:rsidR="008D5B68">
        <w:rPr>
          <w:szCs w:val="18"/>
        </w:rPr>
        <w:t>26 February</w:t>
      </w:r>
      <w:r w:rsidR="008D5B68" w:rsidRPr="00C23A60">
        <w:rPr>
          <w:szCs w:val="18"/>
        </w:rPr>
        <w:t xml:space="preserve"> 2025</w:t>
      </w:r>
      <w:r w:rsidR="00CE256D">
        <w:rPr>
          <w:szCs w:val="18"/>
        </w:rPr>
        <w:t>.</w:t>
      </w:r>
    </w:p>
    <w:p w14:paraId="16A31904" w14:textId="204D06E3" w:rsidR="00A715E6" w:rsidRDefault="0019761A" w:rsidP="000E02DC">
      <w:pPr>
        <w:pStyle w:val="Smalltext"/>
      </w:pPr>
      <w:r>
        <w:t>* The years 2020 and 2021 are excluded when comparing the current season to historical periods when influenza virus has circulated without public health restrictions. As such, the five-year average includes the years 2017 to 2019 and 2022 to 2023.</w:t>
      </w:r>
      <w:r w:rsidR="00DC6630">
        <w:t xml:space="preserve"> </w:t>
      </w:r>
    </w:p>
    <w:p w14:paraId="734C51EF" w14:textId="14961207" w:rsidR="00CF2514" w:rsidRDefault="0019761A" w:rsidP="00F35AC8">
      <w:r>
        <w:t>In 2024,</w:t>
      </w:r>
      <w:r w:rsidR="007739C0">
        <w:t xml:space="preserve"> more (</w:t>
      </w:r>
      <w:r>
        <w:t>61.0%</w:t>
      </w:r>
      <w:r w:rsidR="007739C0">
        <w:t>;</w:t>
      </w:r>
      <w:r>
        <w:t xml:space="preserve"> 1,666/2,729) people attending </w:t>
      </w:r>
      <w:r w:rsidR="0091528C">
        <w:t xml:space="preserve">a sentinel </w:t>
      </w:r>
      <w:r>
        <w:t xml:space="preserve">general practice with </w:t>
      </w:r>
      <w:r w:rsidR="008205FB">
        <w:t>ILI</w:t>
      </w:r>
      <w:r w:rsidR="001D08DC">
        <w:t>,</w:t>
      </w:r>
      <w:r>
        <w:t xml:space="preserve"> </w:t>
      </w:r>
      <w:r w:rsidR="00DB0B94">
        <w:t>who were then tested</w:t>
      </w:r>
      <w:r w:rsidR="001D08DC">
        <w:t>,</w:t>
      </w:r>
      <w:r w:rsidR="0066470C">
        <w:t xml:space="preserve"> were</w:t>
      </w:r>
      <w:r w:rsidR="0029169C">
        <w:t xml:space="preserve"> </w:t>
      </w:r>
      <w:r>
        <w:t>positive for a respiratory pathogen</w:t>
      </w:r>
      <w:r w:rsidR="007739C0">
        <w:t>, than in 2023 (59.3%;</w:t>
      </w:r>
      <w:r w:rsidR="0071731D">
        <w:t xml:space="preserve"> 1,025/1,7</w:t>
      </w:r>
      <w:r w:rsidR="007C4C15">
        <w:t>29</w:t>
      </w:r>
      <w:r w:rsidR="007739C0">
        <w:t>)</w:t>
      </w:r>
      <w:r>
        <w:t xml:space="preserve">. </w:t>
      </w:r>
      <w:r w:rsidR="0006358F">
        <w:t>In 2024, r</w:t>
      </w:r>
      <w:r>
        <w:t xml:space="preserve">hinovirus (34.0%; 566/1,666) was </w:t>
      </w:r>
      <w:proofErr w:type="gramStart"/>
      <w:r>
        <w:t>most commonly detected</w:t>
      </w:r>
      <w:proofErr w:type="gramEnd"/>
      <w:r>
        <w:t>, followed by influenza (23.9%; 398/1,666), SARS-CoV-2 (13.1%; 219/1,666), RSV (8.9%; 148/1,666), and human metapneumovirus (</w:t>
      </w:r>
      <w:r w:rsidR="00ED2C1B">
        <w:t>h</w:t>
      </w:r>
      <w:r w:rsidR="00783A45">
        <w:t>MPV</w:t>
      </w:r>
      <w:r w:rsidR="00A066D7">
        <w:t>)</w:t>
      </w:r>
      <w:r>
        <w:t xml:space="preserve"> (8.8%; 146/1,666).</w:t>
      </w:r>
    </w:p>
    <w:p w14:paraId="6DD7C735" w14:textId="2F5E5540" w:rsidR="002453D6" w:rsidRDefault="00E23565" w:rsidP="00F35AC8">
      <w:r>
        <w:t>T</w:t>
      </w:r>
      <w:r w:rsidR="00DA2700">
        <w:t xml:space="preserve">he number of samples tested in 2024 was higher than in </w:t>
      </w:r>
      <w:r w:rsidR="00B01616">
        <w:t xml:space="preserve">either </w:t>
      </w:r>
      <w:r w:rsidR="00DA2700">
        <w:t>2022 or 2023</w:t>
      </w:r>
      <w:r w:rsidR="006975F9">
        <w:t xml:space="preserve"> </w:t>
      </w:r>
      <w:r>
        <w:t>(</w:t>
      </w:r>
      <w:r w:rsidR="004A5F5E">
        <w:t>Figure 12</w:t>
      </w:r>
      <w:r>
        <w:t>).</w:t>
      </w:r>
      <w:r w:rsidR="002F6206">
        <w:t xml:space="preserve"> Several factors likely contributed to the overall increase in the number of samples tested in 2024</w:t>
      </w:r>
      <w:r w:rsidR="00267B41">
        <w:t>,</w:t>
      </w:r>
      <w:r w:rsidR="002F6206">
        <w:t xml:space="preserve"> </w:t>
      </w:r>
      <w:r w:rsidR="002453D6">
        <w:t>compared</w:t>
      </w:r>
      <w:r w:rsidR="002F6206">
        <w:t xml:space="preserve"> to</w:t>
      </w:r>
      <w:r w:rsidR="002453D6">
        <w:t xml:space="preserve"> previous years, including: </w:t>
      </w:r>
    </w:p>
    <w:p w14:paraId="2ADE0808" w14:textId="5506D926" w:rsidR="002453D6" w:rsidRDefault="002453D6" w:rsidP="001D2466">
      <w:pPr>
        <w:pStyle w:val="ListBullet"/>
      </w:pPr>
      <w:r>
        <w:t>variations in severity of acute respiratory infections</w:t>
      </w:r>
    </w:p>
    <w:p w14:paraId="22E6F559" w14:textId="29F8D88C" w:rsidR="002453D6" w:rsidRDefault="002453D6" w:rsidP="001D2466">
      <w:pPr>
        <w:pStyle w:val="ListBullet"/>
      </w:pPr>
      <w:r>
        <w:lastRenderedPageBreak/>
        <w:t>changes in the health</w:t>
      </w:r>
      <w:r w:rsidR="001244B7">
        <w:t>-</w:t>
      </w:r>
      <w:r>
        <w:t xml:space="preserve">seeking behaviour and testing practices at sentinel general practices sites due to the availability of telehealth and respiratory clinics across 2020–2022   </w:t>
      </w:r>
    </w:p>
    <w:p w14:paraId="115F1407" w14:textId="110A3921" w:rsidR="002453D6" w:rsidRDefault="002453D6" w:rsidP="001D2466">
      <w:pPr>
        <w:pStyle w:val="ListBullet"/>
      </w:pPr>
      <w:r>
        <w:t>increased number of participating sentinel general practice sites</w:t>
      </w:r>
      <w:r w:rsidR="00614235">
        <w:t xml:space="preserve"> in </w:t>
      </w:r>
      <w:r w:rsidR="00F60AB9">
        <w:t>recent years</w:t>
      </w:r>
      <w:r>
        <w:t xml:space="preserve">. </w:t>
      </w:r>
    </w:p>
    <w:p w14:paraId="505C536F" w14:textId="612870A2" w:rsidR="00DA171D" w:rsidRDefault="00BC2D18" w:rsidP="00F35AC8">
      <w:r>
        <w:t>Following r</w:t>
      </w:r>
      <w:r w:rsidR="00DA171D">
        <w:t>hinovirus</w:t>
      </w:r>
      <w:r>
        <w:t xml:space="preserve">, </w:t>
      </w:r>
      <w:r w:rsidR="00DA171D">
        <w:t xml:space="preserve">influenza </w:t>
      </w:r>
      <w:r>
        <w:t xml:space="preserve">was </w:t>
      </w:r>
      <w:r w:rsidR="00DA171D">
        <w:t xml:space="preserve">the </w:t>
      </w:r>
      <w:proofErr w:type="gramStart"/>
      <w:r w:rsidR="00DA171D">
        <w:t>most commonly detected</w:t>
      </w:r>
      <w:proofErr w:type="gramEnd"/>
      <w:r w:rsidR="00DA171D">
        <w:t xml:space="preserve"> respiratory pathogen</w:t>
      </w:r>
      <w:r w:rsidR="004F054F">
        <w:t xml:space="preserve"> in each year of 2022–2024</w:t>
      </w:r>
      <w:r w:rsidR="00BF5FD0">
        <w:t>.</w:t>
      </w:r>
      <w:r w:rsidR="00C9033C">
        <w:t xml:space="preserve"> While rhinovirus positivity </w:t>
      </w:r>
      <w:r w:rsidR="005D3658">
        <w:t xml:space="preserve">usually remains </w:t>
      </w:r>
      <w:r w:rsidR="00C9033C">
        <w:t>relatively constant</w:t>
      </w:r>
      <w:r w:rsidR="001A2E66">
        <w:t xml:space="preserve"> throughout the year</w:t>
      </w:r>
      <w:r w:rsidR="00C9033C">
        <w:t xml:space="preserve">, </w:t>
      </w:r>
      <w:r w:rsidR="00965C13">
        <w:t>in</w:t>
      </w:r>
      <w:r w:rsidR="00A9023E">
        <w:t>fluenza positivity</w:t>
      </w:r>
      <w:r w:rsidR="00A410C1">
        <w:t xml:space="preserve"> follows seasonal trends</w:t>
      </w:r>
      <w:r w:rsidR="005365AC">
        <w:t>.</w:t>
      </w:r>
      <w:r w:rsidR="00995FE1">
        <w:fldChar w:fldCharType="begin"/>
      </w:r>
      <w:r w:rsidR="00C364E0">
        <w:instrText xml:space="preserve"> ADDIN EN.CITE &lt;EndNote&gt;&lt;Cite&gt;&lt;Author&gt;Lu&lt;/Author&gt;&lt;Year&gt;2025&lt;/Year&gt;&lt;RecNum&gt;2817&lt;/RecNum&gt;&lt;DisplayText&gt;&lt;style face="superscript"&gt;24&lt;/style&gt;&lt;/DisplayText&gt;&lt;record&gt;&lt;rec-number&gt;2817&lt;/rec-number&gt;&lt;foreign-keys&gt;&lt;key app="EN" db-id="ptaw2s0tmse5w0exvrh5d2vpdtxat2eaaazf" timestamp="1742520680"&gt;2817&lt;/key&gt;&lt;/foreign-keys&gt;&lt;ref-type name="Journal Article"&gt;17&lt;/ref-type&gt;&lt;contributors&gt;&lt;authors&gt;&lt;author&gt;Lu, Cynthia&lt;/author&gt;&lt;author&gt;Barr, Ian G.&lt;/author&gt;&lt;author&gt;Lambert, Stephen&lt;/author&gt;&lt;author&gt;Mengersen, Kerrie&lt;/author&gt;&lt;author&gt;Wang, Liping&lt;/author&gt;&lt;author&gt;Yang, Weizhong&lt;/author&gt;&lt;author&gt;Li, Zhongjie&lt;/author&gt;&lt;author&gt;Vardoulakis, Sotiris&lt;/author&gt;&lt;author&gt;Bambrick, Hilary&lt;/author&gt;&lt;author&gt;Hu, Wenbiao&lt;/author&gt;&lt;/authors&gt;&lt;/contributors&gt;&lt;titles&gt;&lt;title&gt;Shifts in seasonal influenza patterns in Australia during and after COVID-19: A comprehensive analysis&lt;/title&gt;&lt;secondary-title&gt;J Infect Public Health&lt;/secondary-title&gt;&lt;/titles&gt;&lt;periodical&gt;&lt;full-title&gt;J Infect Public Health&lt;/full-title&gt;&lt;/periodical&gt;&lt;pages&gt;102620&lt;/pages&gt;&lt;volume&gt;18&lt;/volume&gt;&lt;number&gt;1&lt;/number&gt;&lt;keywords&gt;&lt;keyword&gt;Seasonal influenza&lt;/keyword&gt;&lt;keyword&gt;Surveillance&lt;/keyword&gt;&lt;keyword&gt;Epidemic onset&lt;/keyword&gt;&lt;keyword&gt;Subtypes&lt;/keyword&gt;&lt;keyword&gt;COVID-19&lt;/keyword&gt;&lt;/keywords&gt;&lt;dates&gt;&lt;year&gt;2025&lt;/year&gt;&lt;pub-dates&gt;&lt;date&gt;2025/01/01/&lt;/date&gt;&lt;/pub-dates&gt;&lt;/dates&gt;&lt;isbn&gt;1876-0341&lt;/isbn&gt;&lt;urls&gt;&lt;related-urls&gt;&lt;url&gt;https://www.sciencedirect.com/science/article/pii/S187603412400354X&lt;/url&gt;&lt;/related-urls&gt;&lt;/urls&gt;&lt;electronic-resource-num&gt;doi: https://doi.org/10.1016/j.jiph.2024.102620&lt;/electronic-resource-num&gt;&lt;/record&gt;&lt;/Cite&gt;&lt;/EndNote&gt;</w:instrText>
      </w:r>
      <w:r w:rsidR="00995FE1">
        <w:fldChar w:fldCharType="separate"/>
      </w:r>
      <w:r w:rsidR="00E13203" w:rsidRPr="00E13203">
        <w:rPr>
          <w:noProof/>
          <w:vertAlign w:val="superscript"/>
        </w:rPr>
        <w:t>24</w:t>
      </w:r>
      <w:r w:rsidR="00995FE1">
        <w:fldChar w:fldCharType="end"/>
      </w:r>
      <w:r w:rsidR="005365AC">
        <w:t xml:space="preserve"> In</w:t>
      </w:r>
      <w:r w:rsidR="00965C13">
        <w:t xml:space="preserve"> 2024</w:t>
      </w:r>
      <w:r w:rsidR="005365AC">
        <w:t>,</w:t>
      </w:r>
      <w:r w:rsidR="00965C13">
        <w:t xml:space="preserve"> </w:t>
      </w:r>
      <w:r w:rsidR="00DA6E4A">
        <w:t>influenza positivity</w:t>
      </w:r>
      <w:r w:rsidR="002276F8">
        <w:t xml:space="preserve"> peaked at 31.9%</w:t>
      </w:r>
      <w:r w:rsidR="00450E43">
        <w:t xml:space="preserve"> per week</w:t>
      </w:r>
      <w:r w:rsidR="002276F8">
        <w:t xml:space="preserve"> in late</w:t>
      </w:r>
      <w:r w:rsidR="00553B67">
        <w:t xml:space="preserve"> July</w:t>
      </w:r>
      <w:r w:rsidR="004E493E">
        <w:t xml:space="preserve">, compared to </w:t>
      </w:r>
      <w:r w:rsidR="00CA269B">
        <w:t>40.9%</w:t>
      </w:r>
      <w:r w:rsidR="00450E43">
        <w:t xml:space="preserve"> per week</w:t>
      </w:r>
      <w:r w:rsidR="00CA269B">
        <w:t xml:space="preserve"> in June 2023 and</w:t>
      </w:r>
      <w:r w:rsidR="00184978">
        <w:t xml:space="preserve"> 48.</w:t>
      </w:r>
      <w:r w:rsidR="00AC4AAA">
        <w:t>3%</w:t>
      </w:r>
      <w:r w:rsidR="00450E43">
        <w:t xml:space="preserve"> per week</w:t>
      </w:r>
      <w:r w:rsidR="00AC4AAA">
        <w:t xml:space="preserve"> in May 2022 </w:t>
      </w:r>
      <w:r w:rsidR="00DA171D">
        <w:t>(</w:t>
      </w:r>
      <w:r w:rsidR="004A5F5E">
        <w:t>Figure 12</w:t>
      </w:r>
      <w:r w:rsidR="00DA171D">
        <w:t>).</w:t>
      </w:r>
    </w:p>
    <w:p w14:paraId="285579DC" w14:textId="4A9829B5" w:rsidR="00886F9C" w:rsidRDefault="00886F9C" w:rsidP="00F35AC8">
      <w:r>
        <w:t>The</w:t>
      </w:r>
      <w:r w:rsidR="00A1116B">
        <w:t>re w</w:t>
      </w:r>
      <w:r w:rsidR="003519FE">
        <w:t xml:space="preserve">as an overall increase in the </w:t>
      </w:r>
      <w:r w:rsidR="00F904E8">
        <w:t xml:space="preserve">number of samples positive for </w:t>
      </w:r>
      <w:r w:rsidR="00F904E8" w:rsidRPr="00B87348">
        <w:rPr>
          <w:i/>
          <w:iCs/>
        </w:rPr>
        <w:t>Mycoplasma pneumonia</w:t>
      </w:r>
      <w:r w:rsidR="00B87348" w:rsidRPr="00B87348">
        <w:rPr>
          <w:i/>
          <w:iCs/>
        </w:rPr>
        <w:t>e</w:t>
      </w:r>
      <w:r w:rsidR="00B87348">
        <w:t xml:space="preserve"> and </w:t>
      </w:r>
      <w:r w:rsidR="00B87348" w:rsidRPr="00B87348">
        <w:rPr>
          <w:i/>
          <w:iCs/>
        </w:rPr>
        <w:t>Bordetella pertussis</w:t>
      </w:r>
      <w:r w:rsidR="00B87348">
        <w:t xml:space="preserve"> (</w:t>
      </w:r>
      <w:r w:rsidR="00B87348" w:rsidRPr="000116EF">
        <w:rPr>
          <w:i/>
          <w:iCs/>
        </w:rPr>
        <w:t>Pertussis</w:t>
      </w:r>
      <w:r w:rsidR="00B87348">
        <w:t>)</w:t>
      </w:r>
      <w:r w:rsidR="00F904E8">
        <w:t xml:space="preserve"> </w:t>
      </w:r>
      <w:r w:rsidR="00A1116B">
        <w:t>across 2024</w:t>
      </w:r>
      <w:r w:rsidR="003519FE">
        <w:t xml:space="preserve">, </w:t>
      </w:r>
      <w:r w:rsidR="0079562B">
        <w:t xml:space="preserve">compared with previous years </w:t>
      </w:r>
      <w:r w:rsidR="00E37630">
        <w:t xml:space="preserve">when </w:t>
      </w:r>
      <w:r w:rsidR="006C1ADC">
        <w:t xml:space="preserve">very few samples </w:t>
      </w:r>
      <w:r w:rsidR="006437A8">
        <w:t xml:space="preserve">were </w:t>
      </w:r>
      <w:r w:rsidR="006C1ADC">
        <w:t xml:space="preserve">positive for either </w:t>
      </w:r>
      <w:r w:rsidR="007C2AB7">
        <w:t>pathogen</w:t>
      </w:r>
      <w:r w:rsidR="006C1ADC">
        <w:t xml:space="preserve"> (</w:t>
      </w:r>
      <w:r w:rsidR="004A5F5E">
        <w:t>Figure 12</w:t>
      </w:r>
      <w:r w:rsidR="006C1ADC">
        <w:t xml:space="preserve">). </w:t>
      </w:r>
      <w:r w:rsidR="000116EF">
        <w:t>Th</w:t>
      </w:r>
      <w:r w:rsidR="00275DB3">
        <w:t xml:space="preserve">e </w:t>
      </w:r>
      <w:r w:rsidR="000116EF">
        <w:t xml:space="preserve">trend </w:t>
      </w:r>
      <w:r w:rsidR="00275DB3">
        <w:t xml:space="preserve">for </w:t>
      </w:r>
      <w:r w:rsidR="00275DB3" w:rsidRPr="000116EF">
        <w:rPr>
          <w:i/>
          <w:iCs/>
        </w:rPr>
        <w:t>Pertussis</w:t>
      </w:r>
      <w:r w:rsidR="00275DB3">
        <w:t xml:space="preserve"> </w:t>
      </w:r>
      <w:r w:rsidR="000116EF">
        <w:t xml:space="preserve">should be interpreted with caution as the influenza-like-illness case definition is not </w:t>
      </w:r>
      <w:r w:rsidR="008C7716">
        <w:t>designed to be</w:t>
      </w:r>
      <w:r w:rsidR="000116EF">
        <w:t xml:space="preserve"> sensitive for </w:t>
      </w:r>
      <w:r w:rsidR="000116EF" w:rsidRPr="000116EF">
        <w:rPr>
          <w:i/>
          <w:iCs/>
        </w:rPr>
        <w:t>Pertussis</w:t>
      </w:r>
      <w:r w:rsidR="000116EF">
        <w:t>.</w:t>
      </w:r>
      <w:r>
        <w:t xml:space="preserve"> </w:t>
      </w:r>
    </w:p>
    <w:p w14:paraId="16A3190B" w14:textId="12A8E6B7" w:rsidR="00A715E6" w:rsidRDefault="004A5F5E" w:rsidP="000E02DC">
      <w:pPr>
        <w:pStyle w:val="Caption"/>
      </w:pPr>
      <w:r>
        <w:t>Figure 12</w:t>
      </w:r>
      <w:r w:rsidR="0019761A">
        <w:t>: Number of samples tested for respiratory pathogens among people with influenza-like-illness attending sentinel general practice sites by respiratory pathogen</w:t>
      </w:r>
      <w:r w:rsidR="007A42C9">
        <w:t>,</w:t>
      </w:r>
      <w:r w:rsidR="0019761A">
        <w:t xml:space="preserve"> week of specimen collection</w:t>
      </w:r>
      <w:r w:rsidR="007A42C9">
        <w:t xml:space="preserve"> and year</w:t>
      </w:r>
      <w:r w:rsidR="00E11EEF">
        <w:t>*</w:t>
      </w:r>
      <w:r w:rsidR="0019761A">
        <w:t xml:space="preserve">, Australia, </w:t>
      </w:r>
      <w:r w:rsidR="00A3614D">
        <w:t>January 2022 to December 2024</w:t>
      </w:r>
    </w:p>
    <w:p w14:paraId="7AEA013B" w14:textId="77777777" w:rsidR="00D876E8" w:rsidRDefault="00D876E8" w:rsidP="00D876E8">
      <w:pPr>
        <w:pStyle w:val="BodyText"/>
      </w:pPr>
      <w:r>
        <w:rPr>
          <w:noProof/>
        </w:rPr>
        <w:drawing>
          <wp:inline distT="0" distB="0" distL="0" distR="0" wp14:anchorId="7E3E1E14" wp14:editId="28E31E20">
            <wp:extent cx="6184900" cy="5301342"/>
            <wp:effectExtent l="0" t="0" r="0" b="0"/>
            <wp:docPr id="62" name="Picture"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10;"/>
            <wp:cNvGraphicFramePr/>
            <a:graphic xmlns:a="http://schemas.openxmlformats.org/drawingml/2006/main">
              <a:graphicData uri="http://schemas.openxmlformats.org/drawingml/2006/picture">
                <pic:pic xmlns:pic="http://schemas.openxmlformats.org/drawingml/2006/picture">
                  <pic:nvPicPr>
                    <pic:cNvPr id="62" name="Picture"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10;"/>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90E" w14:textId="68416CF9" w:rsidR="00A715E6" w:rsidRDefault="0019761A" w:rsidP="000E02DC">
      <w:pPr>
        <w:pStyle w:val="Smalltext"/>
      </w:pPr>
      <w:r>
        <w:t>Source: Australian Sentinel Practice</w:t>
      </w:r>
      <w:r w:rsidR="00A946DA">
        <w:t>s</w:t>
      </w:r>
      <w:r>
        <w:t xml:space="preserve"> Research Network (ASPREN)</w:t>
      </w:r>
      <w:r w:rsidR="008D5B68" w:rsidRPr="00C23A60">
        <w:rPr>
          <w:szCs w:val="18"/>
        </w:rPr>
        <w:t xml:space="preserve">, extracted </w:t>
      </w:r>
      <w:r w:rsidR="008D5B68">
        <w:rPr>
          <w:szCs w:val="18"/>
        </w:rPr>
        <w:t>26 February</w:t>
      </w:r>
      <w:r w:rsidR="008D5B68" w:rsidRPr="00C23A60">
        <w:rPr>
          <w:szCs w:val="18"/>
        </w:rPr>
        <w:t xml:space="preserve"> 2025</w:t>
      </w:r>
      <w:r w:rsidR="00CE256D">
        <w:rPr>
          <w:szCs w:val="18"/>
        </w:rPr>
        <w:t>.</w:t>
      </w:r>
      <w:r w:rsidR="007A42C9">
        <w:rPr>
          <w:szCs w:val="18"/>
        </w:rPr>
        <w:br/>
        <w:t xml:space="preserve">* </w:t>
      </w:r>
      <w:r w:rsidR="007A42C9">
        <w:t>Axis varies between years.</w:t>
      </w:r>
      <w:r>
        <w:br w:type="page"/>
      </w:r>
    </w:p>
    <w:p w14:paraId="16A3190F" w14:textId="77777777" w:rsidR="00A715E6" w:rsidRDefault="0019761A">
      <w:pPr>
        <w:pStyle w:val="Heading1"/>
      </w:pPr>
      <w:bookmarkStart w:id="23" w:name="_Toc194074621"/>
      <w:bookmarkStart w:id="24" w:name="hospital-based-surveillance"/>
      <w:bookmarkEnd w:id="22"/>
      <w:r>
        <w:lastRenderedPageBreak/>
        <w:t>Hospital-based surveillance</w:t>
      </w:r>
      <w:bookmarkEnd w:id="23"/>
    </w:p>
    <w:p w14:paraId="16A31910" w14:textId="77777777" w:rsidR="00A715E6" w:rsidRDefault="0019761A">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16A31911" w14:textId="228A6936" w:rsidR="00A715E6" w:rsidRPr="00BA7C1D" w:rsidRDefault="00DF0C0C" w:rsidP="006F4A37">
      <w:r w:rsidRPr="00875BF5">
        <w:t xml:space="preserve">In 2024, weekly </w:t>
      </w:r>
      <w:r w:rsidR="009D5531" w:rsidRPr="00875BF5">
        <w:t xml:space="preserve">admissions to </w:t>
      </w:r>
      <w:r w:rsidR="00947322">
        <w:t xml:space="preserve">FluCAN </w:t>
      </w:r>
      <w:r w:rsidR="009D5531" w:rsidRPr="00875BF5">
        <w:t xml:space="preserve">sentinel hospitals </w:t>
      </w:r>
      <w:r w:rsidRPr="00875BF5">
        <w:t xml:space="preserve">with COVID-19 gradually decreased from January </w:t>
      </w:r>
      <w:r w:rsidR="373101ED">
        <w:t>to late</w:t>
      </w:r>
      <w:r w:rsidR="00FB723E" w:rsidRPr="00875BF5">
        <w:t xml:space="preserve"> </w:t>
      </w:r>
      <w:r w:rsidRPr="00875BF5">
        <w:t xml:space="preserve">March, before </w:t>
      </w:r>
      <w:r w:rsidR="00FB723E" w:rsidRPr="00875BF5">
        <w:t xml:space="preserve">increasing </w:t>
      </w:r>
      <w:r w:rsidRPr="00875BF5">
        <w:t xml:space="preserve">to </w:t>
      </w:r>
      <w:r w:rsidR="00FB723E" w:rsidRPr="00875BF5">
        <w:t xml:space="preserve">a </w:t>
      </w:r>
      <w:r w:rsidRPr="00875BF5">
        <w:t>peak</w:t>
      </w:r>
      <w:r w:rsidR="00FB723E" w:rsidRPr="00875BF5">
        <w:t xml:space="preserve"> of </w:t>
      </w:r>
      <w:r w:rsidR="00C27C6E" w:rsidRPr="00875BF5">
        <w:t>206</w:t>
      </w:r>
      <w:r w:rsidR="00FB723E" w:rsidRPr="00875BF5">
        <w:t xml:space="preserve"> admissions per week</w:t>
      </w:r>
      <w:r w:rsidRPr="00875BF5">
        <w:t xml:space="preserve"> in </w:t>
      </w:r>
      <w:r w:rsidR="00BA57C1" w:rsidRPr="00875BF5">
        <w:t xml:space="preserve">late </w:t>
      </w:r>
      <w:r w:rsidRPr="00875BF5">
        <w:t>May.</w:t>
      </w:r>
      <w:r w:rsidR="00012A42" w:rsidRPr="00875BF5">
        <w:t xml:space="preserve"> Following </w:t>
      </w:r>
      <w:r w:rsidR="00AD55E2">
        <w:t>the</w:t>
      </w:r>
      <w:r w:rsidR="00AD55E2" w:rsidRPr="00875BF5">
        <w:t xml:space="preserve"> </w:t>
      </w:r>
      <w:r w:rsidR="00012A42" w:rsidRPr="00875BF5">
        <w:t xml:space="preserve">peak in </w:t>
      </w:r>
      <w:r w:rsidR="00D835E2" w:rsidRPr="00875BF5">
        <w:t>late May, t</w:t>
      </w:r>
      <w:r w:rsidRPr="00875BF5">
        <w:t>here was a</w:t>
      </w:r>
      <w:r w:rsidR="00D835E2" w:rsidRPr="00875BF5">
        <w:t xml:space="preserve">n overall </w:t>
      </w:r>
      <w:r w:rsidRPr="00875BF5">
        <w:t xml:space="preserve">decreasing trend </w:t>
      </w:r>
      <w:r w:rsidR="000477C2" w:rsidRPr="00875BF5">
        <w:t xml:space="preserve">with the </w:t>
      </w:r>
      <w:r w:rsidR="00157DF2" w:rsidRPr="00875BF5">
        <w:t>number of weekly admissions</w:t>
      </w:r>
      <w:r w:rsidR="00DA77B2" w:rsidRPr="00875BF5">
        <w:t xml:space="preserve"> </w:t>
      </w:r>
      <w:r w:rsidR="00CF6A61" w:rsidRPr="00875BF5">
        <w:t>not</w:t>
      </w:r>
      <w:r w:rsidR="00DA77B2" w:rsidRPr="00875BF5">
        <w:t xml:space="preserve"> exceeding 100 admissions per week </w:t>
      </w:r>
      <w:r w:rsidR="00C87E3F" w:rsidRPr="00875BF5">
        <w:t xml:space="preserve">from </w:t>
      </w:r>
      <w:r w:rsidR="00E320C0" w:rsidRPr="00875BF5">
        <w:t xml:space="preserve">late </w:t>
      </w:r>
      <w:r w:rsidR="00C87E3F" w:rsidRPr="00875BF5">
        <w:t>July to</w:t>
      </w:r>
      <w:r w:rsidR="000477C2" w:rsidRPr="00875BF5">
        <w:t xml:space="preserve"> </w:t>
      </w:r>
      <w:r w:rsidR="00E320C0" w:rsidRPr="00875BF5">
        <w:t>early November</w:t>
      </w:r>
      <w:r w:rsidR="00C9186D" w:rsidRPr="00875BF5">
        <w:t>. From early November w</w:t>
      </w:r>
      <w:r w:rsidR="00B82BF5" w:rsidRPr="00875BF5">
        <w:t xml:space="preserve">eekly admissions to sentinel hospitals with COVID-19 </w:t>
      </w:r>
      <w:r w:rsidR="00600EB7" w:rsidRPr="00875BF5">
        <w:t xml:space="preserve">remained above 100 admissions per week </w:t>
      </w:r>
      <w:r w:rsidR="00875BF5" w:rsidRPr="00875BF5">
        <w:t xml:space="preserve">for the remainder of </w:t>
      </w:r>
      <w:r w:rsidR="00875BF5" w:rsidRPr="00BA7C1D">
        <w:t>2024</w:t>
      </w:r>
      <w:r w:rsidRPr="00BA7C1D">
        <w:t xml:space="preserve"> (</w:t>
      </w:r>
      <w:r w:rsidR="004A5F5E">
        <w:t>Figure 13</w:t>
      </w:r>
      <w:r w:rsidRPr="00BA7C1D">
        <w:t>).</w:t>
      </w:r>
    </w:p>
    <w:p w14:paraId="59907FC0" w14:textId="5AE41662" w:rsidR="0094363E" w:rsidRPr="00BA7C1D" w:rsidRDefault="0019761A" w:rsidP="006F4A37">
      <w:r w:rsidRPr="00BA7C1D">
        <w:t>In</w:t>
      </w:r>
      <w:r w:rsidR="00D33249" w:rsidRPr="00BA7C1D">
        <w:t xml:space="preserve"> 2024, there were fewer </w:t>
      </w:r>
      <w:r w:rsidR="008C00A2" w:rsidRPr="00BA7C1D">
        <w:t>weekly admissions to sentinel hospitals with COVID-19 compared with 2022 and 2023</w:t>
      </w:r>
      <w:r w:rsidR="005F6E64" w:rsidRPr="00BA7C1D">
        <w:t>. A</w:t>
      </w:r>
      <w:r w:rsidR="00CA6B73" w:rsidRPr="00BA7C1D">
        <w:t>dmission patterns followed a similar trend each year</w:t>
      </w:r>
      <w:r w:rsidR="005F6E64" w:rsidRPr="00BA7C1D">
        <w:t xml:space="preserve"> with the number of weekly admissions </w:t>
      </w:r>
      <w:r w:rsidR="00D23E36" w:rsidRPr="00BA7C1D">
        <w:t xml:space="preserve">generally </w:t>
      </w:r>
      <w:r w:rsidR="00C72C73" w:rsidRPr="00BA7C1D">
        <w:t>e</w:t>
      </w:r>
      <w:r w:rsidR="00C72C73">
        <w:t>levated</w:t>
      </w:r>
      <w:r w:rsidR="00C72C73" w:rsidRPr="00BA7C1D">
        <w:t xml:space="preserve"> </w:t>
      </w:r>
      <w:r w:rsidR="005608C4" w:rsidRPr="00BA7C1D">
        <w:t>in January</w:t>
      </w:r>
      <w:r w:rsidR="002C5B3F" w:rsidRPr="00BA7C1D">
        <w:t xml:space="preserve"> and then again in May and June</w:t>
      </w:r>
      <w:r w:rsidR="001357D4" w:rsidRPr="00BA7C1D">
        <w:t xml:space="preserve"> </w:t>
      </w:r>
      <w:r w:rsidR="007A52C4" w:rsidRPr="00BA7C1D">
        <w:t>(</w:t>
      </w:r>
      <w:r w:rsidR="001357D4" w:rsidRPr="00BA7C1D">
        <w:t xml:space="preserve">though there was a sustained increase in weekly admissions across May to </w:t>
      </w:r>
      <w:r w:rsidR="008F1961" w:rsidRPr="00BA7C1D">
        <w:t xml:space="preserve">July </w:t>
      </w:r>
      <w:r w:rsidR="001357D4" w:rsidRPr="00BA7C1D">
        <w:t>2022</w:t>
      </w:r>
      <w:r w:rsidR="007A52C4" w:rsidRPr="00BA7C1D">
        <w:t>)</w:t>
      </w:r>
      <w:r w:rsidR="008C00A2" w:rsidRPr="00BA7C1D">
        <w:t xml:space="preserve"> </w:t>
      </w:r>
      <w:r w:rsidRPr="00BA7C1D">
        <w:t>(</w:t>
      </w:r>
      <w:r w:rsidR="004A5F5E">
        <w:t>Figure 13</w:t>
      </w:r>
      <w:r w:rsidRPr="00BA7C1D">
        <w:t>).</w:t>
      </w:r>
      <w:r w:rsidR="0094363E" w:rsidRPr="00BA7C1D">
        <w:t xml:space="preserve"> Several factors likely contributed to the overall decrease in the number of weekly admissions to sentinel hospitals with COVID-19 over time, including:</w:t>
      </w:r>
    </w:p>
    <w:p w14:paraId="1781CB49" w14:textId="11EC6D53" w:rsidR="0094363E" w:rsidRPr="00492287" w:rsidRDefault="0094363E" w:rsidP="001D2466">
      <w:pPr>
        <w:pStyle w:val="ListBullet"/>
      </w:pPr>
      <w:r w:rsidRPr="00BA7C1D">
        <w:t xml:space="preserve">increased immunity from vaccination and previous infections </w:t>
      </w:r>
      <w:r w:rsidR="00ED1E29">
        <w:t>contributing</w:t>
      </w:r>
      <w:r w:rsidRPr="00BA7C1D">
        <w:t xml:space="preserve"> to reduced</w:t>
      </w:r>
      <w:r w:rsidRPr="00492287">
        <w:t xml:space="preserve"> severity of infection</w:t>
      </w:r>
    </w:p>
    <w:p w14:paraId="69605D86" w14:textId="4CADCC8F" w:rsidR="0094363E" w:rsidRPr="00492287" w:rsidRDefault="0094363E" w:rsidP="001D2466">
      <w:pPr>
        <w:pStyle w:val="ListBullet"/>
      </w:pPr>
      <w:r w:rsidRPr="00492287">
        <w:t xml:space="preserve">early access to antivirals and other interventions </w:t>
      </w:r>
      <w:r w:rsidR="00ED1E29">
        <w:t>preventing</w:t>
      </w:r>
      <w:r w:rsidRPr="00492287">
        <w:t xml:space="preserve"> many cases from becoming severe</w:t>
      </w:r>
    </w:p>
    <w:p w14:paraId="30F0CBC0" w14:textId="77777777" w:rsidR="0094363E" w:rsidRPr="00492287" w:rsidRDefault="0094363E" w:rsidP="001D2466">
      <w:pPr>
        <w:pStyle w:val="ListBullet"/>
      </w:pPr>
      <w:r w:rsidRPr="00492287">
        <w:t>decreased intrinsic severity of circulating variants</w:t>
      </w:r>
    </w:p>
    <w:p w14:paraId="20C55813" w14:textId="77777777" w:rsidR="0094363E" w:rsidRPr="00CF02C3" w:rsidRDefault="0094363E" w:rsidP="001D2466">
      <w:pPr>
        <w:pStyle w:val="ListBullet"/>
      </w:pPr>
      <w:r w:rsidRPr="00CF02C3">
        <w:t>decreased number of overall COVID-19 cases.</w:t>
      </w:r>
    </w:p>
    <w:p w14:paraId="5D49671E" w14:textId="77777777" w:rsidR="00823D53" w:rsidRDefault="004278F1" w:rsidP="006F4A37">
      <w:r w:rsidRPr="00CF02C3">
        <w:t xml:space="preserve">In 2024, surveillance for admissions to sentinel hospitals with influenza began in April. </w:t>
      </w:r>
      <w:r w:rsidR="007B20F4" w:rsidRPr="00CF02C3">
        <w:t>From April</w:t>
      </w:r>
      <w:r w:rsidR="00E97013">
        <w:t>,</w:t>
      </w:r>
      <w:r w:rsidR="007B20F4" w:rsidRPr="00CF02C3">
        <w:t xml:space="preserve"> weekly admissions to sentinel hospitals with influenza increased to a peak </w:t>
      </w:r>
      <w:r w:rsidR="002D1DB8" w:rsidRPr="00CF02C3">
        <w:t>of 3</w:t>
      </w:r>
      <w:r w:rsidR="001D6581" w:rsidRPr="00CF02C3">
        <w:t>34</w:t>
      </w:r>
      <w:r w:rsidR="002D1DB8" w:rsidRPr="00CF02C3">
        <w:t xml:space="preserve"> </w:t>
      </w:r>
      <w:r w:rsidR="00662045" w:rsidRPr="00CF02C3">
        <w:t xml:space="preserve">admissions per week in </w:t>
      </w:r>
      <w:r w:rsidR="002D1DB8" w:rsidRPr="00CF02C3">
        <w:t xml:space="preserve">mid-July. Following </w:t>
      </w:r>
      <w:r w:rsidR="00B1574F">
        <w:t>the</w:t>
      </w:r>
      <w:r w:rsidR="002D1DB8" w:rsidRPr="00CF02C3">
        <w:t xml:space="preserve"> peak in mid-July,</w:t>
      </w:r>
      <w:r w:rsidR="00C41ED9" w:rsidRPr="00CF02C3">
        <w:t xml:space="preserve"> there was an overall decreasing trend </w:t>
      </w:r>
      <w:r w:rsidR="00886286">
        <w:t>in</w:t>
      </w:r>
      <w:r w:rsidR="00886286" w:rsidRPr="00CF02C3">
        <w:t xml:space="preserve"> </w:t>
      </w:r>
      <w:r w:rsidR="00C41ED9" w:rsidRPr="00CF02C3">
        <w:t>the number of weekly admissions</w:t>
      </w:r>
      <w:r w:rsidR="000362FD" w:rsidRPr="00CF02C3">
        <w:t xml:space="preserve">, </w:t>
      </w:r>
      <w:r w:rsidR="0053787A" w:rsidRPr="00CF02C3">
        <w:t xml:space="preserve">not </w:t>
      </w:r>
      <w:r w:rsidR="00C41ED9" w:rsidRPr="00CF02C3">
        <w:t xml:space="preserve">exceeding </w:t>
      </w:r>
      <w:r w:rsidR="0053787A" w:rsidRPr="00CF02C3">
        <w:t>50</w:t>
      </w:r>
      <w:r w:rsidR="00C41ED9" w:rsidRPr="00CF02C3">
        <w:t xml:space="preserve"> admissions per week from </w:t>
      </w:r>
      <w:r w:rsidR="0053787A" w:rsidRPr="00CF02C3">
        <w:t>late September</w:t>
      </w:r>
      <w:r w:rsidR="00C41ED9" w:rsidRPr="00CF02C3">
        <w:t xml:space="preserve"> to December</w:t>
      </w:r>
      <w:r w:rsidR="0053787A" w:rsidRPr="00CF02C3">
        <w:t xml:space="preserve"> </w:t>
      </w:r>
      <w:r w:rsidRPr="00CF02C3">
        <w:t>(</w:t>
      </w:r>
      <w:r w:rsidR="004A5F5E">
        <w:t>Figure 13</w:t>
      </w:r>
      <w:r w:rsidRPr="00CF02C3">
        <w:t>).</w:t>
      </w:r>
      <w:r w:rsidR="006F4A37">
        <w:t xml:space="preserve"> </w:t>
      </w:r>
    </w:p>
    <w:p w14:paraId="16A31915" w14:textId="4A7DF5BE" w:rsidR="00A715E6" w:rsidRPr="00D77835" w:rsidRDefault="0019761A" w:rsidP="006F4A37">
      <w:r w:rsidRPr="00824229">
        <w:t>In 2024</w:t>
      </w:r>
      <w:r w:rsidR="00383E36" w:rsidRPr="00824229">
        <w:t>,</w:t>
      </w:r>
      <w:r w:rsidRPr="00824229">
        <w:t xml:space="preserve"> most</w:t>
      </w:r>
      <w:r w:rsidR="007E0797" w:rsidRPr="00824229">
        <w:t xml:space="preserve"> (</w:t>
      </w:r>
      <w:r w:rsidR="009500FE" w:rsidRPr="00824229">
        <w:t>96.6%; 4,548/4,709</w:t>
      </w:r>
      <w:r w:rsidR="007E0797" w:rsidRPr="00824229">
        <w:t>) patients admitted to sentinel hospitals with influenza</w:t>
      </w:r>
      <w:r w:rsidRPr="00824229">
        <w:t xml:space="preserve"> </w:t>
      </w:r>
      <w:r w:rsidR="005B0015">
        <w:t>were</w:t>
      </w:r>
      <w:r w:rsidR="005B0015" w:rsidRPr="00824229">
        <w:t xml:space="preserve"> </w:t>
      </w:r>
      <w:r w:rsidRPr="00824229">
        <w:t>admitted with influenza A, while 3.</w:t>
      </w:r>
      <w:r w:rsidR="00E42BBF" w:rsidRPr="00824229">
        <w:t>4</w:t>
      </w:r>
      <w:r w:rsidRPr="00824229">
        <w:t>% (</w:t>
      </w:r>
      <w:r w:rsidR="00E42BBF" w:rsidRPr="00824229">
        <w:t>159/4,709</w:t>
      </w:r>
      <w:r w:rsidRPr="00824229">
        <w:t>) were admitted with influenza B.</w:t>
      </w:r>
      <w:r w:rsidR="006F4A37">
        <w:t xml:space="preserve"> </w:t>
      </w:r>
      <w:r w:rsidRPr="00E25E38">
        <w:t xml:space="preserve">Most admissions with influenza A </w:t>
      </w:r>
      <w:r w:rsidR="005912AE">
        <w:t>were</w:t>
      </w:r>
      <w:r w:rsidR="00397347" w:rsidRPr="00E25E38">
        <w:t xml:space="preserve"> </w:t>
      </w:r>
      <w:r w:rsidR="00FD6CF0" w:rsidRPr="00E25E38">
        <w:t>influenza A(H3N2) (43.3%; 1,968/4,548)</w:t>
      </w:r>
      <w:r w:rsidR="00397347" w:rsidRPr="00E25E38">
        <w:t xml:space="preserve">, </w:t>
      </w:r>
      <w:r w:rsidR="00E25E38" w:rsidRPr="00E25E38">
        <w:t>followed by influenza A(</w:t>
      </w:r>
      <w:proofErr w:type="spellStart"/>
      <w:r w:rsidR="00E25E38" w:rsidRPr="00E25E38">
        <w:t>Unsubtyped</w:t>
      </w:r>
      <w:proofErr w:type="spellEnd"/>
      <w:r w:rsidR="00E25E38" w:rsidRPr="00E25E38">
        <w:t xml:space="preserve">) (28.9%; 1,315/4,548), and influenza A(H1N1) (27.8%; </w:t>
      </w:r>
      <w:r w:rsidR="00E25E38" w:rsidRPr="00D77835">
        <w:t>1,265/4,548)</w:t>
      </w:r>
      <w:r w:rsidRPr="00D77835">
        <w:t>.</w:t>
      </w:r>
    </w:p>
    <w:p w14:paraId="16A31916" w14:textId="2EED4096" w:rsidR="00A715E6" w:rsidRPr="00D77835" w:rsidRDefault="001220EF" w:rsidP="006F4A37">
      <w:r>
        <w:t>From April to October 2024, there were</w:t>
      </w:r>
      <w:r w:rsidR="00B1684B">
        <w:t xml:space="preserve"> fewer weekly admissions to sentinel hospitals </w:t>
      </w:r>
      <w:r w:rsidR="001668A6">
        <w:t>with influenza</w:t>
      </w:r>
      <w:r w:rsidR="009C6E54">
        <w:t xml:space="preserve"> compared with</w:t>
      </w:r>
      <w:r w:rsidR="000845C0">
        <w:t xml:space="preserve"> the same period in</w:t>
      </w:r>
      <w:r w:rsidR="009C6E54">
        <w:t xml:space="preserve"> 2023</w:t>
      </w:r>
      <w:r w:rsidR="00E43487">
        <w:t xml:space="preserve"> and 2022</w:t>
      </w:r>
      <w:r w:rsidR="009C6E54">
        <w:t>.</w:t>
      </w:r>
      <w:r w:rsidR="009473C5">
        <w:t xml:space="preserve"> </w:t>
      </w:r>
      <w:r w:rsidR="002E00C7" w:rsidRPr="00D77835">
        <w:t>From April to October,</w:t>
      </w:r>
      <w:r w:rsidR="00482F37" w:rsidRPr="00D77835">
        <w:t xml:space="preserve"> th</w:t>
      </w:r>
      <w:r w:rsidR="00742E1B" w:rsidRPr="00D77835">
        <w:t>e</w:t>
      </w:r>
      <w:r w:rsidR="00E90FD5" w:rsidRPr="00D77835">
        <w:t xml:space="preserve"> peak number of weekly admissions to sentinel hospitals with influenza</w:t>
      </w:r>
      <w:r w:rsidR="00742E1B" w:rsidRPr="00D77835">
        <w:t xml:space="preserve"> w</w:t>
      </w:r>
      <w:r w:rsidR="00E90FD5" w:rsidRPr="00D77835">
        <w:t xml:space="preserve">as similar across 2022–2024; however, </w:t>
      </w:r>
      <w:r w:rsidR="00AD0155" w:rsidRPr="00D77835">
        <w:t xml:space="preserve">the peaks occurred </w:t>
      </w:r>
      <w:r w:rsidR="005E0B4C" w:rsidRPr="00D77835">
        <w:t xml:space="preserve">later and were more prolonged in 2023 and 2024 </w:t>
      </w:r>
      <w:r w:rsidR="008E4F4E" w:rsidRPr="00D77835">
        <w:t xml:space="preserve">(July) </w:t>
      </w:r>
      <w:r w:rsidR="005E0B4C" w:rsidRPr="00D77835">
        <w:t>compared with 2022</w:t>
      </w:r>
      <w:r w:rsidR="008E4F4E" w:rsidRPr="00D77835">
        <w:t xml:space="preserve"> (May)</w:t>
      </w:r>
      <w:r w:rsidR="005E0B4C" w:rsidRPr="00D77835">
        <w:t xml:space="preserve"> </w:t>
      </w:r>
      <w:r w:rsidR="002E00C7" w:rsidRPr="00D77835">
        <w:t>(</w:t>
      </w:r>
      <w:r w:rsidR="004A5F5E">
        <w:t>Figure 13</w:t>
      </w:r>
      <w:r w:rsidR="002E00C7" w:rsidRPr="00D77835">
        <w:t>).</w:t>
      </w:r>
    </w:p>
    <w:p w14:paraId="16A31917" w14:textId="14EF42A9" w:rsidR="00A715E6" w:rsidRPr="007C05FE" w:rsidRDefault="000B312A" w:rsidP="001D2466">
      <w:pPr>
        <w:pStyle w:val="ListBullet"/>
      </w:pPr>
      <w:r w:rsidRPr="007C05FE">
        <w:t>Surveillance for influenza hospitalisations in sentinel hospitals was seasonal prior to April 2024 when year-round surveillance commenced. Therefore, data before April and after October for any year are not available for comparison.</w:t>
      </w:r>
    </w:p>
    <w:p w14:paraId="16A31918" w14:textId="759DD62B" w:rsidR="00A715E6" w:rsidRPr="008D790C" w:rsidRDefault="006A3286" w:rsidP="006F4A37">
      <w:r w:rsidRPr="008D790C">
        <w:t>In 2024, surveillance for admissions to sentinel hospitals with RSV began in April. From April</w:t>
      </w:r>
      <w:r w:rsidR="002D567C">
        <w:t>,</w:t>
      </w:r>
      <w:r w:rsidRPr="008D790C">
        <w:t xml:space="preserve"> weekly admissions to sentinel hospitals with RSV increased to a peak of </w:t>
      </w:r>
      <w:r w:rsidR="002F77D0" w:rsidRPr="008D790C">
        <w:t>209</w:t>
      </w:r>
      <w:r w:rsidRPr="008D790C">
        <w:t xml:space="preserve"> admissions per week in </w:t>
      </w:r>
      <w:r w:rsidR="00F60A31" w:rsidRPr="008D790C">
        <w:t xml:space="preserve">late May, and then again to </w:t>
      </w:r>
      <w:r w:rsidR="00213ACA" w:rsidRPr="008D790C">
        <w:t>a s</w:t>
      </w:r>
      <w:r w:rsidR="001C611C" w:rsidRPr="008D790C">
        <w:t xml:space="preserve">maller </w:t>
      </w:r>
      <w:r w:rsidR="00213ACA" w:rsidRPr="008D790C">
        <w:t xml:space="preserve">peak of </w:t>
      </w:r>
      <w:r w:rsidR="001C611C" w:rsidRPr="008D790C">
        <w:t>184</w:t>
      </w:r>
      <w:r w:rsidR="009A1BDF" w:rsidRPr="008D790C">
        <w:t xml:space="preserve"> admissions per week in </w:t>
      </w:r>
      <w:r w:rsidR="0013406C" w:rsidRPr="008D790C">
        <w:t>mid-July</w:t>
      </w:r>
      <w:r w:rsidR="009A1BDF" w:rsidRPr="008D790C">
        <w:t>.</w:t>
      </w:r>
      <w:r w:rsidR="002A0F74" w:rsidRPr="008D790C">
        <w:t xml:space="preserve"> Following the </w:t>
      </w:r>
      <w:r w:rsidR="0013406C" w:rsidRPr="008D790C">
        <w:t>mid-July</w:t>
      </w:r>
      <w:r w:rsidR="002A0F74" w:rsidRPr="008D790C">
        <w:t xml:space="preserve"> peak, the number of weekly admissions w</w:t>
      </w:r>
      <w:r w:rsidR="00C140A7">
        <w:t>as</w:t>
      </w:r>
      <w:r w:rsidR="002A0F74" w:rsidRPr="008D790C">
        <w:t xml:space="preserve"> slow to decline, </w:t>
      </w:r>
      <w:r w:rsidR="0078313E" w:rsidRPr="008D790C">
        <w:t xml:space="preserve">but from </w:t>
      </w:r>
      <w:r w:rsidR="008D790C" w:rsidRPr="008D790C">
        <w:t>early September</w:t>
      </w:r>
      <w:r w:rsidR="005F7B65" w:rsidRPr="008D790C">
        <w:t xml:space="preserve"> onwards</w:t>
      </w:r>
      <w:r w:rsidR="006D2834" w:rsidRPr="008D790C">
        <w:t xml:space="preserve"> remained low and stable, not exceeding </w:t>
      </w:r>
      <w:r w:rsidR="008D790C" w:rsidRPr="008D790C">
        <w:t>75</w:t>
      </w:r>
      <w:r w:rsidR="0078313E" w:rsidRPr="008D790C">
        <w:t xml:space="preserve"> admissions per week </w:t>
      </w:r>
      <w:r w:rsidRPr="008D790C">
        <w:t>(</w:t>
      </w:r>
      <w:r w:rsidR="004A5F5E">
        <w:t>Figure 13</w:t>
      </w:r>
      <w:r w:rsidRPr="008D790C">
        <w:t>).</w:t>
      </w:r>
    </w:p>
    <w:p w14:paraId="6F13CE83" w14:textId="77777777" w:rsidR="00BD10C9" w:rsidRDefault="00D32ECF" w:rsidP="001D2466">
      <w:pPr>
        <w:pStyle w:val="ListBullet"/>
      </w:pPr>
      <w:r w:rsidRPr="001524EF">
        <w:t xml:space="preserve">Surveillance for RSV hospitalisations in sentinel hospitals was </w:t>
      </w:r>
      <w:r w:rsidR="00B23ED6">
        <w:t xml:space="preserve">piloted </w:t>
      </w:r>
      <w:r w:rsidRPr="001524EF">
        <w:t xml:space="preserve">in 2023 but not implemented in full until April 2024. Therefore, </w:t>
      </w:r>
      <w:r w:rsidR="00C42D33" w:rsidRPr="001524EF">
        <w:t>comparisons are not made between 2024 and 2023</w:t>
      </w:r>
      <w:r w:rsidRPr="001524EF">
        <w:t>.</w:t>
      </w:r>
    </w:p>
    <w:p w14:paraId="16A3191A" w14:textId="338ACE29" w:rsidR="00A715E6" w:rsidRDefault="0019761A" w:rsidP="00D057F3">
      <w:pPr>
        <w:numPr>
          <w:ilvl w:val="0"/>
          <w:numId w:val="24"/>
        </w:numPr>
      </w:pPr>
      <w:r>
        <w:br w:type="page"/>
      </w:r>
    </w:p>
    <w:p w14:paraId="16A3191C" w14:textId="7F7621E5" w:rsidR="00A715E6" w:rsidRDefault="004A5F5E" w:rsidP="000E02DC">
      <w:pPr>
        <w:pStyle w:val="Caption"/>
      </w:pPr>
      <w:r>
        <w:lastRenderedPageBreak/>
        <w:t>Figure 13</w:t>
      </w:r>
      <w:r w:rsidR="0019761A">
        <w:t xml:space="preserve">: Total number of patients (children and adults) admitted with a severe acute respiratory infection to sentinel hospitals by </w:t>
      </w:r>
      <w:r w:rsidR="00CC7199">
        <w:t>disease</w:t>
      </w:r>
      <w:r w:rsidR="0019761A">
        <w:t>, year, and week of admission*</w:t>
      </w:r>
      <w:r w:rsidR="00E11EEF" w:rsidRPr="0079775F">
        <w:rPr>
          <w:vertAlign w:val="superscript"/>
        </w:rPr>
        <w:t>†</w:t>
      </w:r>
      <w:r w:rsidR="0019761A">
        <w:t xml:space="preserve">, Australia, </w:t>
      </w:r>
      <w:r w:rsidR="00277484">
        <w:t>January 2022 to December 2024</w:t>
      </w:r>
      <w:r w:rsidR="003F0867">
        <w:rPr>
          <w:noProof/>
        </w:rPr>
        <w:drawing>
          <wp:inline distT="0" distB="0" distL="0" distR="0" wp14:anchorId="152370AF" wp14:editId="2BD13422">
            <wp:extent cx="6184900" cy="4417785"/>
            <wp:effectExtent l="0" t="0" r="0" b="0"/>
            <wp:docPr id="66" name="Picture"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wp:cNvGraphicFramePr/>
            <a:graphic xmlns:a="http://schemas.openxmlformats.org/drawingml/2006/main">
              <a:graphicData uri="http://schemas.openxmlformats.org/drawingml/2006/picture">
                <pic:pic xmlns:pic="http://schemas.openxmlformats.org/drawingml/2006/picture">
                  <pic:nvPicPr>
                    <pic:cNvPr id="66" name="Picture"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6A3191D" w14:textId="716CBF96"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br/>
        <w:t xml:space="preserve">* </w:t>
      </w:r>
      <w:r w:rsidR="00DE7743">
        <w:t>Axis varies between years.</w:t>
      </w:r>
      <w:r w:rsidR="00DE7743">
        <w:br/>
      </w:r>
      <w:r w:rsidR="00E11EEF" w:rsidRPr="00E11EEF">
        <w:t>†</w:t>
      </w:r>
      <w:r w:rsidR="00E11EEF">
        <w:t xml:space="preserve"> </w:t>
      </w:r>
      <w:r w:rsidR="006620CE">
        <w:t xml:space="preserve">Surveillance for COVID-19 hospitalisations in sentinel hospitals </w:t>
      </w:r>
      <w:r w:rsidR="00FE165E">
        <w:t>has been conducted year</w:t>
      </w:r>
      <w:r w:rsidR="00A4040D">
        <w:t>-</w:t>
      </w:r>
      <w:r w:rsidR="00FE165E">
        <w:t xml:space="preserve">round. </w:t>
      </w:r>
      <w:bookmarkStart w:id="25" w:name="_Hlk192758460"/>
      <w:r>
        <w:t xml:space="preserve">Surveillance for influenza hospitalisations in sentinel hospitals </w:t>
      </w:r>
      <w:r w:rsidR="0002286B">
        <w:t>was</w:t>
      </w:r>
      <w:r>
        <w:t xml:space="preserve"> seasonal</w:t>
      </w:r>
      <w:r w:rsidR="0002286B">
        <w:t xml:space="preserve"> </w:t>
      </w:r>
      <w:r w:rsidR="009A4524">
        <w:t>prior to April 2024 when year-round surveillance commenced</w:t>
      </w:r>
      <w:r>
        <w:t>. Therefore, data before April and after October for any year are not available for comparison.</w:t>
      </w:r>
      <w:bookmarkEnd w:id="25"/>
      <w:r>
        <w:t xml:space="preserve"> Surveillance for RSV hospitalisations in sentinel hospitals </w:t>
      </w:r>
      <w:r w:rsidR="00E73E85">
        <w:t xml:space="preserve">was </w:t>
      </w:r>
      <w:r w:rsidR="00B23ED6">
        <w:t>piloted</w:t>
      </w:r>
      <w:r w:rsidR="00E73E85">
        <w:t xml:space="preserve"> in 2023 but not implemented </w:t>
      </w:r>
      <w:r w:rsidR="008B175F">
        <w:t xml:space="preserve">in full until April </w:t>
      </w:r>
      <w:r>
        <w:t xml:space="preserve">2024. Therefore, </w:t>
      </w:r>
      <w:r w:rsidR="00E73E85">
        <w:t xml:space="preserve">data from 2023 should be interpreted with caution and </w:t>
      </w:r>
      <w:r>
        <w:t>earlier years of data are not available for comparison.</w:t>
      </w:r>
    </w:p>
    <w:p w14:paraId="16A3191F" w14:textId="42A2CB47" w:rsidR="00A715E6" w:rsidRPr="00114D76" w:rsidRDefault="0019761A" w:rsidP="005B4DDF">
      <w:r w:rsidRPr="002C4486">
        <w:t>In 2024,</w:t>
      </w:r>
      <w:r w:rsidR="002C4486" w:rsidRPr="002C4486">
        <w:t xml:space="preserve"> considerably</w:t>
      </w:r>
      <w:r w:rsidRPr="002C4486">
        <w:t> more children (those aged 16 years and younger) were admitted</w:t>
      </w:r>
      <w:r w:rsidR="00177FC9" w:rsidRPr="002C4486">
        <w:t xml:space="preserve"> to</w:t>
      </w:r>
      <w:r w:rsidR="00947322">
        <w:t xml:space="preserve"> FluCAN</w:t>
      </w:r>
      <w:r w:rsidR="00177FC9" w:rsidRPr="002C4486">
        <w:t xml:space="preserve"> sentinel </w:t>
      </w:r>
      <w:r w:rsidR="00177FC9" w:rsidRPr="00DA572E">
        <w:t>hospitals</w:t>
      </w:r>
      <w:r w:rsidRPr="00DA572E">
        <w:t xml:space="preserve"> with RSV </w:t>
      </w:r>
      <w:r w:rsidR="002C4486" w:rsidRPr="00DA572E">
        <w:t>or</w:t>
      </w:r>
      <w:r w:rsidRPr="00DA572E">
        <w:t xml:space="preserve"> influenza than with COVID-19 (</w:t>
      </w:r>
      <w:r w:rsidR="00663F8B" w:rsidRPr="00DA572E">
        <w:t>Table 4</w:t>
      </w:r>
      <w:r w:rsidRPr="00DA572E">
        <w:t>a).</w:t>
      </w:r>
      <w:r w:rsidR="005B4DDF">
        <w:t xml:space="preserve"> </w:t>
      </w:r>
      <w:r w:rsidR="002B577E" w:rsidRPr="00114D76">
        <w:t xml:space="preserve">In 2024, </w:t>
      </w:r>
      <w:r w:rsidR="0020774A" w:rsidRPr="00114D76">
        <w:t xml:space="preserve">most children admitted to sentinel hospitals </w:t>
      </w:r>
      <w:r w:rsidR="002B577E" w:rsidRPr="00114D76">
        <w:t>were</w:t>
      </w:r>
      <w:r w:rsidR="0020774A" w:rsidRPr="00114D76">
        <w:t xml:space="preserve"> </w:t>
      </w:r>
      <w:r w:rsidR="00876C64" w:rsidRPr="00114D76">
        <w:t>aged six months to four years of age</w:t>
      </w:r>
      <w:r w:rsidR="002B577E" w:rsidRPr="00114D76">
        <w:t xml:space="preserve">; however, </w:t>
      </w:r>
      <w:r w:rsidR="00ED76D3" w:rsidRPr="00114D76">
        <w:t>children admitted to sentinel hospitals with influenza tended to be older than children admitted with COVID-19 or RSV</w:t>
      </w:r>
      <w:r w:rsidR="002B577E" w:rsidRPr="00114D76">
        <w:t xml:space="preserve"> (</w:t>
      </w:r>
      <w:r w:rsidR="00663F8B" w:rsidRPr="00114D76">
        <w:t>Table 4</w:t>
      </w:r>
      <w:r w:rsidR="002B577E" w:rsidRPr="00114D76">
        <w:t>a).</w:t>
      </w:r>
      <w:r w:rsidR="007036CB" w:rsidRPr="00114D76">
        <w:t xml:space="preserve"> </w:t>
      </w:r>
    </w:p>
    <w:p w14:paraId="16A31921" w14:textId="5433C1B1" w:rsidR="00A715E6" w:rsidRPr="00114D76" w:rsidRDefault="0019761A" w:rsidP="005B4DDF">
      <w:r w:rsidRPr="00114D76">
        <w:t>In 2024,</w:t>
      </w:r>
      <w:r w:rsidR="004515DE" w:rsidRPr="00114D76">
        <w:t xml:space="preserve"> more children admitted to sentinel hospitals with COVID-19 </w:t>
      </w:r>
      <w:r w:rsidR="00BC2B18" w:rsidRPr="00114D76">
        <w:t>were admitted directly to intensive care, in comparison to children with influenza or RSV.</w:t>
      </w:r>
      <w:r w:rsidR="00E528B2" w:rsidRPr="00114D76">
        <w:t xml:space="preserve"> The </w:t>
      </w:r>
      <w:r w:rsidR="008F7745" w:rsidRPr="00114D76">
        <w:t>proportion of children admitted directly to intensive care was otherwise low</w:t>
      </w:r>
      <w:r w:rsidR="003D0A6F" w:rsidRPr="00114D76">
        <w:t>. Children admitted to sentinel hospitals with COVID-</w:t>
      </w:r>
      <w:proofErr w:type="gramStart"/>
      <w:r w:rsidR="003D0A6F" w:rsidRPr="00114D76">
        <w:t>19</w:t>
      </w:r>
      <w:proofErr w:type="gramEnd"/>
      <w:r w:rsidR="003D0A6F" w:rsidRPr="00114D76">
        <w:t xml:space="preserve"> or RSV had a longer</w:t>
      </w:r>
      <w:r w:rsidR="00CC4878" w:rsidRPr="00114D76">
        <w:t xml:space="preserve"> length of hospital stay</w:t>
      </w:r>
      <w:r w:rsidR="003D0A6F" w:rsidRPr="00114D76">
        <w:t xml:space="preserve"> than those </w:t>
      </w:r>
      <w:r w:rsidR="00D307EB">
        <w:t xml:space="preserve">admitted </w:t>
      </w:r>
      <w:r w:rsidR="003D0A6F" w:rsidRPr="00114D76">
        <w:t>with influenza</w:t>
      </w:r>
      <w:r w:rsidR="00CC4878" w:rsidRPr="00114D76">
        <w:t xml:space="preserve"> </w:t>
      </w:r>
      <w:r w:rsidRPr="00114D76">
        <w:t>(</w:t>
      </w:r>
      <w:r w:rsidR="00663F8B" w:rsidRPr="00114D76">
        <w:t>Table 4</w:t>
      </w:r>
      <w:r w:rsidRPr="00114D76">
        <w:t>a).</w:t>
      </w:r>
    </w:p>
    <w:p w14:paraId="16A31924" w14:textId="315DEE90" w:rsidR="00A715E6" w:rsidRDefault="0019761A" w:rsidP="00BD0995">
      <w:r w:rsidRPr="00114D76">
        <w:t>In 2024,</w:t>
      </w:r>
      <w:r w:rsidR="00FF4D84" w:rsidRPr="00114D76">
        <w:t xml:space="preserve"> most children </w:t>
      </w:r>
      <w:r w:rsidR="00053AEF">
        <w:t>were</w:t>
      </w:r>
      <w:r w:rsidR="00FF4D84" w:rsidRPr="00114D76">
        <w:t xml:space="preserve"> discharged alive. Sadly, there were a small number of deaths among children </w:t>
      </w:r>
      <w:r w:rsidR="00DB0538" w:rsidRPr="00114D76">
        <w:t>admitted to sentinel hospitals with a severe acute respiratory infection</w:t>
      </w:r>
      <w:r w:rsidRPr="00114D76">
        <w:t xml:space="preserve"> (</w:t>
      </w:r>
      <w:r w:rsidR="00663F8B" w:rsidRPr="00114D76">
        <w:t>Table 4</w:t>
      </w:r>
      <w:r w:rsidRPr="00114D76">
        <w:t>a).</w:t>
      </w:r>
      <w:r w:rsidR="00C75682">
        <w:t xml:space="preserve"> </w:t>
      </w:r>
      <w:r w:rsidR="00E4688C">
        <w:t xml:space="preserve">The proportion of deaths among children admitted to sentinel hospitals in 2024 was </w:t>
      </w:r>
      <w:proofErr w:type="gramStart"/>
      <w:r w:rsidR="00E4688C">
        <w:t>similar to</w:t>
      </w:r>
      <w:proofErr w:type="gramEnd"/>
      <w:r w:rsidR="00E4688C">
        <w:t xml:space="preserve"> the</w:t>
      </w:r>
      <w:r w:rsidR="007206A3">
        <w:t xml:space="preserve"> proportion observed in 2023</w:t>
      </w:r>
      <w:r w:rsidR="009B1269">
        <w:t xml:space="preserve"> (0.3% [7/</w:t>
      </w:r>
      <w:r w:rsidR="00504B01">
        <w:t>2,213</w:t>
      </w:r>
      <w:r w:rsidR="00C010C5">
        <w:t xml:space="preserve">] for COVID-19 </w:t>
      </w:r>
      <w:r w:rsidR="00AD1D18">
        <w:t>in 2023</w:t>
      </w:r>
      <w:r w:rsidR="00C010C5">
        <w:t xml:space="preserve"> and 0.3% [</w:t>
      </w:r>
      <w:r w:rsidR="00F8533F">
        <w:t>9/2,791</w:t>
      </w:r>
      <w:r w:rsidR="00C010C5">
        <w:t>] for influenza</w:t>
      </w:r>
      <w:r w:rsidR="00AD1D18">
        <w:t xml:space="preserve"> in 2023</w:t>
      </w:r>
      <w:r w:rsidR="009B1269">
        <w:t>)</w:t>
      </w:r>
      <w:r w:rsidR="007206A3">
        <w:t xml:space="preserve">; however, </w:t>
      </w:r>
      <w:r w:rsidR="005F5ADA">
        <w:t>the number of deaths was slightly less</w:t>
      </w:r>
      <w:r w:rsidR="007206A3">
        <w:t xml:space="preserve"> </w:t>
      </w:r>
      <w:r w:rsidR="00303958">
        <w:t>in 2024 than in 2023</w:t>
      </w:r>
      <w:r w:rsidR="00383F1F">
        <w:t xml:space="preserve"> (Table 4a)</w:t>
      </w:r>
      <w:r w:rsidR="00614241">
        <w:t>.</w:t>
      </w:r>
      <w:r w:rsidR="00C75682">
        <w:t xml:space="preserve"> </w:t>
      </w:r>
    </w:p>
    <w:p w14:paraId="04D013C3" w14:textId="3D92CCA6" w:rsidR="00B9778A" w:rsidRDefault="00B9778A">
      <w:pPr>
        <w:spacing w:before="0" w:after="0" w:line="240" w:lineRule="auto"/>
      </w:pPr>
      <w:r>
        <w:br w:type="page"/>
      </w:r>
    </w:p>
    <w:p w14:paraId="16A31925" w14:textId="45FD5322" w:rsidR="00A715E6" w:rsidRDefault="00663F8B" w:rsidP="000E02DC">
      <w:pPr>
        <w:pStyle w:val="Caption"/>
      </w:pPr>
      <w:r>
        <w:lastRenderedPageBreak/>
        <w:t>Table 4</w:t>
      </w:r>
      <w:r w:rsidR="0019761A">
        <w:t xml:space="preserve">a: Demographic characteristics and outcomes for children admitted with a severe acute respiratory infection to a sentinel hospital by </w:t>
      </w:r>
      <w:r w:rsidR="00901BCE">
        <w:t>disease</w:t>
      </w:r>
      <w:r w:rsidR="004D34AF">
        <w:t>*</w:t>
      </w:r>
      <w:r w:rsidR="0019761A">
        <w:t>, Australia, 1 January to 31 December 2024</w:t>
      </w:r>
    </w:p>
    <w:tbl>
      <w:tblPr>
        <w:tblW w:w="5000" w:type="pct"/>
        <w:jc w:val="center"/>
        <w:tblLook w:val="0420" w:firstRow="1" w:lastRow="0" w:firstColumn="0" w:lastColumn="0" w:noHBand="0" w:noVBand="1"/>
        <w:tblDescription w:val="A table summarising demographic characteristics and outcomes for children (16 years or younger) admitted with a severe acute respiratory infection to a sentinel hospital by disease from 1 January 2024 to 31 December 2024. &#10;In 2024, for children admitted to sentinel hospitals with COVID-19 (n=1,601), the median age was 1 year (interquartile range [IQR]: 0–4 years), 34.4% (550/1,601) were under the age of 6 months, 41.7% (668/1,601) were in the age range of 6 months to 4 years, and 23.9% (112/1,601) were in the age range of 5 to 16 years. 7.0% (112/1,601) of children identified as an Aboriginal and Torres Strait Islander person. The median length of hospital stay was 2 days (IQR: 1–3 days), and 92.6% (1,482/1,601) were admitted to a hospital ward, while 7.4% (118/1,601) were admitted directly to intensive care. For children admitted to sentinel hospitals with COVID-19, 93.0% (1,489/1,601) were discharged alive, 6 deaths were reported, and data were missing for 6.6% (106/1,601) of children.  &#10;In 2024, for children admitted to sentinel hospitals with influenza (n=2,329), the median age was 4 years (IQR 1–8 years), 7.5% (175/2,329) were under the age of 6 months, 46.0% (1,071/2,329) were in the age range of 6 months to 4 years, and 46.5% (1,083/2,329) were in the age range of 5 to 16 years. 7.2% (168/2,329) of children identified as an Aboriginal and Torres Strait Islander person. The median length of hospital stay was 1 days (IQR: 1–3 days), and 95.4% (2,221/2,329) were admitted to a hospital ward, while 4.6%% (108/2,329) were admitted directly to intensive care. For children admitted to sentinel hospitals with influenza, 97.2% (2,264/2,329) were discharged alive, 6 deaths were reported, and data were missing for 2.5% (59/2,329) of children.&#10;In 2024, for children admitted to sentinel hospitals with RSV (n=3,404), the median age was 1 year (IQR: 0–2 years), 28.1% (958/3,404) were under the age of 6 months, 64.2% (2,184/3,404) were in the age range of 6 months to 4 years, and 7.7% (262/3,404) were in the age range of 5 to 16 years. 6.0% (204/3,404) of children identified as an Aboriginal and Torres Strait Islander person. The median length of hospital stay was 2 days (IQR: 1–3 days), and 95.6% (3,254/3,404) were admitted to a hospital ward, while 4.4% (150/3,404) were admitted directly to intensive care. For children admitted to sentinel hospitals with RSV, 93.8% (3,194/3,404) were discharged alive, 4 deaths were reported, and data were missing for 6.1% (206/3,404) of children."/>
      </w:tblPr>
      <w:tblGrid>
        <w:gridCol w:w="4190"/>
        <w:gridCol w:w="1854"/>
        <w:gridCol w:w="1854"/>
        <w:gridCol w:w="1854"/>
      </w:tblGrid>
      <w:tr w:rsidR="00397D4F" w14:paraId="4A26170B"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19EA06"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33CB6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0E5B5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D2482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397D4F" w14:paraId="5B65364C"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4EE0E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16EAF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(n=1,601)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3FDE0A"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(n=2,329)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6123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(n=3,404)</w:t>
            </w:r>
          </w:p>
        </w:tc>
      </w:tr>
      <w:tr w:rsidR="00397D4F" w14:paraId="521313A7"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E0E0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397D4F" w14:paraId="0057F0F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E1B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1AAA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F1A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3581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397D4F" w14:paraId="3945DA01"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C4999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397D4F" w14:paraId="05F9630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922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F019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550 (34.4%)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CE88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175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25C3E"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958 (28.1%)</w:t>
            </w:r>
          </w:p>
        </w:tc>
      </w:tr>
      <w:tr w:rsidR="00397D4F" w14:paraId="4DF4C8DB"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8FFB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64F0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668 (41.7%)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32AB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1,071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B9B6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2,184 (64.2%)</w:t>
            </w:r>
          </w:p>
        </w:tc>
      </w:tr>
      <w:tr w:rsidR="00397D4F" w14:paraId="52B2F514"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A539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6E156"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383 (23.9%)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F93A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1,083 (46.5%)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3F7D3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262 (7.7%)</w:t>
            </w:r>
          </w:p>
        </w:tc>
      </w:tr>
      <w:tr w:rsidR="00397D4F" w14:paraId="22944DAC"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70DB2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397D4F" w14:paraId="3D37C70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4858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3F8F7"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302E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168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35CB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 (6.0%)</w:t>
            </w:r>
          </w:p>
        </w:tc>
      </w:tr>
      <w:tr w:rsidR="00397D4F" w14:paraId="50824893"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DBDB8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397D4F" w14:paraId="7D591996"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70A8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B3EF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C9CB2"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42D43"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397D4F" w14:paraId="11BC1201"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77CD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397D4F" w14:paraId="11BA3681"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B6D0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390E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1,482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98C4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2,221 (95.4%)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88F9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3,254 (95.6%)</w:t>
            </w:r>
          </w:p>
        </w:tc>
      </w:tr>
      <w:tr w:rsidR="00397D4F" w14:paraId="16A1D64F"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9BCBF"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B99C"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F87C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108 (4.6%)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91C5D"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150 (4.4%)</w:t>
            </w:r>
          </w:p>
        </w:tc>
      </w:tr>
      <w:tr w:rsidR="00397D4F" w14:paraId="00BCA135"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A742DB"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397D4F" w14:paraId="788582D0"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112F8"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18E15"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1,489 (93.0%)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74A6B4"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2,264 (97.2%)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C109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3,194 (93.8%)</w:t>
            </w:r>
          </w:p>
        </w:tc>
      </w:tr>
      <w:tr w:rsidR="00397D4F" w14:paraId="2116E4E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85F7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36CD0"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248D1"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07149" w14:textId="77777777" w:rsidR="00397D4F" w:rsidRDefault="00397D4F"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(0.1%)</w:t>
            </w:r>
          </w:p>
        </w:tc>
      </w:tr>
      <w:tr w:rsidR="00C3699A" w14:paraId="2C05E945"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0186D" w14:textId="2DEFCEF0"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5DEBF" w14:textId="63E28FB9"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106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F145C" w14:textId="05B09170"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CF87E" w14:textId="61C8385F" w:rsidR="00C3699A" w:rsidRDefault="00C3699A" w:rsidP="00C369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 (6.1%)</w:t>
            </w:r>
          </w:p>
        </w:tc>
      </w:tr>
    </w:tbl>
    <w:p w14:paraId="16A31973" w14:textId="3AF3D689"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br/>
        <w:t xml:space="preserve">* </w:t>
      </w:r>
      <w:r w:rsidR="004D34AF">
        <w:t>S</w:t>
      </w:r>
      <w:r w:rsidR="004D34AF" w:rsidRPr="003C4BBE">
        <w:t>urveillance for</w:t>
      </w:r>
      <w:r w:rsidR="004D34AF">
        <w:t xml:space="preserve"> sentinel hospital admissions with</w:t>
      </w:r>
      <w:r w:rsidR="004D34AF" w:rsidRPr="003C4BBE">
        <w:t xml:space="preserve"> influenza </w:t>
      </w:r>
      <w:r w:rsidR="004D34AF">
        <w:t xml:space="preserve">and RSV </w:t>
      </w:r>
      <w:r w:rsidR="004D34AF" w:rsidRPr="003C4BBE">
        <w:t>d</w:t>
      </w:r>
      <w:r w:rsidR="004D34AF">
        <w:t>id not begin</w:t>
      </w:r>
      <w:r w:rsidR="004D34AF" w:rsidRPr="003C4BBE">
        <w:t xml:space="preserve"> </w:t>
      </w:r>
      <w:r w:rsidR="004D34AF">
        <w:t xml:space="preserve">until </w:t>
      </w:r>
      <w:r w:rsidR="004D34AF" w:rsidRPr="003C4BBE">
        <w:t>April 2024</w:t>
      </w:r>
      <w:r w:rsidR="004D34AF">
        <w:t>, as such the data provided here are reflective of sentinel hospital admissions with</w:t>
      </w:r>
      <w:r w:rsidR="004D34AF" w:rsidRPr="003C4BBE">
        <w:t xml:space="preserve"> influenza </w:t>
      </w:r>
      <w:r w:rsidR="004D34AF">
        <w:t>and RSV from 1 April to 31 December 2024. S</w:t>
      </w:r>
      <w:r w:rsidR="004D34AF" w:rsidRPr="003C4BBE">
        <w:t>urveillance for</w:t>
      </w:r>
      <w:r w:rsidR="004D34AF">
        <w:t xml:space="preserve"> sentinel hospital admissions with COVID-19 was conducted from 1 January to 31 December 2024</w:t>
      </w:r>
      <w:r>
        <w:t>.</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6A31974" w14:textId="13236622" w:rsidR="00A715E6" w:rsidRDefault="0019761A">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w:t>
      </w:r>
      <w:r w:rsidR="005A2DCF">
        <w:t xml:space="preserve">within </w:t>
      </w:r>
      <w:r>
        <w:t>the Influenza Complications Alert Network (FluCAN) data</w:t>
      </w:r>
      <w:r w:rsidR="00FA3202">
        <w:t xml:space="preserve"> for sentinel </w:t>
      </w:r>
      <w:r w:rsidR="00535362">
        <w:t>hospitals</w:t>
      </w:r>
      <w:r>
        <w:t xml:space="preserve">. For additional information on </w:t>
      </w:r>
      <w:hyperlink r:id="rId37">
        <w:r w:rsidR="00A715E6">
          <w:rPr>
            <w:rStyle w:val="Hyperlink"/>
          </w:rPr>
          <w:t>COVID-19 in children</w:t>
        </w:r>
      </w:hyperlink>
      <w:r>
        <w:t xml:space="preserve">, </w:t>
      </w:r>
      <w:hyperlink r:id="rId38">
        <w:r w:rsidR="00A715E6">
          <w:rPr>
            <w:rStyle w:val="Hyperlink"/>
          </w:rPr>
          <w:t>Paediatric Inflammatory Multisystem Syndrome (PIMS-TS) following COVID-19</w:t>
        </w:r>
      </w:hyperlink>
      <w:r>
        <w:t xml:space="preserve">, </w:t>
      </w:r>
      <w:hyperlink r:id="rId39">
        <w:r w:rsidR="00A715E6">
          <w:rPr>
            <w:rStyle w:val="Hyperlink"/>
          </w:rPr>
          <w:t>influenza in children</w:t>
        </w:r>
      </w:hyperlink>
      <w:r w:rsidR="000439BE">
        <w:t xml:space="preserve">, or </w:t>
      </w:r>
      <w:hyperlink r:id="rId40">
        <w:r w:rsidR="000439BE">
          <w:rPr>
            <w:rStyle w:val="Hyperlink"/>
          </w:rPr>
          <w:t>RSV in children</w:t>
        </w:r>
      </w:hyperlink>
      <w:r w:rsidR="000439BE">
        <w:t xml:space="preserve"> please</w:t>
      </w:r>
      <w:r>
        <w:t xml:space="preserve"> visit the </w:t>
      </w:r>
      <w:hyperlink r:id="rId41">
        <w:r w:rsidR="00A715E6">
          <w:rPr>
            <w:rStyle w:val="Hyperlink"/>
          </w:rPr>
          <w:t>PAEDS</w:t>
        </w:r>
      </w:hyperlink>
      <w:r>
        <w:t xml:space="preserve"> webpages and dashboards.</w:t>
      </w:r>
    </w:p>
    <w:p w14:paraId="16A31975" w14:textId="77777777" w:rsidR="00A715E6" w:rsidRDefault="0019761A">
      <w:r>
        <w:br w:type="page"/>
      </w:r>
    </w:p>
    <w:p w14:paraId="356FB0BC" w14:textId="7BD64C97" w:rsidR="00FB4D0E" w:rsidRDefault="0019761A" w:rsidP="00AA3868">
      <w:r w:rsidRPr="001F1946">
        <w:lastRenderedPageBreak/>
        <w:t xml:space="preserve">In 2024, </w:t>
      </w:r>
      <w:r w:rsidR="00255E68" w:rsidRPr="001F1946">
        <w:t xml:space="preserve">considerably </w:t>
      </w:r>
      <w:r w:rsidR="00D6301A" w:rsidRPr="001F1946">
        <w:t>more</w:t>
      </w:r>
      <w:r w:rsidR="0021647F" w:rsidRPr="001F1946">
        <w:t xml:space="preserve"> adults (those aged 17 years and over) </w:t>
      </w:r>
      <w:r w:rsidR="00D6301A" w:rsidRPr="001F1946">
        <w:t xml:space="preserve">were </w:t>
      </w:r>
      <w:r w:rsidR="0021647F" w:rsidRPr="001F1946">
        <w:t>admitted to</w:t>
      </w:r>
      <w:r w:rsidR="00947322">
        <w:t xml:space="preserve"> FluCAN</w:t>
      </w:r>
      <w:r w:rsidR="0021647F" w:rsidRPr="001F1946">
        <w:t xml:space="preserve"> sentinel hospitals </w:t>
      </w:r>
      <w:r w:rsidR="00D6301A" w:rsidRPr="001F1946">
        <w:t xml:space="preserve">with </w:t>
      </w:r>
      <w:r w:rsidR="00255E68" w:rsidRPr="001F1946">
        <w:t>COVID-19</w:t>
      </w:r>
      <w:r w:rsidR="00192FE7">
        <w:t xml:space="preserve"> compared </w:t>
      </w:r>
      <w:r w:rsidR="00786A2A">
        <w:t>with</w:t>
      </w:r>
      <w:r w:rsidR="00255E68" w:rsidRPr="001F1946">
        <w:t xml:space="preserve"> </w:t>
      </w:r>
      <w:r w:rsidR="0077139D">
        <w:t xml:space="preserve">the number of adults admitted </w:t>
      </w:r>
      <w:r w:rsidR="00255E68" w:rsidRPr="001F1946">
        <w:t xml:space="preserve">with </w:t>
      </w:r>
      <w:r w:rsidR="000001BF" w:rsidRPr="001F1946">
        <w:t>influenza</w:t>
      </w:r>
      <w:r w:rsidR="000001BF">
        <w:t xml:space="preserve"> and</w:t>
      </w:r>
      <w:r w:rsidR="00192FE7">
        <w:t xml:space="preserve"> especially compar</w:t>
      </w:r>
      <w:r w:rsidR="002B2011">
        <w:t>ed with</w:t>
      </w:r>
      <w:r w:rsidR="00255E68" w:rsidRPr="001F1946">
        <w:t xml:space="preserve"> </w:t>
      </w:r>
      <w:r w:rsidR="00E4168D">
        <w:t xml:space="preserve">the number of adults admitted with </w:t>
      </w:r>
      <w:r w:rsidR="00255E68" w:rsidRPr="001F1946">
        <w:t>RSV</w:t>
      </w:r>
      <w:r w:rsidR="002B2011" w:rsidRPr="001F1946" w:rsidDel="002B2011">
        <w:t xml:space="preserve"> </w:t>
      </w:r>
      <w:r w:rsidR="00FF18BC" w:rsidRPr="006D5AD8">
        <w:t>(</w:t>
      </w:r>
      <w:r w:rsidR="00663F8B" w:rsidRPr="006D5AD8">
        <w:t>Table 4</w:t>
      </w:r>
      <w:r w:rsidR="00FF18BC" w:rsidRPr="006D5AD8">
        <w:t xml:space="preserve">b). </w:t>
      </w:r>
      <w:r w:rsidRPr="006D5AD8">
        <w:t xml:space="preserve">In 2024, </w:t>
      </w:r>
      <w:r w:rsidR="003402B3" w:rsidRPr="006D5AD8">
        <w:t>most ad</w:t>
      </w:r>
      <w:r w:rsidR="003402B3" w:rsidRPr="00A17502">
        <w:t xml:space="preserve">ults admitted to sentinel hospitals were aged 65 years or over; however, adults admitted to sentinel hospitals with influenza tended to be younger than adults admitted with COVID-19 or RSV </w:t>
      </w:r>
      <w:r w:rsidRPr="00A17502">
        <w:t>(</w:t>
      </w:r>
      <w:r w:rsidR="00663F8B" w:rsidRPr="00A17502">
        <w:t>Table 4</w:t>
      </w:r>
      <w:r w:rsidRPr="00A17502">
        <w:t>b).</w:t>
      </w:r>
      <w:r w:rsidR="00AA3868">
        <w:t xml:space="preserve"> </w:t>
      </w:r>
    </w:p>
    <w:p w14:paraId="16A31978" w14:textId="66430DA7" w:rsidR="00A715E6" w:rsidRPr="008842A9" w:rsidRDefault="0019761A" w:rsidP="00AA3868">
      <w:r w:rsidRPr="00A17502">
        <w:t>In</w:t>
      </w:r>
      <w:r w:rsidR="00CC6C6D" w:rsidRPr="00A17502">
        <w:t xml:space="preserve"> 2024,</w:t>
      </w:r>
      <w:r w:rsidR="00355D73" w:rsidRPr="00A17502">
        <w:t xml:space="preserve"> </w:t>
      </w:r>
      <w:r w:rsidR="00E707C0" w:rsidRPr="00A17502">
        <w:t xml:space="preserve">a higher proportion of </w:t>
      </w:r>
      <w:r w:rsidR="007F3E7E" w:rsidRPr="00A17502">
        <w:t xml:space="preserve">adults admitted to sentinel hospitals with influenza or RSV </w:t>
      </w:r>
      <w:r w:rsidR="002B6AE2" w:rsidRPr="00A17502">
        <w:t xml:space="preserve">identified as </w:t>
      </w:r>
      <w:r w:rsidR="002B6AE2" w:rsidRPr="008842A9">
        <w:t>an</w:t>
      </w:r>
      <w:r w:rsidR="00355D73" w:rsidRPr="008842A9">
        <w:t xml:space="preserve"> Aboriginal and Torres Strait Islander pe</w:t>
      </w:r>
      <w:r w:rsidR="002B6AE2" w:rsidRPr="008842A9">
        <w:t>rson</w:t>
      </w:r>
      <w:r w:rsidR="00E707C0" w:rsidRPr="008842A9">
        <w:t>, than adults admitted with COVID-19</w:t>
      </w:r>
      <w:r w:rsidRPr="008842A9">
        <w:t>.</w:t>
      </w:r>
    </w:p>
    <w:p w14:paraId="16A31979" w14:textId="1704DBA2" w:rsidR="00A715E6" w:rsidRPr="00AF6727" w:rsidRDefault="006E1EAD" w:rsidP="00AA3868">
      <w:r w:rsidRPr="008842A9">
        <w:t xml:space="preserve">In 2024, more adults admitted to sentinel hospitals with influenza or RSV were admitted directly to intensive care, in comparison to adults with COVID-19. </w:t>
      </w:r>
      <w:r w:rsidR="00A31BBA" w:rsidRPr="008842A9">
        <w:t>The proportion of adults admitted directly to intensi</w:t>
      </w:r>
      <w:r w:rsidR="00A31BBA" w:rsidRPr="00AF6727">
        <w:t>ve care was otherwise low</w:t>
      </w:r>
      <w:r w:rsidR="007E5A6D" w:rsidRPr="00AF6727">
        <w:t>. Adults admitted to sentinel hospitals with COVID-19 had a longer length of hospital stay, than those with influenza</w:t>
      </w:r>
      <w:r w:rsidR="008842A9" w:rsidRPr="00AF6727">
        <w:t xml:space="preserve"> or RSV</w:t>
      </w:r>
      <w:r w:rsidRPr="00AF6727">
        <w:t xml:space="preserve"> (</w:t>
      </w:r>
      <w:r w:rsidR="00663F8B" w:rsidRPr="00AF6727">
        <w:t>Table 4</w:t>
      </w:r>
      <w:r w:rsidRPr="00AF6727">
        <w:t>b).</w:t>
      </w:r>
    </w:p>
    <w:p w14:paraId="506EF85E" w14:textId="377A1DBC" w:rsidR="00912D0A" w:rsidRPr="000E02DC" w:rsidRDefault="0019761A" w:rsidP="000E02DC">
      <w:r w:rsidRPr="00AF6727">
        <w:t xml:space="preserve">In 2024, </w:t>
      </w:r>
      <w:r w:rsidR="00C412D1" w:rsidRPr="00AF6727">
        <w:t xml:space="preserve">there was a slightly higher proportion of deaths among adults admitted to sentinel hospitals with COVID-19 or RSV, than with influenza; however, most adults were discharged alive </w:t>
      </w:r>
      <w:r w:rsidRPr="00AF6727">
        <w:t>(</w:t>
      </w:r>
      <w:r w:rsidR="00663F8B" w:rsidRPr="00AF6727">
        <w:t>Table 4</w:t>
      </w:r>
      <w:r w:rsidRPr="00AF6727">
        <w:t>b).</w:t>
      </w:r>
      <w:r w:rsidR="00F76927" w:rsidRPr="00F76927">
        <w:t xml:space="preserve"> </w:t>
      </w:r>
      <w:r w:rsidR="003D7B61">
        <w:t xml:space="preserve">The </w:t>
      </w:r>
      <w:r w:rsidR="00095CB7">
        <w:t xml:space="preserve">number and </w:t>
      </w:r>
      <w:r w:rsidR="003D7B61">
        <w:t>proportion of deaths among adults admitted to sentinel hospitals in 2024 was slightly lower than observed in 2023 (4.4% [</w:t>
      </w:r>
      <w:r w:rsidR="00095CB7">
        <w:t>1</w:t>
      </w:r>
      <w:r w:rsidR="003D7B61" w:rsidRPr="00095CB7">
        <w:t>7</w:t>
      </w:r>
      <w:r w:rsidR="00095CB7" w:rsidRPr="00507800">
        <w:t>1</w:t>
      </w:r>
      <w:r w:rsidR="003D7B61" w:rsidRPr="00082DE4">
        <w:t>/</w:t>
      </w:r>
      <w:r w:rsidR="00082DE4" w:rsidRPr="00082DE4">
        <w:t>3,889</w:t>
      </w:r>
      <w:r w:rsidR="003D7B61">
        <w:t xml:space="preserve">] for COVID-19 </w:t>
      </w:r>
      <w:r w:rsidR="00B2295A">
        <w:t>in 2023</w:t>
      </w:r>
      <w:r w:rsidR="003D7B61">
        <w:t xml:space="preserve"> and 2.5% [</w:t>
      </w:r>
      <w:r w:rsidR="00095CB7">
        <w:t>35</w:t>
      </w:r>
      <w:r w:rsidR="003D7B61">
        <w:t>/</w:t>
      </w:r>
      <w:r w:rsidR="004D4064" w:rsidRPr="004D4064">
        <w:t>2,378</w:t>
      </w:r>
      <w:r w:rsidR="003D7B61">
        <w:t>] for influenza</w:t>
      </w:r>
      <w:r w:rsidR="00B2295A">
        <w:t xml:space="preserve"> in 2023</w:t>
      </w:r>
      <w:r w:rsidR="003D7B61">
        <w:t>) (Table 4</w:t>
      </w:r>
      <w:r w:rsidR="00095CB7">
        <w:t>b</w:t>
      </w:r>
      <w:r w:rsidR="003D7B61">
        <w:t>)</w:t>
      </w:r>
      <w:r w:rsidR="00F76927">
        <w:t xml:space="preserve">. </w:t>
      </w:r>
    </w:p>
    <w:p w14:paraId="16A3197D" w14:textId="67688F26" w:rsidR="00A715E6" w:rsidRDefault="00663F8B" w:rsidP="000E02DC">
      <w:pPr>
        <w:pStyle w:val="Caption"/>
      </w:pPr>
      <w:r>
        <w:t>Table 4</w:t>
      </w:r>
      <w:r w:rsidR="0019761A">
        <w:t xml:space="preserve">b: Demographic characteristics and outcomes for adults admitted with a severe acute respiratory infection to a sentinel hospital by </w:t>
      </w:r>
      <w:r w:rsidR="006E6A13">
        <w:t>disease</w:t>
      </w:r>
      <w:r w:rsidR="00EB72C9">
        <w:t>*</w:t>
      </w:r>
      <w:r w:rsidR="0019761A">
        <w:t>, Australia, 1 January to 31 December 2024</w:t>
      </w:r>
    </w:p>
    <w:tbl>
      <w:tblPr>
        <w:tblW w:w="5000" w:type="pct"/>
        <w:jc w:val="center"/>
        <w:tblLook w:val="0420" w:firstRow="1" w:lastRow="0" w:firstColumn="0" w:lastColumn="0" w:noHBand="0" w:noVBand="1"/>
        <w:tblDescription w:val="A table summarising demographic characteristics and outcomes for adults (17 years or older) admitted with a severe acute respiratory infection to a sentinel hospital by disease from 1 January to 31 December 2024. &#10;In 2024, for adults admitted to sentinel hospitals with COVID-19 (n=4,205), the median age was 75 years (interquartile range [IQR]: 63–84 years), 26.8% (1,129/4,205) were aged 17–64 years, and 73.2% (3,076/4,205) were 65 years and older. 3.7% (156/4,205) of adults identified as an Aboriginal and Torres Strait Islander person. The median length of hospital stay was 5 days (IQR: 2–9 days) and 94.7% (3,981/4,205) of adults were admitted to a hospital ward, while 5.3% (224/4,205) were admitted directly to intensive care. For adults admitted to sentinel hospitals with COVID-19, 85.4% (3,592/4,205) were discharged alive, 4.5% (189/4,205) died, and outcome data were missing for 10% (424/4,205) of adults.&#10;In 2024, for adults admitted to sentinel hospitals with influenza (n=2,378), the median age was 62 years (IQR: 45–77 years), 53.3% (1,267/2,378) were aged 17–64 years, and 46.7% (1,111/2,378) were 65 years and older. 10.8% (258/2,378) of adults identified as an Aboriginal and Torres Strait Islander person. The median length of hospital stay was 3 days (IQR: 2–6 days) and 92.3% (2,196/2,378) of adults were admitted to a hospital ward, while 7.7% (182/2,378) were admitted directly to intensive care. For adults admitted to sentinel hospitals with influenza, 90.6% (2,155/2,378) were discharged alive, 3.1% (74/2,378) died and outcome data were missing for 6.3% (149/2,378) of adults.  &#10;In 2024, for adults admitted to sentinel hospitals with RSV (n=587), the median age was 72 years (IQR: 57–82 years), 35.3% (207/587) were aged 17–64 years, and 64.7% (380/587) were 65 years and older. 10.9% (64/587) of adults identified as an Aboriginal and Torres Strait Islander person. The median length of hospital stay was 4 days (IQR: 2–8 days), and 91.5% (537/587) of adults were admitted to a hospital ward, while 8.5% (50/587) were admitted directly to intensive care. For adults admitted to sentinel hospitals with RSV, 84.7% (497/587) were discharged alive, 4.3% (25/587) died, and data were missing for 11.1% (65/587) of adults. &#10;"/>
      </w:tblPr>
      <w:tblGrid>
        <w:gridCol w:w="4278"/>
        <w:gridCol w:w="1893"/>
        <w:gridCol w:w="1893"/>
        <w:gridCol w:w="1688"/>
      </w:tblGrid>
      <w:tr w:rsidR="00E332D6" w14:paraId="47A34F59"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E58E4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8F8651"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20B36E"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90734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E332D6" w14:paraId="4F24D69A" w14:textId="77777777" w:rsidTr="00BE6F6F">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27DA0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E43070"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(n=4,205)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22EFC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(n=2,378)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54D2B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(n=587)</w:t>
            </w:r>
          </w:p>
        </w:tc>
      </w:tr>
      <w:tr w:rsidR="00E332D6" w14:paraId="4D4464B3"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49B22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E332D6" w14:paraId="72E8EC00"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7FB6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43FC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EEF29"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 [45–77]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9D12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 [57–82]</w:t>
            </w:r>
          </w:p>
        </w:tc>
      </w:tr>
      <w:tr w:rsidR="00E332D6" w14:paraId="1F0AB2BA"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B2B65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E332D6" w14:paraId="07EA378E"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522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86290"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1,129 (26.8%)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9FC77"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1,267 (53.3%)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7260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207 (35.3%)</w:t>
            </w:r>
          </w:p>
        </w:tc>
      </w:tr>
      <w:tr w:rsidR="00E332D6" w14:paraId="6139819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1FCB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969F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3,076 (73.2%)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35FB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1,111 (46.7%)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B6BF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380 (64.7%)</w:t>
            </w:r>
          </w:p>
        </w:tc>
      </w:tr>
      <w:tr w:rsidR="00E332D6" w14:paraId="54D7DD8E"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2DC47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E332D6" w14:paraId="787B9B6B"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B6B05"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5A83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156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3E4B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258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AB919"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(10.9%)</w:t>
            </w:r>
          </w:p>
        </w:tc>
      </w:tr>
      <w:tr w:rsidR="00E332D6" w14:paraId="3FC1ACDD"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063F9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E332D6" w14:paraId="135E9F99"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1788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4A59A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EC18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3FC31"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E332D6" w14:paraId="7249A87B"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1D621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E332D6" w14:paraId="32F9C9E6"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16E7F"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8C2B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3,981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2083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2,196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23936"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537 (91.5%)</w:t>
            </w:r>
          </w:p>
        </w:tc>
      </w:tr>
      <w:tr w:rsidR="00E332D6" w14:paraId="78515185"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3567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9123B"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224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D5D12"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182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0823C6"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(8.5%)</w:t>
            </w:r>
          </w:p>
        </w:tc>
      </w:tr>
      <w:tr w:rsidR="00E332D6" w14:paraId="49A64857" w14:textId="77777777" w:rsidTr="00BE6F6F">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B15F6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E332D6" w14:paraId="3A37532C"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1FB7D"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9A1A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3,592 (85.4%)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A98AC"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2,155 (90.6%)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FC9A4"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497 (84.7%)</w:t>
            </w:r>
          </w:p>
        </w:tc>
      </w:tr>
      <w:tr w:rsidR="00E332D6" w14:paraId="7BDE7A13" w14:textId="77777777" w:rsidTr="00BE6F6F">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E9A78"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8E57A"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86B23"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2F42F" w14:textId="77777777" w:rsidR="00E332D6" w:rsidRDefault="00E332D6" w:rsidP="00BE6F6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(4.3%)</w:t>
            </w:r>
          </w:p>
        </w:tc>
      </w:tr>
      <w:tr w:rsidR="000D5189" w14:paraId="6DBDD472" w14:textId="77777777" w:rsidTr="00A7551D">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D87879"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2900E"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424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D113F"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149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B8584" w14:textId="77777777" w:rsidR="000D5189" w:rsidRDefault="000D5189"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(11.1%)</w:t>
            </w:r>
          </w:p>
        </w:tc>
      </w:tr>
    </w:tbl>
    <w:p w14:paraId="16A319C6" w14:textId="17ADBEAC" w:rsidR="00A715E6" w:rsidRDefault="0019761A" w:rsidP="000E02DC">
      <w:pPr>
        <w:pStyle w:val="Smalltext"/>
      </w:pPr>
      <w:r>
        <w:t xml:space="preserve">Source: </w:t>
      </w:r>
      <w:proofErr w:type="gramStart"/>
      <w:r>
        <w:t>Influenza Complications Alert Network (FluCAN)</w:t>
      </w:r>
      <w:r w:rsidR="0087030A">
        <w:t>,</w:t>
      </w:r>
      <w:proofErr w:type="gramEnd"/>
      <w:r w:rsidR="0087030A">
        <w:t xml:space="preserve"> extracted 13 March 2025</w:t>
      </w:r>
      <w:r w:rsidR="00CE256D">
        <w:t>.</w:t>
      </w:r>
      <w:r w:rsidR="003C4BBE">
        <w:t xml:space="preserve"> </w:t>
      </w:r>
      <w:r>
        <w:br/>
        <w:t xml:space="preserve">* </w:t>
      </w:r>
      <w:r w:rsidR="00EB72C9">
        <w:t>S</w:t>
      </w:r>
      <w:r w:rsidR="00EB72C9" w:rsidRPr="003C4BBE">
        <w:t>urveillance for</w:t>
      </w:r>
      <w:r w:rsidR="00EB72C9">
        <w:t xml:space="preserve"> sentinel hospital admissions with</w:t>
      </w:r>
      <w:r w:rsidR="00EB72C9" w:rsidRPr="003C4BBE">
        <w:t xml:space="preserve"> influenza </w:t>
      </w:r>
      <w:r w:rsidR="00EB72C9">
        <w:t xml:space="preserve">and RSV </w:t>
      </w:r>
      <w:r w:rsidR="00EB72C9" w:rsidRPr="003C4BBE">
        <w:t>d</w:t>
      </w:r>
      <w:r w:rsidR="00EB72C9">
        <w:t>id not begin</w:t>
      </w:r>
      <w:r w:rsidR="00EB72C9" w:rsidRPr="003C4BBE">
        <w:t xml:space="preserve"> </w:t>
      </w:r>
      <w:r w:rsidR="00EB72C9">
        <w:t xml:space="preserve">until </w:t>
      </w:r>
      <w:r w:rsidR="00EB72C9" w:rsidRPr="003C4BBE">
        <w:t>April 2024</w:t>
      </w:r>
      <w:r w:rsidR="009072DE">
        <w:t>, as such the data provided here</w:t>
      </w:r>
      <w:r w:rsidR="00DD0079">
        <w:t xml:space="preserve"> are reflective of </w:t>
      </w:r>
      <w:r w:rsidR="00652609">
        <w:t>sentinel hospital admissions with</w:t>
      </w:r>
      <w:r w:rsidR="00652609" w:rsidRPr="003C4BBE">
        <w:t xml:space="preserve"> influenza </w:t>
      </w:r>
      <w:r w:rsidR="00652609">
        <w:t>and RSV from 1 April to 31 December 2024.</w:t>
      </w:r>
      <w:r w:rsidR="00EB72C9">
        <w:t xml:space="preserve"> </w:t>
      </w:r>
      <w:r w:rsidR="0025291E">
        <w:t>S</w:t>
      </w:r>
      <w:r w:rsidR="0025291E" w:rsidRPr="003C4BBE">
        <w:t>urveillance for</w:t>
      </w:r>
      <w:r w:rsidR="0025291E">
        <w:t xml:space="preserve"> sentinel hospital admissions with COVID-19 was conducted </w:t>
      </w:r>
      <w:r w:rsidR="00907AA1">
        <w:t xml:space="preserve">from 1 </w:t>
      </w:r>
      <w:r w:rsidR="003B3E8D">
        <w:t>January</w:t>
      </w:r>
      <w:r w:rsidR="00907AA1">
        <w:t xml:space="preserve"> to 31 December 202</w:t>
      </w:r>
      <w:r w:rsidR="005516F3">
        <w:t>4</w:t>
      </w:r>
      <w:r>
        <w:t>.</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6A319C7" w14:textId="77777777" w:rsidR="00A715E6" w:rsidRDefault="0019761A">
      <w:r>
        <w:br w:type="page"/>
      </w:r>
    </w:p>
    <w:p w14:paraId="0F2B3F43" w14:textId="6D705AC1" w:rsidR="00EF61D0" w:rsidRDefault="0019761A" w:rsidP="006F4D24">
      <w:r>
        <w:lastRenderedPageBreak/>
        <w:t xml:space="preserve">In 2024, more patients </w:t>
      </w:r>
      <w:r w:rsidR="007F32E8">
        <w:t>were</w:t>
      </w:r>
      <w:r>
        <w:t xml:space="preserve"> admitted to a </w:t>
      </w:r>
      <w:r w:rsidR="00947322">
        <w:t xml:space="preserve">SPRINT-SARI </w:t>
      </w:r>
      <w:r>
        <w:t>sentinel intensive care</w:t>
      </w:r>
      <w:r w:rsidR="00EB0A71">
        <w:t xml:space="preserve"> site</w:t>
      </w:r>
      <w:r>
        <w:t xml:space="preserve"> with a severe acute respiratory infection (n=4,22</w:t>
      </w:r>
      <w:r w:rsidR="00C0124B">
        <w:t>8</w:t>
      </w:r>
      <w:r>
        <w:t xml:space="preserve">), than in </w:t>
      </w:r>
      <w:r w:rsidR="007F32E8">
        <w:t>2023</w:t>
      </w:r>
      <w:r>
        <w:t xml:space="preserve"> (n=3,301) (</w:t>
      </w:r>
      <w:r w:rsidR="004A5F5E">
        <w:t>Figure 14</w:t>
      </w:r>
      <w:r>
        <w:t>).</w:t>
      </w:r>
      <w:r w:rsidR="00150929">
        <w:t xml:space="preserve"> Th</w:t>
      </w:r>
      <w:r w:rsidR="0078189A">
        <w:t xml:space="preserve">is trend </w:t>
      </w:r>
      <w:r w:rsidR="00150929">
        <w:t xml:space="preserve">should in interpreted with caution, and </w:t>
      </w:r>
      <w:r w:rsidR="00E20A3B">
        <w:t>comparisons</w:t>
      </w:r>
      <w:r w:rsidR="006C6C2A">
        <w:t xml:space="preserve"> between 2022 and later years </w:t>
      </w:r>
      <w:r w:rsidR="005F378A">
        <w:t xml:space="preserve">should not be undertaken </w:t>
      </w:r>
      <w:r w:rsidR="006C6C2A">
        <w:t xml:space="preserve">as surveillance for </w:t>
      </w:r>
      <w:r>
        <w:t xml:space="preserve">non-COVID-19 severe acute respiratory infections </w:t>
      </w:r>
      <w:r w:rsidR="00BC1D44">
        <w:t>at</w:t>
      </w:r>
      <w:r>
        <w:t xml:space="preserve"> sentinel intensive care s</w:t>
      </w:r>
      <w:r w:rsidR="00BC1D44">
        <w:t>ites</w:t>
      </w:r>
      <w:r>
        <w:t xml:space="preserve"> did not begin until</w:t>
      </w:r>
      <w:r w:rsidR="00810877">
        <w:t xml:space="preserve"> </w:t>
      </w:r>
      <w:r w:rsidR="00063716">
        <w:t>late 2022</w:t>
      </w:r>
      <w:r>
        <w:t>.</w:t>
      </w:r>
      <w:r w:rsidR="006F4D24">
        <w:t xml:space="preserve"> </w:t>
      </w:r>
    </w:p>
    <w:p w14:paraId="31C31A4B" w14:textId="4B4247B4" w:rsidR="00CC016E" w:rsidRDefault="00CC016E" w:rsidP="006F4D24">
      <w:r>
        <w:t xml:space="preserve">In 2024, most admissions to sentinel intensive care </w:t>
      </w:r>
      <w:r w:rsidR="006313F1">
        <w:t xml:space="preserve">sites </w:t>
      </w:r>
      <w:r>
        <w:t>were with COVID-19 (n=1,384), followed by rhinovirus (n=1,031) and influenza (n=861)</w:t>
      </w:r>
      <w:r w:rsidR="007B6B28">
        <w:t xml:space="preserve">. There were </w:t>
      </w:r>
      <w:r w:rsidR="001A3AA3">
        <w:t>549</w:t>
      </w:r>
      <w:r w:rsidR="00B04EEA">
        <w:t xml:space="preserve"> admissions with RSV</w:t>
      </w:r>
      <w:r>
        <w:t xml:space="preserve"> (</w:t>
      </w:r>
      <w:r w:rsidR="00663F8B">
        <w:t>Table 5</w:t>
      </w:r>
      <w:r>
        <w:t>).</w:t>
      </w:r>
      <w:r w:rsidR="006F4D24">
        <w:t xml:space="preserve"> </w:t>
      </w:r>
      <w:r>
        <w:t>Some patient</w:t>
      </w:r>
      <w:r w:rsidRPr="000E03B4">
        <w:t>s</w:t>
      </w:r>
      <w:r w:rsidR="00B4293F">
        <w:t xml:space="preserve"> in 2024</w:t>
      </w:r>
      <w:r w:rsidRPr="000E03B4">
        <w:t xml:space="preserve"> (</w:t>
      </w:r>
      <w:r w:rsidR="000E03B4" w:rsidRPr="000E03B4">
        <w:t>5</w:t>
      </w:r>
      <w:r w:rsidRPr="000E03B4">
        <w:t>.</w:t>
      </w:r>
      <w:r w:rsidR="000E03B4" w:rsidRPr="000E03B4">
        <w:t>3</w:t>
      </w:r>
      <w:r w:rsidRPr="000E03B4">
        <w:t xml:space="preserve">%; </w:t>
      </w:r>
      <w:r w:rsidR="00786962" w:rsidRPr="000E03B4">
        <w:t>225</w:t>
      </w:r>
      <w:r w:rsidRPr="000E03B4">
        <w:t>/</w:t>
      </w:r>
      <w:r w:rsidR="00FF35A7" w:rsidRPr="000E03B4">
        <w:t>4,</w:t>
      </w:r>
      <w:r w:rsidR="00A11E73" w:rsidRPr="000E03B4">
        <w:t>22</w:t>
      </w:r>
      <w:r w:rsidR="00C0124B">
        <w:t>8</w:t>
      </w:r>
      <w:r w:rsidRPr="000E03B4">
        <w:t>) had co-</w:t>
      </w:r>
      <w:r>
        <w:t>infections of multiple respiratory pathogens; therefore, the sum of pathogen-specific totals may not equal the total number of patients</w:t>
      </w:r>
      <w:r w:rsidR="006F4D24">
        <w:t xml:space="preserve"> (Table 5)</w:t>
      </w:r>
      <w:r>
        <w:t>.</w:t>
      </w:r>
    </w:p>
    <w:p w14:paraId="731B42C2" w14:textId="517ED534" w:rsidR="00646C25" w:rsidRDefault="00646C25" w:rsidP="006F4D24">
      <w:r>
        <w:t xml:space="preserve">In 2024, there were fewer </w:t>
      </w:r>
      <w:r w:rsidR="006F4ADF">
        <w:t>admissions</w:t>
      </w:r>
      <w:r w:rsidR="00AA3972">
        <w:t xml:space="preserve"> to sentinel intensive care sites</w:t>
      </w:r>
      <w:r>
        <w:t xml:space="preserve"> </w:t>
      </w:r>
      <w:r w:rsidRPr="00DF0C0C">
        <w:t>with COVID-19</w:t>
      </w:r>
      <w:r w:rsidR="00A26EC0">
        <w:t xml:space="preserve"> </w:t>
      </w:r>
      <w:r w:rsidR="00661147">
        <w:t>(</w:t>
      </w:r>
      <w:r w:rsidR="00661147" w:rsidRPr="00661147">
        <w:t>n=1,384</w:t>
      </w:r>
      <w:r w:rsidR="00661147">
        <w:t>)</w:t>
      </w:r>
      <w:r w:rsidR="006F4ADF">
        <w:t xml:space="preserve">, than in </w:t>
      </w:r>
      <w:r>
        <w:t xml:space="preserve">2022 </w:t>
      </w:r>
      <w:r w:rsidR="004F6F26">
        <w:t>(n=</w:t>
      </w:r>
      <w:r w:rsidR="004F6F26" w:rsidRPr="004F6F26">
        <w:t>5,028</w:t>
      </w:r>
      <w:r w:rsidR="004F6F26">
        <w:t xml:space="preserve">) </w:t>
      </w:r>
      <w:r w:rsidR="006F4ADF">
        <w:t>or</w:t>
      </w:r>
      <w:r>
        <w:t xml:space="preserve"> 2023</w:t>
      </w:r>
      <w:r w:rsidR="00A5108C">
        <w:t xml:space="preserve"> (n=</w:t>
      </w:r>
      <w:r w:rsidR="00A5108C" w:rsidRPr="00A5108C">
        <w:t xml:space="preserve"> 1,772</w:t>
      </w:r>
      <w:r w:rsidR="00A5108C">
        <w:t>)</w:t>
      </w:r>
      <w:r w:rsidR="00733034">
        <w:t xml:space="preserve"> </w:t>
      </w:r>
      <w:r>
        <w:t>(</w:t>
      </w:r>
      <w:r w:rsidR="004A5F5E">
        <w:t>Figure 14</w:t>
      </w:r>
      <w:r>
        <w:t xml:space="preserve">). Several factors likely contributed to the decrease in the number of admissions to sentinel </w:t>
      </w:r>
      <w:r w:rsidR="0078189A">
        <w:t>intensive care units</w:t>
      </w:r>
      <w:r>
        <w:t xml:space="preserve"> </w:t>
      </w:r>
      <w:r w:rsidRPr="00DF0C0C">
        <w:t>with COVID-19</w:t>
      </w:r>
      <w:r>
        <w:t xml:space="preserve"> over time, including:</w:t>
      </w:r>
    </w:p>
    <w:p w14:paraId="77DCF200" w14:textId="255B9293" w:rsidR="00646C25" w:rsidRDefault="00646C25" w:rsidP="001D2466">
      <w:pPr>
        <w:pStyle w:val="ListBullet"/>
      </w:pPr>
      <w:r>
        <w:t xml:space="preserve">increased </w:t>
      </w:r>
      <w:r w:rsidRPr="00615BC7">
        <w:t>immunity from vaccination</w:t>
      </w:r>
      <w:r>
        <w:t xml:space="preserve"> and previous infections </w:t>
      </w:r>
      <w:r w:rsidR="0017219F">
        <w:t>contributing</w:t>
      </w:r>
      <w:r>
        <w:t xml:space="preserve"> to reduced severity of infection</w:t>
      </w:r>
    </w:p>
    <w:p w14:paraId="723CEEFF" w14:textId="041F003B" w:rsidR="00646C25" w:rsidRPr="00F54F79" w:rsidRDefault="00646C25" w:rsidP="001D2466">
      <w:pPr>
        <w:pStyle w:val="ListBullet"/>
      </w:pPr>
      <w:r>
        <w:t xml:space="preserve">early access to antivirals and other interventions </w:t>
      </w:r>
      <w:r w:rsidR="0017219F">
        <w:t>preventing</w:t>
      </w:r>
      <w:r>
        <w:t xml:space="preserve"> many cases from becoming severe</w:t>
      </w:r>
    </w:p>
    <w:p w14:paraId="26A9965D" w14:textId="77777777" w:rsidR="00646C25" w:rsidRDefault="00646C25" w:rsidP="001D2466">
      <w:pPr>
        <w:pStyle w:val="ListBullet"/>
      </w:pPr>
      <w:r>
        <w:t>decreased intrinsic severity of circulating variants</w:t>
      </w:r>
    </w:p>
    <w:p w14:paraId="6EC09808" w14:textId="72A4FE70" w:rsidR="00A4592D" w:rsidRPr="001D2466" w:rsidRDefault="00646C25" w:rsidP="001D2466">
      <w:pPr>
        <w:pStyle w:val="ListBullet"/>
      </w:pPr>
      <w:r>
        <w:t>decreased number of overall COVID-19 cases</w:t>
      </w:r>
      <w:r w:rsidRPr="0008548A">
        <w:t>.</w:t>
      </w:r>
    </w:p>
    <w:p w14:paraId="16A319CC" w14:textId="622A0D58" w:rsidR="00A715E6" w:rsidRDefault="004A5F5E" w:rsidP="001D2466">
      <w:pPr>
        <w:pStyle w:val="Caption"/>
      </w:pPr>
      <w:r>
        <w:t>Figure 14</w:t>
      </w:r>
      <w:r w:rsidR="0019761A">
        <w:t xml:space="preserve">: Number of patients admitted with severe acute respiratory infections to a sentinel intensive care by </w:t>
      </w:r>
      <w:r w:rsidR="006E6A13">
        <w:t>disease</w:t>
      </w:r>
      <w:r w:rsidR="0019761A">
        <w:t>, year*</w:t>
      </w:r>
      <w:r w:rsidR="00E11EEF">
        <w:rPr>
          <w:vertAlign w:val="superscript"/>
        </w:rPr>
        <w:t>†</w:t>
      </w:r>
      <w:r w:rsidR="0019761A">
        <w:t xml:space="preserve">, and week of admission, Australia, </w:t>
      </w:r>
      <w:r w:rsidR="004E108C">
        <w:t>January 2022 to December 2024</w:t>
      </w:r>
    </w:p>
    <w:p w14:paraId="7ADA2C45" w14:textId="71569241" w:rsidR="00E11EEF" w:rsidRDefault="008C67E5" w:rsidP="000E02DC">
      <w:pPr>
        <w:pStyle w:val="Smalltext"/>
      </w:pPr>
      <w:r>
        <w:rPr>
          <w:noProof/>
        </w:rPr>
        <w:drawing>
          <wp:inline distT="0" distB="0" distL="0" distR="0" wp14:anchorId="2E5F6976" wp14:editId="3776B437">
            <wp:extent cx="6184900" cy="5301342"/>
            <wp:effectExtent l="0" t="0" r="0" b="0"/>
            <wp:docPr id="73" name="Picture"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wp:cNvGraphicFramePr/>
            <a:graphic xmlns:a="http://schemas.openxmlformats.org/drawingml/2006/main">
              <a:graphicData uri="http://schemas.openxmlformats.org/drawingml/2006/picture">
                <pic:pic xmlns:pic="http://schemas.openxmlformats.org/drawingml/2006/picture">
                  <pic:nvPicPr>
                    <pic:cNvPr id="73" name="Picture"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5301342"/>
                    </a:xfrm>
                    <a:prstGeom prst="rect">
                      <a:avLst/>
                    </a:prstGeom>
                    <a:noFill/>
                    <a:ln w="9525">
                      <a:noFill/>
                      <a:headEnd/>
                      <a:tailEnd/>
                    </a:ln>
                  </pic:spPr>
                </pic:pic>
              </a:graphicData>
            </a:graphic>
          </wp:inline>
        </w:drawing>
      </w:r>
      <w:r w:rsidR="0019761A">
        <w:t xml:space="preserve">Source: </w:t>
      </w:r>
      <w:proofErr w:type="gramStart"/>
      <w:r w:rsidR="0019761A">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rsidR="0019761A">
        <w:br/>
        <w:t xml:space="preserve">* </w:t>
      </w:r>
      <w:r w:rsidR="00DE7743">
        <w:t>Axis varies between years.</w:t>
      </w:r>
    </w:p>
    <w:p w14:paraId="16A319CE" w14:textId="524E331C" w:rsidR="00A715E6" w:rsidRDefault="00E11EEF" w:rsidP="000E02DC">
      <w:pPr>
        <w:pStyle w:val="Smalltext"/>
      </w:pPr>
      <w:r w:rsidRPr="00E11EEF">
        <w:t>†</w:t>
      </w:r>
      <w:r>
        <w:t xml:space="preserve"> </w:t>
      </w:r>
      <w:r w:rsidR="0019761A">
        <w:t>Surveillance for non-COVID-19 severe acute respiratory infections in sentinel intensive care units did not begin</w:t>
      </w:r>
      <w:r w:rsidR="0030389D">
        <w:t xml:space="preserve"> in full </w:t>
      </w:r>
      <w:r w:rsidR="0019761A">
        <w:t>until 202</w:t>
      </w:r>
      <w:r w:rsidR="0030389D">
        <w:t>3</w:t>
      </w:r>
      <w:r w:rsidR="0019761A">
        <w:t xml:space="preserve">. Therefore, </w:t>
      </w:r>
      <w:r w:rsidR="00C55306">
        <w:t>data for non-COVID-19 severe acute respiratory infections in 2022 should be interpreted with caution and earlier years of data are not available for comparison</w:t>
      </w:r>
      <w:r w:rsidR="0019761A">
        <w:t>.</w:t>
      </w:r>
    </w:p>
    <w:p w14:paraId="36B6C983" w14:textId="0E3CEFC7" w:rsidR="005B7CC3" w:rsidRDefault="005B7CC3" w:rsidP="00B861A5">
      <w:r>
        <w:lastRenderedPageBreak/>
        <w:t xml:space="preserve">In 2024, </w:t>
      </w:r>
      <w:r w:rsidR="00E63022">
        <w:t xml:space="preserve">there were </w:t>
      </w:r>
      <w:r w:rsidR="00C8438D">
        <w:t>more</w:t>
      </w:r>
      <w:r w:rsidR="00E63022">
        <w:t xml:space="preserve"> admissions to</w:t>
      </w:r>
      <w:r w:rsidR="00570BC9">
        <w:t xml:space="preserve"> SPRINT-SARI</w:t>
      </w:r>
      <w:r w:rsidR="00E63022">
        <w:t xml:space="preserve"> sentinel intensive care sites </w:t>
      </w:r>
      <w:r w:rsidR="00E63022" w:rsidRPr="00DF0C0C">
        <w:t xml:space="preserve">with </w:t>
      </w:r>
      <w:r w:rsidR="00E63022">
        <w:t>influenza (</w:t>
      </w:r>
      <w:r w:rsidR="00E63022" w:rsidRPr="00661147">
        <w:t>n=</w:t>
      </w:r>
      <w:r w:rsidR="00E63022" w:rsidRPr="00E63022">
        <w:t>861</w:t>
      </w:r>
      <w:r w:rsidR="00E63022">
        <w:t>), than in 2023 (n=</w:t>
      </w:r>
      <w:r w:rsidR="00C8438D" w:rsidRPr="00C8438D">
        <w:t>556</w:t>
      </w:r>
      <w:r w:rsidR="00E63022">
        <w:t>)</w:t>
      </w:r>
      <w:r w:rsidR="00C8438D">
        <w:t xml:space="preserve">. Likewise, in 2024 there were more admissions to sentinel intensive care sites </w:t>
      </w:r>
      <w:r w:rsidR="00C8438D" w:rsidRPr="00DF0C0C">
        <w:t xml:space="preserve">with </w:t>
      </w:r>
      <w:r w:rsidR="00C8438D">
        <w:t>RSV (</w:t>
      </w:r>
      <w:r w:rsidR="00C8438D" w:rsidRPr="00661147">
        <w:t>n=</w:t>
      </w:r>
      <w:r w:rsidR="00C8438D" w:rsidRPr="00C8438D">
        <w:t>549</w:t>
      </w:r>
      <w:r w:rsidR="00C8438D">
        <w:t>), than in 2023 (n=</w:t>
      </w:r>
      <w:r w:rsidR="00604BBC" w:rsidRPr="00604BBC">
        <w:t>418</w:t>
      </w:r>
      <w:r w:rsidR="00C8438D">
        <w:t>)</w:t>
      </w:r>
      <w:r w:rsidR="00E63022">
        <w:t xml:space="preserve"> (</w:t>
      </w:r>
      <w:r w:rsidR="004A5F5E">
        <w:t>Figure 14</w:t>
      </w:r>
      <w:r w:rsidR="00E63022">
        <w:t>).</w:t>
      </w:r>
    </w:p>
    <w:p w14:paraId="21E071E8" w14:textId="355C417B" w:rsidR="00A25C2E" w:rsidRDefault="00301E7B" w:rsidP="00B861A5">
      <w:r>
        <w:t>In 2024, admissions to a sentinel intensive care with COVID-19 or influenza were generally among older age groups (</w:t>
      </w:r>
      <w:r w:rsidR="004A5F5E">
        <w:t>Figure 15</w:t>
      </w:r>
      <w:r>
        <w:t>; Table 5). In contrast, admissions with hMPV, rhinovirus</w:t>
      </w:r>
      <w:r w:rsidR="00D80CC5">
        <w:t>,</w:t>
      </w:r>
      <w:r>
        <w:t xml:space="preserve"> or RSV were among younger people, particularly children aged 0–9 years and 10–19 years (</w:t>
      </w:r>
      <w:r w:rsidR="004A5F5E">
        <w:t>Figure 15</w:t>
      </w:r>
      <w:r>
        <w:t>; Table 5).</w:t>
      </w:r>
      <w:r w:rsidR="00B861A5">
        <w:t xml:space="preserve"> </w:t>
      </w:r>
    </w:p>
    <w:p w14:paraId="609617B6" w14:textId="77777777" w:rsidR="00A25C2E" w:rsidRDefault="00301E7B" w:rsidP="00B861A5">
      <w:r>
        <w:t>In 2024,</w:t>
      </w:r>
      <w:r w:rsidR="00FD3F98">
        <w:t xml:space="preserve"> a higher proportion of admissions to a sentinel intensive care </w:t>
      </w:r>
      <w:r w:rsidR="00EF1D3B">
        <w:t xml:space="preserve">sites with severe acute respiratory infections </w:t>
      </w:r>
      <w:r w:rsidR="00FD3F98">
        <w:t>were male</w:t>
      </w:r>
      <w:r w:rsidR="0047413D">
        <w:t xml:space="preserve">. </w:t>
      </w:r>
    </w:p>
    <w:p w14:paraId="6DDC1995" w14:textId="69FE6C85" w:rsidR="00301E7B" w:rsidRDefault="0047413D" w:rsidP="00B861A5">
      <w:r>
        <w:t>A</w:t>
      </w:r>
      <w:r w:rsidR="00301E7B">
        <w:t xml:space="preserve"> smaller proportion of </w:t>
      </w:r>
      <w:r w:rsidR="007321A7">
        <w:t>admissions</w:t>
      </w:r>
      <w:r w:rsidR="00301E7B" w:rsidRPr="0021647F">
        <w:t xml:space="preserve"> to </w:t>
      </w:r>
      <w:r w:rsidR="00301E7B">
        <w:t xml:space="preserve">a </w:t>
      </w:r>
      <w:r w:rsidR="00301E7B" w:rsidRPr="0021647F">
        <w:t xml:space="preserve">sentinel </w:t>
      </w:r>
      <w:r w:rsidR="00301E7B">
        <w:t>intensive care</w:t>
      </w:r>
      <w:r w:rsidR="00301E7B" w:rsidRPr="0021647F">
        <w:t xml:space="preserve"> </w:t>
      </w:r>
      <w:r w:rsidR="00301E7B">
        <w:t>with COVID-19 identified as an Aboriginal and Torres Strait Islander person, than people with other severe acute respiratory infections (Table 5).</w:t>
      </w:r>
    </w:p>
    <w:p w14:paraId="190B3D53" w14:textId="0A5352EF" w:rsidR="00301E7B" w:rsidRDefault="00301E7B" w:rsidP="00B861A5">
      <w:r>
        <w:t xml:space="preserve">In 2024, the length of intensive care </w:t>
      </w:r>
      <w:proofErr w:type="gramStart"/>
      <w:r>
        <w:t>stay</w:t>
      </w:r>
      <w:proofErr w:type="gramEnd"/>
      <w:r>
        <w:t xml:space="preserve"> for people admitted to a sentinel intensive care was similar across </w:t>
      </w:r>
      <w:r w:rsidR="00063716">
        <w:t>infections</w:t>
      </w:r>
      <w:r>
        <w:t>, ranging from two days for rhinovirus to four days for hMPV or influenza (Table 5).</w:t>
      </w:r>
      <w:r w:rsidR="00B861A5">
        <w:t xml:space="preserve"> </w:t>
      </w:r>
      <w:r>
        <w:t xml:space="preserve">In 2024, most patients admitted to a sentinel intensive care with a severe acute respiratory infection were discharged home or transferred to another hospital facility such as an in-patient rehabilitation facility (Table 5). </w:t>
      </w:r>
    </w:p>
    <w:p w14:paraId="481805B9" w14:textId="1D0B9ABB" w:rsidR="00301E7B" w:rsidRPr="001D2466" w:rsidRDefault="00301E7B" w:rsidP="001D2466">
      <w:r>
        <w:t>Sadly, there were 431 deaths in patients admitted to a sentinel intensive care with a severe acute respir</w:t>
      </w:r>
      <w:r w:rsidRPr="004A2CE5">
        <w:t xml:space="preserve">atory infection, an in-hospital mortality </w:t>
      </w:r>
      <w:r w:rsidR="00BD250C">
        <w:t xml:space="preserve">rate </w:t>
      </w:r>
      <w:r w:rsidRPr="004A2CE5">
        <w:t>of 10.2% (431/4,22</w:t>
      </w:r>
      <w:r w:rsidR="005D5361">
        <w:t>8</w:t>
      </w:r>
      <w:r w:rsidRPr="004A2CE5">
        <w:t>) (</w:t>
      </w:r>
      <w:r>
        <w:t>Table 5</w:t>
      </w:r>
      <w:r w:rsidRPr="004A2CE5">
        <w:t>).</w:t>
      </w:r>
      <w:r w:rsidR="00B861A5">
        <w:t xml:space="preserve"> </w:t>
      </w:r>
      <w:r w:rsidRPr="004A2CE5">
        <w:t xml:space="preserve">Most deaths </w:t>
      </w:r>
      <w:r w:rsidR="00F97F0B">
        <w:t>(</w:t>
      </w:r>
      <w:r w:rsidR="00105169">
        <w:t>71.2%; 307/431</w:t>
      </w:r>
      <w:r w:rsidR="00F97F0B">
        <w:t xml:space="preserve">) </w:t>
      </w:r>
      <w:r w:rsidRPr="004A2CE5">
        <w:t>were in patients aged 60 years or over.</w:t>
      </w:r>
      <w:r w:rsidR="00B83212">
        <w:t xml:space="preserve"> In comparison, the in-hospital mortality </w:t>
      </w:r>
      <w:r w:rsidR="00BD250C">
        <w:t xml:space="preserve">rate </w:t>
      </w:r>
      <w:r w:rsidR="00355181">
        <w:t>was slightly higher in 2023 (</w:t>
      </w:r>
      <w:r w:rsidR="00BD250C" w:rsidRPr="004709D5">
        <w:t>11.8</w:t>
      </w:r>
      <w:r w:rsidR="00B83212" w:rsidRPr="00BD250C">
        <w:t>%</w:t>
      </w:r>
      <w:r w:rsidR="00355181">
        <w:t>;</w:t>
      </w:r>
      <w:r w:rsidR="00B83212" w:rsidRPr="00BD250C">
        <w:t xml:space="preserve"> </w:t>
      </w:r>
      <w:r w:rsidR="004A1B81" w:rsidRPr="004709D5">
        <w:t>390</w:t>
      </w:r>
      <w:r w:rsidR="00B83212" w:rsidRPr="00BD250C">
        <w:t>/3,301)</w:t>
      </w:r>
      <w:r w:rsidR="00F70B0C">
        <w:t>. T</w:t>
      </w:r>
      <w:r w:rsidR="003C05DD">
        <w:t>he</w:t>
      </w:r>
      <w:r w:rsidR="007324EA">
        <w:t xml:space="preserve"> trends in deaths </w:t>
      </w:r>
      <w:r w:rsidR="00591B22">
        <w:t xml:space="preserve">disaggregated </w:t>
      </w:r>
      <w:r w:rsidR="007324EA">
        <w:t xml:space="preserve">by </w:t>
      </w:r>
      <w:r w:rsidR="00F03D54">
        <w:t xml:space="preserve">infection </w:t>
      </w:r>
      <w:r w:rsidR="007324EA">
        <w:t xml:space="preserve">were similar </w:t>
      </w:r>
      <w:r w:rsidR="003C05DD">
        <w:t>between 2024 and 2023</w:t>
      </w:r>
      <w:r w:rsidR="00B83212">
        <w:t>.</w:t>
      </w:r>
      <w:r w:rsidR="00DF430C">
        <w:t xml:space="preserve"> </w:t>
      </w:r>
    </w:p>
    <w:p w14:paraId="16A319D3" w14:textId="06B69828" w:rsidR="00A715E6" w:rsidRDefault="004A5F5E" w:rsidP="001D2466">
      <w:pPr>
        <w:pStyle w:val="Caption"/>
      </w:pPr>
      <w:r>
        <w:t>Figure 15</w:t>
      </w:r>
      <w:r w:rsidR="0019761A">
        <w:t>: Number of patients admitted with severe acute respiratory infections to a sentinel intensive care by age group</w:t>
      </w:r>
      <w:r w:rsidR="004F6A6F">
        <w:t xml:space="preserve"> and </w:t>
      </w:r>
      <w:r w:rsidR="006E6A13">
        <w:t>disease</w:t>
      </w:r>
      <w:r w:rsidR="0019761A">
        <w:t xml:space="preserve">*, Australia, </w:t>
      </w:r>
      <w:r w:rsidR="003741B7">
        <w:t>January to December 2024</w:t>
      </w:r>
    </w:p>
    <w:p w14:paraId="16A319D4" w14:textId="3092DAE3" w:rsidR="00A715E6" w:rsidRDefault="009666C4">
      <w:pPr>
        <w:pStyle w:val="BodyText"/>
      </w:pPr>
      <w:r>
        <w:rPr>
          <w:noProof/>
        </w:rPr>
        <w:drawing>
          <wp:inline distT="0" distB="0" distL="0" distR="0" wp14:anchorId="666ADB05" wp14:editId="6FDD0E72">
            <wp:extent cx="6184900" cy="3048272"/>
            <wp:effectExtent l="0" t="0" r="0" b="0"/>
            <wp:docPr id="76" name="Picture"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wp:cNvGraphicFramePr/>
            <a:graphic xmlns:a="http://schemas.openxmlformats.org/drawingml/2006/main">
              <a:graphicData uri="http://schemas.openxmlformats.org/drawingml/2006/picture">
                <pic:pic xmlns:pic="http://schemas.openxmlformats.org/drawingml/2006/picture">
                  <pic:nvPicPr>
                    <pic:cNvPr id="76" name="Picture"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3048272"/>
                    </a:xfrm>
                    <a:prstGeom prst="rect">
                      <a:avLst/>
                    </a:prstGeom>
                    <a:noFill/>
                    <a:ln w="9525">
                      <a:noFill/>
                      <a:headEnd/>
                      <a:tailEnd/>
                    </a:ln>
                  </pic:spPr>
                </pic:pic>
              </a:graphicData>
            </a:graphic>
          </wp:inline>
        </w:drawing>
      </w:r>
    </w:p>
    <w:p w14:paraId="16A319D5" w14:textId="380D82C5" w:rsidR="00A715E6" w:rsidRDefault="0019761A" w:rsidP="000E02DC">
      <w:pPr>
        <w:pStyle w:val="Smalltext"/>
      </w:pPr>
      <w:r>
        <w:t xml:space="preserve">Source: </w:t>
      </w:r>
      <w:proofErr w:type="gramStart"/>
      <w:r>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br/>
        <w:t>* The age distribution of severe acute respiratory infection intensive care admissions may not reflect the age distribution of all patients admitted with a severe acute respiratory infection nationally.</w:t>
      </w:r>
    </w:p>
    <w:p w14:paraId="16A319D6" w14:textId="5BB6F2A0" w:rsidR="00FF486E" w:rsidRDefault="00FF486E">
      <w:pPr>
        <w:spacing w:before="0" w:after="0" w:line="240" w:lineRule="auto"/>
      </w:pPr>
      <w:r>
        <w:br w:type="page"/>
      </w:r>
    </w:p>
    <w:p w14:paraId="16A319D7" w14:textId="09C0918C" w:rsidR="00A715E6" w:rsidRDefault="00663F8B" w:rsidP="001D2466">
      <w:pPr>
        <w:pStyle w:val="Caption"/>
      </w:pPr>
      <w:r>
        <w:lastRenderedPageBreak/>
        <w:t>Table 5</w:t>
      </w:r>
      <w:r w:rsidR="0019761A">
        <w:t>: Demographic characteristics and outcomes of patients admitted with severe acute respiratory infection</w:t>
      </w:r>
      <w:r w:rsidR="00C43FD2">
        <w:t>s</w:t>
      </w:r>
      <w:r w:rsidR="0019761A">
        <w:t xml:space="preserve"> to a sentinel intensive care by disease*</w:t>
      </w:r>
      <w:r w:rsidR="0019761A">
        <w:rPr>
          <w:vertAlign w:val="superscript"/>
        </w:rPr>
        <w:t>†‡</w:t>
      </w:r>
      <w:r w:rsidR="0019761A">
        <w:t>, Australia, 1 January to 31 December 2024</w:t>
      </w:r>
    </w:p>
    <w:tbl>
      <w:tblPr>
        <w:tblW w:w="5000" w:type="pct"/>
        <w:jc w:val="center"/>
        <w:tblLayout w:type="fixed"/>
        <w:tblLook w:val="0420" w:firstRow="1" w:lastRow="0" w:firstColumn="0" w:lastColumn="0" w:noHBand="0" w:noVBand="1"/>
        <w:tblDescription w:val="A table summarising demographic characteristics and outcomes for patients with a severe acute respiratory infection to a sentinel intensive care by disease from 1 January 2024 to 31 December 2024.&#10;In 2024, for patients with COVID-19 (n=1,384), the median age was 65 years (interquartile range [IQR]: 48–75 years), 57.9% (801/1,384) were male, and 4.9% (68/1,384) identified as an Aboriginal and Torres Strait Islander person. For patients with COVID-19, 33.7% (466/1,384) received invasive mechanical ventilation and the median duration of invasive mechanical ventilation was 3 days (IQR: 1–8 days). The median length of stay in intensive care was 3 days (IQR: 2–6 days) and the median length of stay in hospital was 9 days (IQR: 5–17 days). For patients with COVID-19, 0.5% (7/1,384) had ongoing care in intensive care, 0.7% (10/1,384) had ongoing care in hospital ward, 18.1% (251/1,384) had been transferred to another hospital, 64.6% (894/1,384) were discharged home, 15.3% (21/1,384) died in hospital.&#10;In 2024, for patients with human metapneumovirus (hMPV) (n=205), the median age was 16 years (IQR: 5–64 years), 55.1% (113/205) were male, and 9.8% (20/205) identified as an Aboriginal and Torres Strait Islander person. For patients with hMPV, 31.7% (65/205) received invasive mechanical ventilation and the median duration of mechanical ventilation was 4 days (IQR: 1–8 days). The median length of stay in intensive care was 4 days (IQR: 2–8 days) and the median length of stay in hospital was 8 days (IQR: 4–14 days). For patients with hMPV, 0.5% (1/205) had ongoing care in intensive care and 0.5% (1/205) had ongoing care in hospital ward, 11.2% (23/205) were transferred to another hospital, 78.5% (161/205) were discharged home, 8.8% (18/205) died in hospital.&#10;In 2024, for patients with influenza (n=861), the median age was 54 years (IQR: 32–66 years), 53.4% (460/861) were male, and 8.0% (69/861) identified as an Aboriginal and Torres Strait Islander person. For patients with influenza, 38.9% (335/861) received invasive mechanical ventilation and the median duration of mechanical ventilation was 5 days (IQR: 2–10 days). The median length of stay in intensive care was 4 days (IQR: 2–8 days) and the median length of stay in hospital was 8 days (IQR: 5–15 days). For patients with influenza, 0.7% (6/861) had ongoing care in intensive care, 0.9% (8/861) had ongoing care in hospital ward, 13.7% (118/861) were transferred to another hospital, 73.2% (630/861) were discharged home, and 11.3% (97/861) died in hospital.&#10;In 2024, for patients with parainfluenza (n=267), the median age was 20 years (IQR: 4–66 years), 53.2% (142/267) were male, and 8.6% (23/267) identified as an Aboriginal and Torres Strait Islander person. For patients with parainfluenza, 36.7% (98/267) received invasive mechanical ventilation and the median duration of mechanical ventilation was 4 days (IQR: 1–7 days). The median length of stay in intensive care was 3 days (IQR: 2–6 days) and the median length of stay in hospital was 7 days (IQR: 4–14 days). For patients with parainfluenza, 0.4% (1/267) had ongoing care in intensive care, no patients had ongoing care in hospital ward, 9.0% (24/267) were transferred to another hospital, 80.9% (216/267) were discharged home and, 9.7% (26/267) died in hospital.&#10;In 2024, for patients with rhinovirus (n=1,031), the median age was 9 years (IQR: 3–30 years), 54.8% (565/1,03) were male, and 8.8% (91/1,031) identified as an Aboriginal and Torres Strait Islander person. For patients with rhinovirus, 31.0% (320/1,031) received invasive mechanical ventilation and the median duration of mechanical ventilation was 3 days (IQR: 1–7 days). The median length of stay in intensive care was 2 days (IQR: 1–5 days) and the median length of stay in hospital was 6 days (IQR: 3–13 days). For patients with rhinovirus, 0.1% (1/1,031) had ongoing care in intensive care, 1.1% (11/1,031) had ongoing care in a hospital ward, 10.9% (112/1,031) were transferred to another hospital, 82.6% (852/1,031) were discharged home, and 5.0% (52/1,031) died in hospital.&#10;In 2024, for patients with RSV (n=549), the median age was 8 years (IQR: 2–57 years), 51.2% (281/549) were male, and 11.3% (62/549) identified as an Aboriginal and Torres Strait Islander person. For patients with RSV, 25.0% (137/549) received mechanical ventilation and the median duration of mechanical ventilation was 4 days (IQR: 2–7 days). The median length of stay in intensive care was 3 days (IQR: 2–5 days) and the median length of stay in hospital was 6 days (IQR: 4–12 days). For patients with RSV, 0.2% (1/549) had ongoing care in intensive care, 0.2% (1/549) had ongoing care in a hospital ward, 11.5% (63/549) were transferred to another hospital, 82.0% (450/549) were discharged home, and 5.8% (32/549) died in hospital. &#10;In 2024, for patients admitted with other respiratory pathogens (n=187), the median age was 16 years (IQR: 3–43 years), 54.0% were male, and 7.0% (13/187) identified as an Aboriginal and Torres Strait Islander person. For patients admitted with other respiratory pathogens, 38.5% (72/187) received invasive mechanical ventilation and the median duration of mechanical ventilation was 3 days (IQR: 2–8 days). The median length of stay in intensive care was 3 days (IQR: 2–6 days); and the median length of stay in hospital was 7 days (IQR: 4–12 days). For patients admitted with other respiratory pathogens, 0.5% (1/187) had ongoing care in intensive care, 1.6% (3/187) had ongoing care in hospital ward, 8.6% (16/187) were transferred to another hospital, 83.4% (156/187) were discharged home, 4.8% (9/187) died in hospital.&#10;"/>
      </w:tblPr>
      <w:tblGrid>
        <w:gridCol w:w="2552"/>
        <w:gridCol w:w="1028"/>
        <w:gridCol w:w="1029"/>
        <w:gridCol w:w="1028"/>
        <w:gridCol w:w="1029"/>
        <w:gridCol w:w="1028"/>
        <w:gridCol w:w="1029"/>
        <w:gridCol w:w="1029"/>
      </w:tblGrid>
      <w:tr w:rsidR="00A715E6" w14:paraId="16A319E0" w14:textId="77777777" w:rsidTr="000E7AC1">
        <w:trPr>
          <w:tblHeader/>
          <w:jc w:val="center"/>
        </w:trPr>
        <w:tc>
          <w:tcPr>
            <w:tcW w:w="255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8" w14:textId="77777777" w:rsidR="00A715E6"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9"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AC3F71">
              <w:rPr>
                <w:rFonts w:eastAsia="Arial" w:cs="Arial"/>
                <w:b/>
                <w:color w:val="033636"/>
                <w:sz w:val="14"/>
                <w:szCs w:val="14"/>
              </w:rPr>
              <w:t>COVID-19</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A"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7218D0">
              <w:rPr>
                <w:rFonts w:eastAsia="Arial" w:cs="Arial"/>
                <w:b/>
                <w:color w:val="033636"/>
                <w:sz w:val="14"/>
                <w:szCs w:val="14"/>
              </w:rPr>
              <w:t>hMPV</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B"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818CB">
              <w:rPr>
                <w:rFonts w:eastAsia="Arial" w:cs="Arial"/>
                <w:b/>
                <w:color w:val="033636"/>
                <w:sz w:val="14"/>
                <w:szCs w:val="14"/>
              </w:rPr>
              <w:t>Influenza</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C"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F42FC3">
              <w:rPr>
                <w:rFonts w:eastAsia="Arial" w:cs="Arial"/>
                <w:b/>
                <w:color w:val="033636"/>
                <w:sz w:val="12"/>
                <w:szCs w:val="12"/>
              </w:rPr>
              <w:t>Parainfluenza</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D"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8A637E">
              <w:rPr>
                <w:rFonts w:eastAsia="Arial" w:cs="Arial"/>
                <w:b/>
                <w:color w:val="033636"/>
                <w:sz w:val="14"/>
                <w:szCs w:val="14"/>
              </w:rPr>
              <w:t>Rhinovirus</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E"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641EB7">
              <w:rPr>
                <w:rFonts w:eastAsia="Arial" w:cs="Arial"/>
                <w:b/>
                <w:color w:val="033636"/>
                <w:sz w:val="14"/>
                <w:szCs w:val="14"/>
              </w:rPr>
              <w:t>RSV</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DF"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7127C">
              <w:rPr>
                <w:rFonts w:eastAsia="Arial" w:cs="Arial"/>
                <w:b/>
                <w:color w:val="033636"/>
                <w:sz w:val="14"/>
                <w:szCs w:val="14"/>
              </w:rPr>
              <w:t>Other</w:t>
            </w:r>
          </w:p>
        </w:tc>
      </w:tr>
      <w:tr w:rsidR="00A715E6" w14:paraId="16A319E9" w14:textId="77777777" w:rsidTr="000E7AC1">
        <w:trPr>
          <w:tblHeader/>
          <w:jc w:val="center"/>
        </w:trPr>
        <w:tc>
          <w:tcPr>
            <w:tcW w:w="255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1" w14:textId="77777777" w:rsidR="00A715E6" w:rsidRDefault="00A715E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2"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AC3F71">
              <w:rPr>
                <w:rFonts w:eastAsia="Arial" w:cs="Arial"/>
                <w:b/>
                <w:color w:val="033636"/>
                <w:sz w:val="14"/>
                <w:szCs w:val="14"/>
              </w:rPr>
              <w:t>(n=1,384)</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3"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7218D0">
              <w:rPr>
                <w:rFonts w:eastAsia="Arial" w:cs="Arial"/>
                <w:b/>
                <w:color w:val="033636"/>
                <w:sz w:val="14"/>
                <w:szCs w:val="14"/>
              </w:rPr>
              <w:t>(n=205)</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4"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818CB">
              <w:rPr>
                <w:rFonts w:eastAsia="Arial" w:cs="Arial"/>
                <w:b/>
                <w:color w:val="033636"/>
                <w:sz w:val="14"/>
                <w:szCs w:val="14"/>
              </w:rPr>
              <w:t>(n=861)</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5"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F42FC3">
              <w:rPr>
                <w:rFonts w:eastAsia="Arial" w:cs="Arial"/>
                <w:b/>
                <w:color w:val="033636"/>
                <w:sz w:val="14"/>
                <w:szCs w:val="14"/>
              </w:rPr>
              <w:t>(n=267)</w:t>
            </w:r>
          </w:p>
        </w:tc>
        <w:tc>
          <w:tcPr>
            <w:tcW w:w="102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6"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8A637E">
              <w:rPr>
                <w:rFonts w:eastAsia="Arial" w:cs="Arial"/>
                <w:b/>
                <w:color w:val="033636"/>
                <w:sz w:val="14"/>
                <w:szCs w:val="14"/>
              </w:rPr>
              <w:t>(n=1,031)</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7"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641EB7">
              <w:rPr>
                <w:rFonts w:eastAsia="Arial" w:cs="Arial"/>
                <w:b/>
                <w:color w:val="033636"/>
                <w:sz w:val="14"/>
                <w:szCs w:val="14"/>
              </w:rPr>
              <w:t>(n=549)</w:t>
            </w:r>
          </w:p>
        </w:tc>
        <w:tc>
          <w:tcPr>
            <w:tcW w:w="1029"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8"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sidRPr="0057127C">
              <w:rPr>
                <w:rFonts w:eastAsia="Arial" w:cs="Arial"/>
                <w:b/>
                <w:color w:val="033636"/>
                <w:sz w:val="14"/>
                <w:szCs w:val="14"/>
              </w:rPr>
              <w:t>(n=187)</w:t>
            </w:r>
          </w:p>
        </w:tc>
      </w:tr>
      <w:tr w:rsidR="00A715E6" w14:paraId="16A319EB"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EA"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Age (years)</w:t>
            </w:r>
          </w:p>
        </w:tc>
      </w:tr>
      <w:tr w:rsidR="00A715E6" w14:paraId="16A319F4"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D"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65</w:t>
            </w:r>
            <w:r w:rsidRPr="00AC3F71">
              <w:rPr>
                <w:rFonts w:eastAsia="Arial" w:cs="Arial"/>
                <w:color w:val="033636"/>
                <w:sz w:val="14"/>
                <w:szCs w:val="14"/>
              </w:rPr>
              <w:br/>
              <w:t xml:space="preserve"> [48–75]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E"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16</w:t>
            </w:r>
            <w:r w:rsidRPr="007218D0">
              <w:rPr>
                <w:rFonts w:eastAsia="Arial" w:cs="Arial"/>
                <w:color w:val="033636"/>
                <w:sz w:val="14"/>
                <w:szCs w:val="14"/>
              </w:rPr>
              <w:br/>
              <w:t xml:space="preserve"> [5–64]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EF"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54</w:t>
            </w:r>
            <w:r w:rsidRPr="005818CB">
              <w:rPr>
                <w:rFonts w:eastAsia="Arial" w:cs="Arial"/>
                <w:color w:val="033636"/>
                <w:sz w:val="14"/>
                <w:szCs w:val="14"/>
              </w:rPr>
              <w:br/>
              <w:t xml:space="preserve"> [32–66]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0"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20</w:t>
            </w:r>
            <w:r w:rsidRPr="00F42FC3">
              <w:rPr>
                <w:rFonts w:eastAsia="Arial" w:cs="Arial"/>
                <w:color w:val="033636"/>
                <w:sz w:val="14"/>
                <w:szCs w:val="14"/>
              </w:rPr>
              <w:br/>
              <w:t xml:space="preserve"> [4–66]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1"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w:t>
            </w:r>
            <w:r w:rsidRPr="008A637E">
              <w:rPr>
                <w:rFonts w:eastAsia="Arial" w:cs="Arial"/>
                <w:color w:val="033636"/>
                <w:sz w:val="14"/>
                <w:szCs w:val="14"/>
              </w:rPr>
              <w:br/>
              <w:t xml:space="preserve"> [3–30]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2"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8</w:t>
            </w:r>
            <w:r w:rsidRPr="00641EB7">
              <w:rPr>
                <w:rFonts w:eastAsia="Arial" w:cs="Arial"/>
                <w:color w:val="033636"/>
                <w:sz w:val="14"/>
                <w:szCs w:val="14"/>
              </w:rPr>
              <w:br/>
              <w:t xml:space="preserve"> [2–57]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3"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16</w:t>
            </w:r>
            <w:r w:rsidRPr="0057127C">
              <w:rPr>
                <w:rFonts w:eastAsia="Arial" w:cs="Arial"/>
                <w:color w:val="033636"/>
                <w:sz w:val="14"/>
                <w:szCs w:val="14"/>
              </w:rPr>
              <w:br/>
              <w:t xml:space="preserve"> [3–43]</w:t>
            </w:r>
          </w:p>
        </w:tc>
      </w:tr>
      <w:tr w:rsidR="007C053C" w14:paraId="333BD389" w14:textId="77777777">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B0D081" w14:textId="471F0CB7" w:rsidR="007C053C" w:rsidRPr="0057127C" w:rsidRDefault="00FC205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Sex</w:t>
            </w:r>
          </w:p>
        </w:tc>
      </w:tr>
      <w:tr w:rsidR="007C053C" w14:paraId="0E9A2C16"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01CE6" w14:textId="66F3CCD7" w:rsidR="007C053C" w:rsidRDefault="007C053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Female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156F5" w14:textId="07060FC8" w:rsidR="007C053C" w:rsidRPr="00AC3F71" w:rsidRDefault="009A087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583</w:t>
            </w:r>
            <w:r>
              <w:rPr>
                <w:rFonts w:eastAsia="Arial" w:cs="Arial"/>
                <w:color w:val="033636"/>
                <w:sz w:val="14"/>
                <w:szCs w:val="14"/>
              </w:rPr>
              <w:br/>
              <w:t>(42</w:t>
            </w:r>
            <w:r w:rsidR="007166B2">
              <w:rPr>
                <w:rFonts w:eastAsia="Arial" w:cs="Arial"/>
                <w:color w:val="033636"/>
                <w:sz w:val="14"/>
                <w:szCs w:val="14"/>
              </w:rPr>
              <w:t>.</w:t>
            </w:r>
            <w:r>
              <w:rPr>
                <w:rFonts w:eastAsia="Arial" w:cs="Arial"/>
                <w:color w:val="033636"/>
                <w:sz w:val="14"/>
                <w:szCs w:val="14"/>
              </w:rPr>
              <w:t>1</w:t>
            </w:r>
            <w:r w:rsidR="007166B2">
              <w:rPr>
                <w:rFonts w:eastAsia="Arial" w:cs="Arial"/>
                <w:color w:val="033636"/>
                <w:sz w:val="14"/>
                <w:szCs w:val="14"/>
              </w:rPr>
              <w:t>%</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1BFB5" w14:textId="2F8CB57F" w:rsidR="007C053C" w:rsidRPr="007218D0" w:rsidRDefault="0035689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w:t>
            </w:r>
            <w:r w:rsidR="00F446EE">
              <w:rPr>
                <w:rFonts w:eastAsia="Arial" w:cs="Arial"/>
                <w:color w:val="033636"/>
                <w:sz w:val="14"/>
                <w:szCs w:val="14"/>
              </w:rPr>
              <w:br/>
              <w:t>(44.9%)</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46043" w14:textId="48BA9E4E" w:rsidR="007C053C" w:rsidRPr="005818CB" w:rsidRDefault="00A80C2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401</w:t>
            </w:r>
            <w:r>
              <w:rPr>
                <w:rFonts w:eastAsia="Arial" w:cs="Arial"/>
                <w:color w:val="033636"/>
                <w:sz w:val="14"/>
                <w:szCs w:val="14"/>
              </w:rPr>
              <w:br/>
              <w:t>(</w:t>
            </w:r>
            <w:r w:rsidR="00ED4E25">
              <w:rPr>
                <w:rFonts w:eastAsia="Arial" w:cs="Arial"/>
                <w:color w:val="033636"/>
                <w:sz w:val="14"/>
                <w:szCs w:val="14"/>
              </w:rPr>
              <w:t>46.6%</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DDE8D" w14:textId="68FAA109" w:rsidR="007C053C" w:rsidRPr="00F42FC3" w:rsidRDefault="006F251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125</w:t>
            </w:r>
            <w:r>
              <w:rPr>
                <w:rFonts w:eastAsia="Arial" w:cs="Arial"/>
                <w:color w:val="033636"/>
                <w:sz w:val="14"/>
                <w:szCs w:val="14"/>
              </w:rPr>
              <w:br/>
              <w:t>(</w:t>
            </w:r>
            <w:r w:rsidR="008B6C7D">
              <w:rPr>
                <w:rFonts w:eastAsia="Arial" w:cs="Arial"/>
                <w:color w:val="033636"/>
                <w:sz w:val="14"/>
                <w:szCs w:val="14"/>
              </w:rPr>
              <w:t>46.8%</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FBCEF" w14:textId="1493C15A" w:rsidR="007C053C" w:rsidRPr="008A637E" w:rsidRDefault="0053165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466</w:t>
            </w:r>
            <w:r>
              <w:rPr>
                <w:rFonts w:eastAsia="Arial" w:cs="Arial"/>
                <w:color w:val="033636"/>
                <w:sz w:val="14"/>
                <w:szCs w:val="14"/>
              </w:rPr>
              <w:br/>
              <w:t>(</w:t>
            </w:r>
            <w:r w:rsidR="00725CB1">
              <w:rPr>
                <w:rFonts w:eastAsia="Arial" w:cs="Arial"/>
                <w:color w:val="033636"/>
                <w:sz w:val="14"/>
                <w:szCs w:val="14"/>
              </w:rPr>
              <w:t>45.2%</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00460" w14:textId="18712FD2" w:rsidR="007C053C" w:rsidRPr="00641EB7" w:rsidRDefault="002D570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268</w:t>
            </w:r>
            <w:r>
              <w:rPr>
                <w:rFonts w:eastAsia="Arial" w:cs="Arial"/>
                <w:color w:val="033636"/>
                <w:sz w:val="14"/>
                <w:szCs w:val="14"/>
              </w:rPr>
              <w:br/>
              <w:t>(</w:t>
            </w:r>
            <w:r w:rsidR="00A82F19">
              <w:rPr>
                <w:rFonts w:eastAsia="Arial" w:cs="Arial"/>
                <w:color w:val="033636"/>
                <w:sz w:val="14"/>
                <w:szCs w:val="14"/>
              </w:rPr>
              <w:t>48.8%</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4B1E9" w14:textId="4664F2D4" w:rsidR="007C053C" w:rsidRPr="0057127C" w:rsidRDefault="00973F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w:t>
            </w:r>
            <w:r w:rsidR="00247F07">
              <w:rPr>
                <w:rFonts w:eastAsia="Arial" w:cs="Arial"/>
                <w:color w:val="033636"/>
                <w:sz w:val="14"/>
                <w:szCs w:val="14"/>
              </w:rPr>
              <w:br/>
              <w:t>(</w:t>
            </w:r>
            <w:r w:rsidR="006701EC">
              <w:rPr>
                <w:rFonts w:eastAsia="Arial" w:cs="Arial"/>
                <w:color w:val="033636"/>
                <w:sz w:val="14"/>
                <w:szCs w:val="14"/>
              </w:rPr>
              <w:t>46.0%</w:t>
            </w:r>
            <w:r w:rsidR="00247F07">
              <w:rPr>
                <w:rFonts w:eastAsia="Arial" w:cs="Arial"/>
                <w:color w:val="033636"/>
                <w:sz w:val="14"/>
                <w:szCs w:val="14"/>
              </w:rPr>
              <w:t>)</w:t>
            </w:r>
          </w:p>
        </w:tc>
      </w:tr>
      <w:tr w:rsidR="000C54EB" w14:paraId="7CF0F960"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8B9DF" w14:textId="6E271B08" w:rsidR="000C54EB" w:rsidRDefault="000C54E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Male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F993F" w14:textId="53331DF9" w:rsidR="000C54EB" w:rsidRDefault="00515EA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801</w:t>
            </w:r>
            <w:r>
              <w:rPr>
                <w:rFonts w:eastAsia="Arial" w:cs="Arial"/>
                <w:color w:val="033636"/>
                <w:sz w:val="14"/>
                <w:szCs w:val="14"/>
              </w:rPr>
              <w:br/>
              <w:t>(57.9%)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6DBD4" w14:textId="11AE516A" w:rsidR="000C54EB" w:rsidRDefault="00E043C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113</w:t>
            </w:r>
            <w:r>
              <w:rPr>
                <w:rFonts w:eastAsia="Arial" w:cs="Arial"/>
                <w:color w:val="033636"/>
                <w:sz w:val="14"/>
                <w:szCs w:val="14"/>
              </w:rPr>
              <w:br/>
              <w:t>(</w:t>
            </w:r>
            <w:r w:rsidR="00DA08DD">
              <w:rPr>
                <w:rFonts w:eastAsia="Arial" w:cs="Arial"/>
                <w:color w:val="033636"/>
                <w:sz w:val="14"/>
                <w:szCs w:val="14"/>
              </w:rPr>
              <w:t>55.1%</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C3AF7" w14:textId="3C79149F" w:rsidR="000C54EB" w:rsidRDefault="009A417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460</w:t>
            </w:r>
            <w:r>
              <w:rPr>
                <w:rFonts w:eastAsia="Arial" w:cs="Arial"/>
                <w:color w:val="033636"/>
                <w:sz w:val="14"/>
                <w:szCs w:val="14"/>
              </w:rPr>
              <w:br/>
              <w:t>(53.4%)</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F0598" w14:textId="056512B7" w:rsidR="000C54EB" w:rsidRDefault="0090391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sidR="005D2551">
              <w:rPr>
                <w:rFonts w:eastAsia="Arial" w:cs="Arial"/>
                <w:color w:val="033636"/>
                <w:sz w:val="14"/>
                <w:szCs w:val="14"/>
              </w:rPr>
              <w:t>2</w:t>
            </w:r>
            <w:r>
              <w:rPr>
                <w:rFonts w:eastAsia="Arial" w:cs="Arial"/>
                <w:color w:val="033636"/>
                <w:sz w:val="14"/>
                <w:szCs w:val="14"/>
              </w:rPr>
              <w:br/>
              <w:t>(</w:t>
            </w:r>
            <w:r w:rsidR="005D2551">
              <w:rPr>
                <w:rFonts w:eastAsia="Arial" w:cs="Arial"/>
                <w:color w:val="033636"/>
                <w:sz w:val="14"/>
                <w:szCs w:val="14"/>
              </w:rPr>
              <w:t>53</w:t>
            </w:r>
            <w:r w:rsidR="00FD146A">
              <w:rPr>
                <w:rFonts w:eastAsia="Arial" w:cs="Arial"/>
                <w:color w:val="033636"/>
                <w:sz w:val="14"/>
                <w:szCs w:val="14"/>
              </w:rPr>
              <w:t>.2%</w:t>
            </w:r>
            <w:r>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69FB1" w14:textId="1234C68A" w:rsidR="000C54EB" w:rsidRDefault="00380F0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sidR="009018CB">
              <w:rPr>
                <w:rFonts w:eastAsia="Arial" w:cs="Arial"/>
                <w:color w:val="033636"/>
                <w:sz w:val="14"/>
                <w:szCs w:val="14"/>
              </w:rPr>
              <w:t>5</w:t>
            </w:r>
            <w:r w:rsidR="009018CB">
              <w:rPr>
                <w:rFonts w:eastAsia="Arial" w:cs="Arial"/>
                <w:color w:val="033636"/>
                <w:sz w:val="14"/>
                <w:szCs w:val="14"/>
              </w:rPr>
              <w:br/>
              <w:t>(54.8%)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90C5E" w14:textId="16CD7D07" w:rsidR="000C54EB" w:rsidRDefault="007B7FA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281</w:t>
            </w:r>
            <w:r>
              <w:rPr>
                <w:rFonts w:eastAsia="Arial" w:cs="Arial"/>
                <w:color w:val="033636"/>
                <w:sz w:val="14"/>
                <w:szCs w:val="14"/>
              </w:rPr>
              <w:br/>
              <w:t>(</w:t>
            </w:r>
            <w:r w:rsidR="00DF5D04">
              <w:rPr>
                <w:rFonts w:eastAsia="Arial" w:cs="Arial"/>
                <w:color w:val="033636"/>
                <w:sz w:val="14"/>
                <w:szCs w:val="14"/>
              </w:rPr>
              <w:t>51.2%</w:t>
            </w:r>
            <w:r>
              <w:rPr>
                <w:rFonts w:eastAsia="Arial" w:cs="Arial"/>
                <w:color w:val="033636"/>
                <w:sz w:val="14"/>
                <w:szCs w:val="14"/>
              </w:rPr>
              <w:t>)</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C1510" w14:textId="4330589E" w:rsidR="000C54EB" w:rsidRDefault="000C54E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101</w:t>
            </w:r>
            <w:r>
              <w:rPr>
                <w:rFonts w:eastAsia="Arial" w:cs="Arial"/>
                <w:color w:val="033636"/>
                <w:sz w:val="14"/>
                <w:szCs w:val="14"/>
              </w:rPr>
              <w:br/>
              <w:t>(</w:t>
            </w:r>
            <w:r w:rsidR="00380F0A">
              <w:rPr>
                <w:rFonts w:eastAsia="Arial" w:cs="Arial"/>
                <w:color w:val="033636"/>
                <w:sz w:val="14"/>
                <w:szCs w:val="14"/>
              </w:rPr>
              <w:t>54.0%</w:t>
            </w:r>
            <w:r>
              <w:rPr>
                <w:rFonts w:eastAsia="Arial" w:cs="Arial"/>
                <w:color w:val="033636"/>
                <w:sz w:val="14"/>
                <w:szCs w:val="14"/>
              </w:rPr>
              <w:t>)</w:t>
            </w:r>
          </w:p>
        </w:tc>
      </w:tr>
      <w:tr w:rsidR="00A715E6" w14:paraId="16A319F6"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9F5"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Indigenous status</w:t>
            </w:r>
          </w:p>
        </w:tc>
      </w:tr>
      <w:tr w:rsidR="00A715E6" w14:paraId="16A319FF"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8"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68</w:t>
            </w:r>
            <w:r w:rsidRPr="00AC3F71">
              <w:rPr>
                <w:rFonts w:eastAsia="Arial" w:cs="Arial"/>
                <w:color w:val="033636"/>
                <w:sz w:val="14"/>
                <w:szCs w:val="14"/>
              </w:rPr>
              <w:br/>
              <w:t xml:space="preserve"> (4.9%)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9"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20</w:t>
            </w:r>
            <w:r w:rsidRPr="007218D0">
              <w:rPr>
                <w:rFonts w:eastAsia="Arial" w:cs="Arial"/>
                <w:color w:val="033636"/>
                <w:sz w:val="14"/>
                <w:szCs w:val="14"/>
              </w:rPr>
              <w:br/>
              <w:t xml:space="preserve"> (9.8%)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A"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69</w:t>
            </w:r>
            <w:r w:rsidRPr="005818CB">
              <w:rPr>
                <w:rFonts w:eastAsia="Arial" w:cs="Arial"/>
                <w:color w:val="033636"/>
                <w:sz w:val="14"/>
                <w:szCs w:val="14"/>
              </w:rPr>
              <w:br/>
              <w:t xml:space="preserve"> (8.0%)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B"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23</w:t>
            </w:r>
            <w:r w:rsidRPr="00F42FC3">
              <w:rPr>
                <w:rFonts w:eastAsia="Arial" w:cs="Arial"/>
                <w:color w:val="033636"/>
                <w:sz w:val="14"/>
                <w:szCs w:val="14"/>
              </w:rPr>
              <w:br/>
              <w:t xml:space="preserve"> (8.6%)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C"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91</w:t>
            </w:r>
            <w:r w:rsidRPr="008A637E">
              <w:rPr>
                <w:rFonts w:eastAsia="Arial" w:cs="Arial"/>
                <w:color w:val="033636"/>
                <w:sz w:val="14"/>
                <w:szCs w:val="14"/>
              </w:rPr>
              <w:br/>
              <w:t xml:space="preserve"> (8.8%)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D"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62</w:t>
            </w:r>
            <w:r w:rsidRPr="00641EB7">
              <w:rPr>
                <w:rFonts w:eastAsia="Arial" w:cs="Arial"/>
                <w:color w:val="033636"/>
                <w:sz w:val="14"/>
                <w:szCs w:val="14"/>
              </w:rPr>
              <w:br/>
              <w:t xml:space="preserve"> (11.3%)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9FE"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13</w:t>
            </w:r>
            <w:r w:rsidRPr="0057127C">
              <w:rPr>
                <w:rFonts w:eastAsia="Arial" w:cs="Arial"/>
                <w:color w:val="033636"/>
                <w:sz w:val="14"/>
                <w:szCs w:val="14"/>
              </w:rPr>
              <w:br/>
              <w:t xml:space="preserve"> (7.0%)</w:t>
            </w:r>
          </w:p>
        </w:tc>
      </w:tr>
      <w:tr w:rsidR="00A715E6" w14:paraId="16A31A08"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1" w14:textId="37AE46F9"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w:t>
            </w:r>
            <w:r w:rsidR="009A0871">
              <w:rPr>
                <w:rFonts w:eastAsia="Arial" w:cs="Arial"/>
                <w:color w:val="033636"/>
                <w:sz w:val="14"/>
                <w:szCs w:val="14"/>
              </w:rPr>
              <w:t>,</w:t>
            </w:r>
            <w:r w:rsidRPr="00AC3F71">
              <w:rPr>
                <w:rFonts w:eastAsia="Arial" w:cs="Arial"/>
                <w:color w:val="033636"/>
                <w:sz w:val="14"/>
                <w:szCs w:val="14"/>
              </w:rPr>
              <w:t>316</w:t>
            </w:r>
            <w:r w:rsidRPr="00AC3F71">
              <w:rPr>
                <w:rFonts w:eastAsia="Arial" w:cs="Arial"/>
                <w:color w:val="033636"/>
                <w:sz w:val="14"/>
                <w:szCs w:val="14"/>
              </w:rPr>
              <w:br/>
              <w:t xml:space="preserve"> (95.1%)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2"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185</w:t>
            </w:r>
            <w:r w:rsidRPr="007218D0">
              <w:rPr>
                <w:rFonts w:eastAsia="Arial" w:cs="Arial"/>
                <w:color w:val="033636"/>
                <w:sz w:val="14"/>
                <w:szCs w:val="14"/>
              </w:rPr>
              <w:br/>
              <w:t xml:space="preserve"> (90.2%)</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3"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792</w:t>
            </w:r>
            <w:r w:rsidRPr="005818CB">
              <w:rPr>
                <w:rFonts w:eastAsia="Arial" w:cs="Arial"/>
                <w:color w:val="033636"/>
                <w:sz w:val="14"/>
                <w:szCs w:val="14"/>
              </w:rPr>
              <w:br/>
              <w:t xml:space="preserve"> (92.0%)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4"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244</w:t>
            </w:r>
            <w:r w:rsidRPr="00F42FC3">
              <w:rPr>
                <w:rFonts w:eastAsia="Arial" w:cs="Arial"/>
                <w:color w:val="033636"/>
                <w:sz w:val="14"/>
                <w:szCs w:val="14"/>
              </w:rPr>
              <w:br/>
              <w:t xml:space="preserve"> (91.4%)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5"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940</w:t>
            </w:r>
            <w:r w:rsidRPr="008A637E">
              <w:rPr>
                <w:rFonts w:eastAsia="Arial" w:cs="Arial"/>
                <w:color w:val="033636"/>
                <w:sz w:val="14"/>
                <w:szCs w:val="14"/>
              </w:rPr>
              <w:br/>
              <w:t xml:space="preserve"> (91.2%)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6"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487</w:t>
            </w:r>
            <w:r w:rsidRPr="00641EB7">
              <w:rPr>
                <w:rFonts w:eastAsia="Arial" w:cs="Arial"/>
                <w:color w:val="033636"/>
                <w:sz w:val="14"/>
                <w:szCs w:val="14"/>
              </w:rPr>
              <w:br/>
              <w:t xml:space="preserve"> (88.7%)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7"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174</w:t>
            </w:r>
            <w:r w:rsidRPr="0057127C">
              <w:rPr>
                <w:rFonts w:eastAsia="Arial" w:cs="Arial"/>
                <w:color w:val="033636"/>
                <w:sz w:val="14"/>
                <w:szCs w:val="14"/>
              </w:rPr>
              <w:br/>
              <w:t xml:space="preserve"> (93.0%)</w:t>
            </w:r>
          </w:p>
        </w:tc>
      </w:tr>
      <w:tr w:rsidR="00A715E6" w14:paraId="16A31A0A"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09"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Received invasive mechanical ventilation</w:t>
            </w:r>
          </w:p>
        </w:tc>
      </w:tr>
      <w:tr w:rsidR="00A715E6" w14:paraId="16A31A13"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C"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466</w:t>
            </w:r>
            <w:r w:rsidRPr="00AC3F71">
              <w:rPr>
                <w:rFonts w:eastAsia="Arial" w:cs="Arial"/>
                <w:color w:val="033636"/>
                <w:sz w:val="14"/>
                <w:szCs w:val="14"/>
              </w:rPr>
              <w:br/>
              <w:t xml:space="preserve"> (33.7%)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D"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65</w:t>
            </w:r>
            <w:r w:rsidRPr="007218D0">
              <w:rPr>
                <w:rFonts w:eastAsia="Arial" w:cs="Arial"/>
                <w:color w:val="033636"/>
                <w:sz w:val="14"/>
                <w:szCs w:val="14"/>
              </w:rPr>
              <w:br/>
              <w:t xml:space="preserve"> (31.7%)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E"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335</w:t>
            </w:r>
            <w:r w:rsidRPr="005818CB">
              <w:rPr>
                <w:rFonts w:eastAsia="Arial" w:cs="Arial"/>
                <w:color w:val="033636"/>
                <w:sz w:val="14"/>
                <w:szCs w:val="14"/>
              </w:rPr>
              <w:br/>
              <w:t xml:space="preserve"> (38.9%)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0F"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98</w:t>
            </w:r>
            <w:r w:rsidRPr="00F42FC3">
              <w:rPr>
                <w:rFonts w:eastAsia="Arial" w:cs="Arial"/>
                <w:color w:val="033636"/>
                <w:sz w:val="14"/>
                <w:szCs w:val="14"/>
              </w:rPr>
              <w:br/>
              <w:t xml:space="preserve"> (36.7%)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0"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320</w:t>
            </w:r>
            <w:r w:rsidRPr="008A637E">
              <w:rPr>
                <w:rFonts w:eastAsia="Arial" w:cs="Arial"/>
                <w:color w:val="033636"/>
                <w:sz w:val="14"/>
                <w:szCs w:val="14"/>
              </w:rPr>
              <w:br/>
              <w:t xml:space="preserve"> (31.0%)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1"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137</w:t>
            </w:r>
            <w:r w:rsidRPr="00641EB7">
              <w:rPr>
                <w:rFonts w:eastAsia="Arial" w:cs="Arial"/>
                <w:color w:val="033636"/>
                <w:sz w:val="14"/>
                <w:szCs w:val="14"/>
              </w:rPr>
              <w:br/>
              <w:t xml:space="preserve"> (25.0%)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2"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72</w:t>
            </w:r>
            <w:r w:rsidRPr="0057127C">
              <w:rPr>
                <w:rFonts w:eastAsia="Arial" w:cs="Arial"/>
                <w:color w:val="033636"/>
                <w:sz w:val="14"/>
                <w:szCs w:val="14"/>
              </w:rPr>
              <w:br/>
              <w:t xml:space="preserve"> (38.5%)</w:t>
            </w:r>
          </w:p>
        </w:tc>
      </w:tr>
      <w:tr w:rsidR="00A715E6" w14:paraId="16A31A15"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14"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Duration of invasive mechanical ventilation (days)</w:t>
            </w:r>
          </w:p>
        </w:tc>
      </w:tr>
      <w:tr w:rsidR="00A715E6" w14:paraId="16A31A1E"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7"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3</w:t>
            </w:r>
            <w:r w:rsidRPr="00AC3F71">
              <w:rPr>
                <w:rFonts w:eastAsia="Arial" w:cs="Arial"/>
                <w:color w:val="033636"/>
                <w:sz w:val="14"/>
                <w:szCs w:val="14"/>
              </w:rPr>
              <w:br/>
              <w:t xml:space="preserve"> [1–8]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8"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4</w:t>
            </w:r>
            <w:r w:rsidRPr="007218D0">
              <w:rPr>
                <w:rFonts w:eastAsia="Arial" w:cs="Arial"/>
                <w:color w:val="033636"/>
                <w:sz w:val="14"/>
                <w:szCs w:val="14"/>
              </w:rPr>
              <w:br/>
              <w:t xml:space="preserve"> [1–8]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9"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5</w:t>
            </w:r>
            <w:r w:rsidRPr="005818CB">
              <w:rPr>
                <w:rFonts w:eastAsia="Arial" w:cs="Arial"/>
                <w:color w:val="033636"/>
                <w:sz w:val="14"/>
                <w:szCs w:val="14"/>
              </w:rPr>
              <w:br/>
              <w:t xml:space="preserve"> [2–10]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A"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4</w:t>
            </w:r>
            <w:r w:rsidRPr="00F42FC3">
              <w:rPr>
                <w:rFonts w:eastAsia="Arial" w:cs="Arial"/>
                <w:color w:val="033636"/>
                <w:sz w:val="14"/>
                <w:szCs w:val="14"/>
              </w:rPr>
              <w:br/>
              <w:t xml:space="preserve"> [1–7]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B"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w:t>
            </w:r>
            <w:r w:rsidRPr="008A637E">
              <w:rPr>
                <w:rFonts w:eastAsia="Arial" w:cs="Arial"/>
                <w:color w:val="033636"/>
                <w:sz w:val="14"/>
                <w:szCs w:val="14"/>
              </w:rPr>
              <w:br/>
              <w:t xml:space="preserve"> [1–7]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C"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w:t>
            </w:r>
            <w:r w:rsidRPr="00641EB7">
              <w:rPr>
                <w:rFonts w:eastAsia="Arial" w:cs="Arial"/>
                <w:color w:val="033636"/>
                <w:sz w:val="14"/>
                <w:szCs w:val="14"/>
              </w:rPr>
              <w:br/>
              <w:t xml:space="preserve"> [2–7]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1D"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[2–8]</w:t>
            </w:r>
          </w:p>
        </w:tc>
      </w:tr>
      <w:tr w:rsidR="00A715E6" w14:paraId="16A31A20"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1F"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Length of intensive care stay (days)</w:t>
            </w:r>
          </w:p>
        </w:tc>
      </w:tr>
      <w:tr w:rsidR="00A715E6" w14:paraId="16A31A29"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2"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3</w:t>
            </w:r>
            <w:r w:rsidRPr="00AC3F71">
              <w:rPr>
                <w:rFonts w:eastAsia="Arial" w:cs="Arial"/>
                <w:color w:val="033636"/>
                <w:sz w:val="14"/>
                <w:szCs w:val="14"/>
              </w:rPr>
              <w:br/>
              <w:t xml:space="preserve"> [2–6]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3"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4</w:t>
            </w:r>
            <w:r w:rsidRPr="007218D0">
              <w:rPr>
                <w:rFonts w:eastAsia="Arial" w:cs="Arial"/>
                <w:color w:val="033636"/>
                <w:sz w:val="14"/>
                <w:szCs w:val="14"/>
              </w:rPr>
              <w:br/>
              <w:t xml:space="preserve"> [2–8]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4"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4</w:t>
            </w:r>
            <w:r w:rsidRPr="005818CB">
              <w:rPr>
                <w:rFonts w:eastAsia="Arial" w:cs="Arial"/>
                <w:color w:val="033636"/>
                <w:sz w:val="14"/>
                <w:szCs w:val="14"/>
              </w:rPr>
              <w:br/>
              <w:t xml:space="preserve"> [2–8]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5"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3</w:t>
            </w:r>
            <w:r w:rsidRPr="00F42FC3">
              <w:rPr>
                <w:rFonts w:eastAsia="Arial" w:cs="Arial"/>
                <w:color w:val="033636"/>
                <w:sz w:val="14"/>
                <w:szCs w:val="14"/>
              </w:rPr>
              <w:br/>
              <w:t xml:space="preserve"> [2–6]</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6"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2</w:t>
            </w:r>
            <w:r w:rsidRPr="008A637E">
              <w:rPr>
                <w:rFonts w:eastAsia="Arial" w:cs="Arial"/>
                <w:color w:val="033636"/>
                <w:sz w:val="14"/>
                <w:szCs w:val="14"/>
              </w:rPr>
              <w:br/>
              <w:t xml:space="preserve"> [1–5]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7"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3</w:t>
            </w:r>
            <w:r w:rsidRPr="00641EB7">
              <w:rPr>
                <w:rFonts w:eastAsia="Arial" w:cs="Arial"/>
                <w:color w:val="033636"/>
                <w:sz w:val="14"/>
                <w:szCs w:val="14"/>
              </w:rPr>
              <w:br/>
              <w:t xml:space="preserve"> [2–5]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8"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[2–6]</w:t>
            </w:r>
          </w:p>
        </w:tc>
      </w:tr>
      <w:tr w:rsidR="00A715E6" w14:paraId="16A31A2B"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2A"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Length of hospital stay (days)</w:t>
            </w:r>
          </w:p>
        </w:tc>
      </w:tr>
      <w:tr w:rsidR="00A715E6" w14:paraId="16A31A34"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D"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9</w:t>
            </w:r>
            <w:r w:rsidRPr="00AC3F71">
              <w:rPr>
                <w:rFonts w:eastAsia="Arial" w:cs="Arial"/>
                <w:color w:val="033636"/>
                <w:sz w:val="14"/>
                <w:szCs w:val="14"/>
              </w:rPr>
              <w:br/>
              <w:t xml:space="preserve"> [5–17]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E"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8</w:t>
            </w:r>
            <w:r w:rsidRPr="007218D0">
              <w:rPr>
                <w:rFonts w:eastAsia="Arial" w:cs="Arial"/>
                <w:color w:val="033636"/>
                <w:sz w:val="14"/>
                <w:szCs w:val="14"/>
              </w:rPr>
              <w:br/>
              <w:t xml:space="preserve"> [4–14]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2F" w14:textId="77777777" w:rsidR="00A715E6" w:rsidRPr="005818CB"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818CB">
              <w:rPr>
                <w:rFonts w:eastAsia="Arial" w:cs="Arial"/>
                <w:color w:val="033636"/>
                <w:sz w:val="14"/>
                <w:szCs w:val="14"/>
              </w:rPr>
              <w:t>8</w:t>
            </w:r>
            <w:r w:rsidRPr="005818CB">
              <w:rPr>
                <w:rFonts w:eastAsia="Arial" w:cs="Arial"/>
                <w:color w:val="033636"/>
                <w:sz w:val="14"/>
                <w:szCs w:val="14"/>
              </w:rPr>
              <w:br/>
              <w:t xml:space="preserve"> [5–15]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0"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7</w:t>
            </w:r>
            <w:r w:rsidRPr="00F42FC3">
              <w:rPr>
                <w:rFonts w:eastAsia="Arial" w:cs="Arial"/>
                <w:color w:val="033636"/>
                <w:sz w:val="14"/>
                <w:szCs w:val="14"/>
              </w:rPr>
              <w:br/>
              <w:t xml:space="preserve"> [4–14]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1"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6</w:t>
            </w:r>
            <w:r w:rsidRPr="008A637E">
              <w:rPr>
                <w:rFonts w:eastAsia="Arial" w:cs="Arial"/>
                <w:color w:val="033636"/>
                <w:sz w:val="14"/>
                <w:szCs w:val="14"/>
              </w:rPr>
              <w:br/>
              <w:t xml:space="preserve"> [3–13]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2"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w:t>
            </w:r>
            <w:r w:rsidRPr="00641EB7">
              <w:rPr>
                <w:rFonts w:eastAsia="Arial" w:cs="Arial"/>
                <w:color w:val="033636"/>
                <w:sz w:val="14"/>
                <w:szCs w:val="14"/>
              </w:rPr>
              <w:br/>
              <w:t xml:space="preserve"> [4–12]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3"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7</w:t>
            </w:r>
            <w:r w:rsidRPr="0057127C">
              <w:rPr>
                <w:rFonts w:eastAsia="Arial" w:cs="Arial"/>
                <w:color w:val="033636"/>
                <w:sz w:val="14"/>
                <w:szCs w:val="14"/>
              </w:rPr>
              <w:br/>
              <w:t xml:space="preserve"> [4–12]</w:t>
            </w:r>
          </w:p>
        </w:tc>
      </w:tr>
      <w:tr w:rsidR="00A715E6" w14:paraId="16A31A36" w14:textId="77777777" w:rsidTr="000E7AC1">
        <w:trPr>
          <w:jc w:val="center"/>
        </w:trPr>
        <w:tc>
          <w:tcPr>
            <w:tcW w:w="9752" w:type="dxa"/>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35"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sidRPr="0057127C">
              <w:rPr>
                <w:rFonts w:eastAsia="Arial" w:cs="Arial"/>
                <w:b/>
                <w:color w:val="033636"/>
                <w:sz w:val="14"/>
                <w:szCs w:val="14"/>
              </w:rPr>
              <w:t>Patient outcome</w:t>
            </w:r>
          </w:p>
        </w:tc>
      </w:tr>
      <w:tr w:rsidR="00A715E6" w14:paraId="16A31A3F"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8"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7</w:t>
            </w:r>
            <w:r w:rsidRPr="00AC3F71">
              <w:rPr>
                <w:rFonts w:eastAsia="Arial" w:cs="Arial"/>
                <w:color w:val="033636"/>
                <w:sz w:val="14"/>
                <w:szCs w:val="14"/>
              </w:rPr>
              <w:br/>
              <w:t xml:space="preserve"> (0.5%)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9"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A"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6</w:t>
            </w:r>
            <w:r w:rsidRPr="00973DFA">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B"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1</w:t>
            </w:r>
            <w:r w:rsidRPr="00F42FC3">
              <w:rPr>
                <w:rFonts w:eastAsia="Arial" w:cs="Arial"/>
                <w:color w:val="033636"/>
                <w:sz w:val="14"/>
                <w:szCs w:val="14"/>
              </w:rPr>
              <w:br/>
              <w:t xml:space="preserve"> (0.4%)</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C"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w:t>
            </w:r>
            <w:r w:rsidRPr="008A637E">
              <w:rPr>
                <w:rFonts w:eastAsia="Arial" w:cs="Arial"/>
                <w:color w:val="033636"/>
                <w:sz w:val="14"/>
                <w:szCs w:val="14"/>
              </w:rPr>
              <w:br/>
              <w:t xml:space="preserve"> (0.1%)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D"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w:t>
            </w:r>
            <w:r w:rsidRPr="00641EB7">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3E"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w:t>
            </w:r>
            <w:r w:rsidRPr="0057127C">
              <w:rPr>
                <w:rFonts w:eastAsia="Arial" w:cs="Arial"/>
                <w:color w:val="033636"/>
                <w:sz w:val="14"/>
                <w:szCs w:val="14"/>
              </w:rPr>
              <w:br/>
              <w:t xml:space="preserve"> (0.5%)</w:t>
            </w:r>
          </w:p>
        </w:tc>
      </w:tr>
      <w:tr w:rsidR="00A715E6" w14:paraId="16A31A48"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1"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10</w:t>
            </w:r>
            <w:r w:rsidRPr="00AC3F71">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2"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3"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8</w:t>
            </w:r>
            <w:r w:rsidRPr="00973DFA">
              <w:rPr>
                <w:rFonts w:eastAsia="Arial" w:cs="Arial"/>
                <w:color w:val="033636"/>
                <w:sz w:val="14"/>
                <w:szCs w:val="14"/>
              </w:rPr>
              <w:br/>
              <w:t xml:space="preserve"> (0.9%)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4"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5"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11</w:t>
            </w:r>
            <w:r w:rsidRPr="008A637E">
              <w:rPr>
                <w:rFonts w:eastAsia="Arial" w:cs="Arial"/>
                <w:color w:val="033636"/>
                <w:sz w:val="14"/>
                <w:szCs w:val="14"/>
              </w:rPr>
              <w:br/>
              <w:t xml:space="preserve"> (1.1%)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6"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1</w:t>
            </w:r>
            <w:r w:rsidRPr="00641EB7">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7"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3</w:t>
            </w:r>
            <w:r w:rsidRPr="0057127C">
              <w:rPr>
                <w:rFonts w:eastAsia="Arial" w:cs="Arial"/>
                <w:color w:val="033636"/>
                <w:sz w:val="14"/>
                <w:szCs w:val="14"/>
              </w:rPr>
              <w:br/>
              <w:t xml:space="preserve"> (1.6%)</w:t>
            </w:r>
          </w:p>
        </w:tc>
      </w:tr>
      <w:tr w:rsidR="00A715E6" w14:paraId="16A31A51"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A"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251</w:t>
            </w:r>
            <w:r w:rsidRPr="00AC3F71">
              <w:rPr>
                <w:rFonts w:eastAsia="Arial" w:cs="Arial"/>
                <w:color w:val="033636"/>
                <w:sz w:val="14"/>
                <w:szCs w:val="14"/>
              </w:rPr>
              <w:br/>
              <w:t xml:space="preserve"> (18.1%)</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B"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23</w:t>
            </w:r>
            <w:r w:rsidRPr="007218D0">
              <w:rPr>
                <w:rFonts w:eastAsia="Arial" w:cs="Arial"/>
                <w:color w:val="033636"/>
                <w:sz w:val="14"/>
                <w:szCs w:val="14"/>
              </w:rPr>
              <w:br/>
              <w:t xml:space="preserve"> (11.2%)</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C"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118</w:t>
            </w:r>
            <w:r w:rsidRPr="00973DFA">
              <w:rPr>
                <w:rFonts w:eastAsia="Arial" w:cs="Arial"/>
                <w:color w:val="033636"/>
                <w:sz w:val="14"/>
                <w:szCs w:val="14"/>
              </w:rPr>
              <w:br/>
              <w:t xml:space="preserve"> (13.7%)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D"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24</w:t>
            </w:r>
            <w:r w:rsidRPr="00F42FC3">
              <w:rPr>
                <w:rFonts w:eastAsia="Arial" w:cs="Arial"/>
                <w:color w:val="033636"/>
                <w:sz w:val="14"/>
                <w:szCs w:val="14"/>
              </w:rPr>
              <w:br/>
              <w:t xml:space="preserve"> (9.0%)</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E"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112</w:t>
            </w:r>
            <w:r w:rsidRPr="008A637E">
              <w:rPr>
                <w:rFonts w:eastAsia="Arial" w:cs="Arial"/>
                <w:color w:val="033636"/>
                <w:sz w:val="14"/>
                <w:szCs w:val="14"/>
              </w:rPr>
              <w:br/>
              <w:t xml:space="preserve"> (10.9%)</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4F"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63</w:t>
            </w:r>
            <w:r w:rsidRPr="00641EB7">
              <w:rPr>
                <w:rFonts w:eastAsia="Arial" w:cs="Arial"/>
                <w:color w:val="033636"/>
                <w:sz w:val="14"/>
                <w:szCs w:val="14"/>
              </w:rPr>
              <w:br/>
              <w:t xml:space="preserve"> (11.5%)</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0"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16</w:t>
            </w:r>
            <w:r w:rsidRPr="0057127C">
              <w:rPr>
                <w:rFonts w:eastAsia="Arial" w:cs="Arial"/>
                <w:color w:val="033636"/>
                <w:sz w:val="14"/>
                <w:szCs w:val="14"/>
              </w:rPr>
              <w:br/>
              <w:t xml:space="preserve"> (8.6%)</w:t>
            </w:r>
          </w:p>
        </w:tc>
      </w:tr>
      <w:tr w:rsidR="00A715E6" w14:paraId="16A31A5A"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3"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894</w:t>
            </w:r>
            <w:r w:rsidRPr="00AC3F71">
              <w:rPr>
                <w:rFonts w:eastAsia="Arial" w:cs="Arial"/>
                <w:color w:val="033636"/>
                <w:sz w:val="14"/>
                <w:szCs w:val="14"/>
              </w:rPr>
              <w:br/>
              <w:t xml:space="preserve"> (64.6%)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4"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161</w:t>
            </w:r>
            <w:r w:rsidRPr="007218D0">
              <w:rPr>
                <w:rFonts w:eastAsia="Arial" w:cs="Arial"/>
                <w:color w:val="033636"/>
                <w:sz w:val="14"/>
                <w:szCs w:val="14"/>
              </w:rPr>
              <w:br/>
              <w:t xml:space="preserve"> (78.5%)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5"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630</w:t>
            </w:r>
            <w:r w:rsidRPr="00973DFA">
              <w:rPr>
                <w:rFonts w:eastAsia="Arial" w:cs="Arial"/>
                <w:color w:val="033636"/>
                <w:sz w:val="14"/>
                <w:szCs w:val="14"/>
              </w:rPr>
              <w:br/>
              <w:t xml:space="preserve"> (73.2%)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6"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216</w:t>
            </w:r>
            <w:r w:rsidRPr="00F42FC3">
              <w:rPr>
                <w:rFonts w:eastAsia="Arial" w:cs="Arial"/>
                <w:color w:val="033636"/>
                <w:sz w:val="14"/>
                <w:szCs w:val="14"/>
              </w:rPr>
              <w:br/>
              <w:t xml:space="preserve"> (80.9%)</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7"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852</w:t>
            </w:r>
            <w:r w:rsidRPr="008A637E">
              <w:rPr>
                <w:rFonts w:eastAsia="Arial" w:cs="Arial"/>
                <w:color w:val="033636"/>
                <w:sz w:val="14"/>
                <w:szCs w:val="14"/>
              </w:rPr>
              <w:br/>
              <w:t xml:space="preserve"> (82.6%)</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8"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450</w:t>
            </w:r>
            <w:r w:rsidRPr="00641EB7">
              <w:rPr>
                <w:rFonts w:eastAsia="Arial" w:cs="Arial"/>
                <w:color w:val="033636"/>
                <w:sz w:val="14"/>
                <w:szCs w:val="14"/>
              </w:rPr>
              <w:br/>
              <w:t xml:space="preserve"> (82.0%)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9"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156</w:t>
            </w:r>
            <w:r w:rsidRPr="0057127C">
              <w:rPr>
                <w:rFonts w:eastAsia="Arial" w:cs="Arial"/>
                <w:color w:val="033636"/>
                <w:sz w:val="14"/>
                <w:szCs w:val="14"/>
              </w:rPr>
              <w:br/>
              <w:t xml:space="preserve"> (83.4%)</w:t>
            </w:r>
          </w:p>
        </w:tc>
      </w:tr>
      <w:tr w:rsidR="008C449E" w14:paraId="16A31A63"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B" w14:textId="21B4189E" w:rsidR="008C449E"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C" w14:textId="3A4A768D" w:rsidR="008C449E" w:rsidRPr="00AC3F71"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212</w:t>
            </w:r>
            <w:r>
              <w:rPr>
                <w:rFonts w:eastAsia="Arial" w:cs="Arial"/>
                <w:color w:val="033636"/>
                <w:sz w:val="14"/>
                <w:szCs w:val="14"/>
              </w:rPr>
              <w:br/>
              <w:t xml:space="preserve"> (15.3%)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D" w14:textId="4738A3C3" w:rsidR="008C449E" w:rsidRPr="007218D0"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(8.8%)</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E" w14:textId="12C7946B" w:rsidR="008C449E" w:rsidRPr="00973DFA"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97</w:t>
            </w:r>
            <w:r w:rsidRPr="00973DFA">
              <w:rPr>
                <w:rFonts w:eastAsia="Arial" w:cs="Arial"/>
                <w:color w:val="033636"/>
                <w:sz w:val="14"/>
                <w:szCs w:val="14"/>
              </w:rPr>
              <w:br/>
              <w:t xml:space="preserve"> (11.3%)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5F" w14:textId="3C4F9DA9" w:rsidR="008C449E" w:rsidRPr="00F42FC3"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(9.7%)</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0" w14:textId="6392558F" w:rsidR="008C449E" w:rsidRPr="008A637E"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(5.0%)</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1" w14:textId="30780BEA" w:rsidR="008C449E" w:rsidRPr="00641EB7"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(5.8%)</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2" w14:textId="7C3AF54B" w:rsidR="008C449E" w:rsidRPr="0057127C" w:rsidRDefault="008C449E" w:rsidP="008C449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(4.8%)</w:t>
            </w:r>
          </w:p>
        </w:tc>
      </w:tr>
      <w:tr w:rsidR="00A715E6" w14:paraId="16A31A75" w14:textId="77777777" w:rsidTr="000E7AC1">
        <w:trPr>
          <w:jc w:val="center"/>
        </w:trPr>
        <w:tc>
          <w:tcPr>
            <w:tcW w:w="255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Missing‡</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E" w14:textId="77777777" w:rsidR="00A715E6" w:rsidRPr="00AC3F71"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AC3F71">
              <w:rPr>
                <w:rFonts w:eastAsia="Arial" w:cs="Arial"/>
                <w:color w:val="033636"/>
                <w:sz w:val="14"/>
                <w:szCs w:val="14"/>
              </w:rPr>
              <w:t>10</w:t>
            </w:r>
            <w:r w:rsidRPr="00AC3F71">
              <w:rPr>
                <w:rFonts w:eastAsia="Arial" w:cs="Arial"/>
                <w:color w:val="033636"/>
                <w:sz w:val="14"/>
                <w:szCs w:val="14"/>
              </w:rPr>
              <w:br/>
              <w:t xml:space="preserve"> (0.7%)</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6F" w14:textId="77777777" w:rsidR="00A715E6" w:rsidRPr="007218D0"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7218D0">
              <w:rPr>
                <w:rFonts w:eastAsia="Arial" w:cs="Arial"/>
                <w:color w:val="033636"/>
                <w:sz w:val="14"/>
                <w:szCs w:val="14"/>
              </w:rPr>
              <w:t>1</w:t>
            </w:r>
            <w:r w:rsidRPr="007218D0">
              <w:rPr>
                <w:rFonts w:eastAsia="Arial" w:cs="Arial"/>
                <w:color w:val="033636"/>
                <w:sz w:val="14"/>
                <w:szCs w:val="14"/>
              </w:rPr>
              <w:br/>
              <w:t xml:space="preserve"> (0.5%)</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0" w14:textId="77777777" w:rsidR="00A715E6" w:rsidRPr="00973DFA"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973DFA">
              <w:rPr>
                <w:rFonts w:eastAsia="Arial" w:cs="Arial"/>
                <w:color w:val="033636"/>
                <w:sz w:val="14"/>
                <w:szCs w:val="14"/>
              </w:rPr>
              <w:t>2</w:t>
            </w:r>
            <w:r w:rsidRPr="00973DFA">
              <w:rPr>
                <w:rFonts w:eastAsia="Arial" w:cs="Arial"/>
                <w:color w:val="033636"/>
                <w:sz w:val="14"/>
                <w:szCs w:val="14"/>
              </w:rPr>
              <w:br/>
              <w:t xml:space="preserve"> (0.2%)</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1" w14:textId="77777777" w:rsidR="00A715E6" w:rsidRPr="00F42FC3"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F42FC3">
              <w:rPr>
                <w:rFonts w:eastAsia="Arial" w:cs="Arial"/>
                <w:color w:val="033636"/>
                <w:sz w:val="14"/>
                <w:szCs w:val="14"/>
              </w:rPr>
              <w:t>–</w:t>
            </w:r>
          </w:p>
        </w:tc>
        <w:tc>
          <w:tcPr>
            <w:tcW w:w="102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2" w14:textId="77777777" w:rsidR="00A715E6" w:rsidRPr="008A637E"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8A637E">
              <w:rPr>
                <w:rFonts w:eastAsia="Arial" w:cs="Arial"/>
                <w:color w:val="033636"/>
                <w:sz w:val="14"/>
                <w:szCs w:val="14"/>
              </w:rPr>
              <w:t>3</w:t>
            </w:r>
            <w:r w:rsidRPr="008A637E">
              <w:rPr>
                <w:rFonts w:eastAsia="Arial" w:cs="Arial"/>
                <w:color w:val="033636"/>
                <w:sz w:val="14"/>
                <w:szCs w:val="14"/>
              </w:rPr>
              <w:br/>
              <w:t xml:space="preserve"> (0.3%)</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3" w14:textId="77777777" w:rsidR="00A715E6" w:rsidRPr="00641EB7"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641EB7">
              <w:rPr>
                <w:rFonts w:eastAsia="Arial" w:cs="Arial"/>
                <w:color w:val="033636"/>
                <w:sz w:val="14"/>
                <w:szCs w:val="14"/>
              </w:rPr>
              <w:t>2</w:t>
            </w:r>
            <w:r w:rsidRPr="00641EB7">
              <w:rPr>
                <w:rFonts w:eastAsia="Arial" w:cs="Arial"/>
                <w:color w:val="033636"/>
                <w:sz w:val="14"/>
                <w:szCs w:val="14"/>
              </w:rPr>
              <w:br/>
              <w:t xml:space="preserve"> (0.4%)</w:t>
            </w:r>
          </w:p>
        </w:tc>
        <w:tc>
          <w:tcPr>
            <w:tcW w:w="1029"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74" w14:textId="77777777" w:rsidR="00A715E6" w:rsidRPr="0057127C"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sidRPr="0057127C">
              <w:rPr>
                <w:rFonts w:eastAsia="Arial" w:cs="Arial"/>
                <w:color w:val="033636"/>
                <w:sz w:val="14"/>
                <w:szCs w:val="14"/>
              </w:rPr>
              <w:t>2</w:t>
            </w:r>
            <w:r w:rsidRPr="0057127C">
              <w:rPr>
                <w:rFonts w:eastAsia="Arial" w:cs="Arial"/>
                <w:color w:val="033636"/>
                <w:sz w:val="14"/>
                <w:szCs w:val="14"/>
              </w:rPr>
              <w:br/>
              <w:t xml:space="preserve"> (1.1%)</w:t>
            </w:r>
          </w:p>
        </w:tc>
      </w:tr>
    </w:tbl>
    <w:p w14:paraId="16A31A76" w14:textId="23DE35AD" w:rsidR="00F462F5" w:rsidRDefault="0019761A" w:rsidP="000E02DC">
      <w:pPr>
        <w:pStyle w:val="Smalltext"/>
      </w:pPr>
      <w:r>
        <w:t xml:space="preserve">Source: </w:t>
      </w:r>
      <w:proofErr w:type="gramStart"/>
      <w:r>
        <w:t>Short Period Incidence Study of Severe Acute Respiratory Infection (SPRINT-SARI) Australia</w:t>
      </w:r>
      <w:r w:rsidR="008456D3" w:rsidRPr="00C23A60">
        <w:rPr>
          <w:szCs w:val="18"/>
        </w:rPr>
        <w:t>,</w:t>
      </w:r>
      <w:proofErr w:type="gramEnd"/>
      <w:r w:rsidR="008456D3" w:rsidRPr="00C23A60">
        <w:rPr>
          <w:szCs w:val="18"/>
        </w:rPr>
        <w:t xml:space="preserve"> extracted </w:t>
      </w:r>
      <w:r w:rsidR="008456D3">
        <w:rPr>
          <w:szCs w:val="18"/>
        </w:rPr>
        <w:t>26 February</w:t>
      </w:r>
      <w:r w:rsidR="008456D3" w:rsidRPr="00C23A60">
        <w:rPr>
          <w:szCs w:val="18"/>
        </w:rPr>
        <w:t xml:space="preserve"> 2025</w:t>
      </w:r>
      <w:r w:rsidR="00CE256D">
        <w:rPr>
          <w:szCs w:val="18"/>
        </w:rPr>
        <w:t>.</w:t>
      </w:r>
      <w:r>
        <w:br/>
        <w:t xml:space="preserve">Note: </w:t>
      </w:r>
      <w:r w:rsidR="006A37C1" w:rsidRPr="006A37C1">
        <w:t>225</w:t>
      </w:r>
      <w:r>
        <w:t xml:space="preserve"> patients had co-infections of respiratory pathogens; therefore, the sum of pathogen-specific totals above may not equal the total number of severe acute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xml:space="preserve">† Death may not necessarily represent a death due to the </w:t>
      </w:r>
      <w:r w:rsidR="005B25C9">
        <w:t>infection</w:t>
      </w:r>
      <w:r>
        <w:t>.</w:t>
      </w:r>
      <w:r>
        <w:br/>
        <w:t>‡ Patients who have no outcome entered or have been admitted for more than 90 days with no discharge information have been treated as missing.</w:t>
      </w:r>
    </w:p>
    <w:p w14:paraId="5650512E" w14:textId="77777777" w:rsidR="00F462F5" w:rsidRDefault="00F462F5">
      <w:pPr>
        <w:spacing w:before="0" w:after="0" w:line="240" w:lineRule="auto"/>
        <w:rPr>
          <w:sz w:val="14"/>
        </w:rPr>
      </w:pPr>
      <w:r>
        <w:br w:type="page"/>
      </w:r>
    </w:p>
    <w:p w14:paraId="23E9C54E" w14:textId="6B5D7882" w:rsidR="001130DB" w:rsidRDefault="0019761A" w:rsidP="00FA41F9">
      <w:r>
        <w:lastRenderedPageBreak/>
        <w:t xml:space="preserve">In 2024, there </w:t>
      </w:r>
      <w:r w:rsidR="00C37B44">
        <w:t>were</w:t>
      </w:r>
      <w:r>
        <w:t xml:space="preserve"> fewer COVID-19 cases in intensive care across Australia than in </w:t>
      </w:r>
      <w:r w:rsidR="000812A1">
        <w:t>202</w:t>
      </w:r>
      <w:r w:rsidR="00CF194C">
        <w:t>2 or 2023</w:t>
      </w:r>
      <w:r>
        <w:t>.</w:t>
      </w:r>
      <w:r w:rsidR="001130DB">
        <w:t xml:space="preserve"> </w:t>
      </w:r>
      <w:r w:rsidR="00F85382">
        <w:t>The number of ventilated cases has consistently remained low and stable compared with non-ventilated cases over time (</w:t>
      </w:r>
      <w:r w:rsidR="004A5F5E">
        <w:t>Figure 16</w:t>
      </w:r>
      <w:r w:rsidR="00F85382">
        <w:t xml:space="preserve">). </w:t>
      </w:r>
      <w:r w:rsidR="001130DB">
        <w:t>Several factors likely contributed to the overall decrease in the number of COVID-19 cases in intensive care over time, including:</w:t>
      </w:r>
    </w:p>
    <w:p w14:paraId="4A81C92B" w14:textId="4D381F8F" w:rsidR="00450E8F" w:rsidRDefault="00D97DBE" w:rsidP="001D2466">
      <w:pPr>
        <w:pStyle w:val="ListBullet"/>
      </w:pPr>
      <w:r>
        <w:t xml:space="preserve">increased </w:t>
      </w:r>
      <w:r w:rsidR="00615BC7" w:rsidRPr="00615BC7">
        <w:t>immunity from vaccination</w:t>
      </w:r>
      <w:r w:rsidR="00C3766A">
        <w:t xml:space="preserve"> and </w:t>
      </w:r>
      <w:r w:rsidR="001D5661">
        <w:t>previous infections</w:t>
      </w:r>
      <w:r w:rsidR="00165548">
        <w:t xml:space="preserve"> </w:t>
      </w:r>
      <w:r w:rsidR="00FF0109">
        <w:t>contributing</w:t>
      </w:r>
      <w:r w:rsidR="00165548">
        <w:t xml:space="preserve"> to reduced severity of infection</w:t>
      </w:r>
    </w:p>
    <w:p w14:paraId="594B97FA" w14:textId="5329706A" w:rsidR="001130DB" w:rsidRPr="00F54F79" w:rsidRDefault="007442AA" w:rsidP="001D2466">
      <w:pPr>
        <w:pStyle w:val="ListBullet"/>
      </w:pPr>
      <w:r>
        <w:t xml:space="preserve">early access to antivirals and other interventions </w:t>
      </w:r>
      <w:r w:rsidR="00FF0109">
        <w:t>preventing</w:t>
      </w:r>
      <w:r>
        <w:t xml:space="preserve"> many cases from becoming severe</w:t>
      </w:r>
      <w:r w:rsidR="001130DB" w:rsidRPr="00FD5E21">
        <w:t xml:space="preserve"> </w:t>
      </w:r>
      <w:r w:rsidR="001130DB">
        <w:t xml:space="preserve"> </w:t>
      </w:r>
    </w:p>
    <w:p w14:paraId="7E6EE97C" w14:textId="10938D87" w:rsidR="00450E8F" w:rsidRDefault="00C92E98" w:rsidP="001D2466">
      <w:pPr>
        <w:pStyle w:val="ListBullet"/>
      </w:pPr>
      <w:r>
        <w:t xml:space="preserve">decreased </w:t>
      </w:r>
      <w:r w:rsidR="00450E8F">
        <w:t>intrinsic</w:t>
      </w:r>
      <w:r>
        <w:t xml:space="preserve"> severity of circulating variants</w:t>
      </w:r>
    </w:p>
    <w:p w14:paraId="4412474F" w14:textId="3E9109D6" w:rsidR="001130DB" w:rsidRPr="0008548A" w:rsidRDefault="00450E8F" w:rsidP="001D2466">
      <w:pPr>
        <w:pStyle w:val="ListBullet"/>
      </w:pPr>
      <w:r>
        <w:t>decreased number of overall COVID-19 cases</w:t>
      </w:r>
      <w:r w:rsidR="001130DB" w:rsidRPr="0008548A">
        <w:t>.</w:t>
      </w:r>
    </w:p>
    <w:p w14:paraId="306CFCC0" w14:textId="1AE9AA04" w:rsidR="00AC70D0" w:rsidRPr="001D2466" w:rsidRDefault="0019761A" w:rsidP="001D2466">
      <w:r>
        <w:t xml:space="preserve">In 2024, </w:t>
      </w:r>
      <w:r w:rsidR="001A2057">
        <w:t>there</w:t>
      </w:r>
      <w:r>
        <w:t xml:space="preserve"> </w:t>
      </w:r>
      <w:r w:rsidR="00C37B44">
        <w:t>were</w:t>
      </w:r>
      <w:r>
        <w:t xml:space="preserve"> more intensive care staff unavailable to work due to COVID-19 exposure or illness across Australia than in </w:t>
      </w:r>
      <w:r w:rsidR="00C37B44">
        <w:t>2023, but</w:t>
      </w:r>
      <w:r w:rsidR="00AC70D0">
        <w:t xml:space="preserve"> less staff unavailable than in 2022</w:t>
      </w:r>
      <w:r>
        <w:t xml:space="preserve"> (</w:t>
      </w:r>
      <w:r w:rsidR="004A5F5E">
        <w:t>Figure 16</w:t>
      </w:r>
      <w:r>
        <w:t>).</w:t>
      </w:r>
    </w:p>
    <w:p w14:paraId="16A31A79" w14:textId="5E565974" w:rsidR="00A715E6" w:rsidRDefault="004A5F5E" w:rsidP="001D2466">
      <w:pPr>
        <w:pStyle w:val="Caption"/>
      </w:pPr>
      <w:r>
        <w:t>Figure 16</w:t>
      </w:r>
      <w:r w:rsidR="0019761A">
        <w:t xml:space="preserve">: </w:t>
      </w:r>
      <w:r w:rsidR="000812A1">
        <w:t>Average</w:t>
      </w:r>
      <w:r w:rsidR="0019761A">
        <w:t xml:space="preserve"> number of COVID-19 cases in intensive care and the </w:t>
      </w:r>
      <w:r w:rsidR="000812A1">
        <w:t>average</w:t>
      </w:r>
      <w:r w:rsidR="0019761A">
        <w:t xml:space="preserve"> number of intensive care staff unavailable to work due to COVID-19 exposure or illness by week of report*</w:t>
      </w:r>
      <w:r w:rsidR="0019761A">
        <w:rPr>
          <w:vertAlign w:val="superscript"/>
        </w:rPr>
        <w:t>†</w:t>
      </w:r>
      <w:r w:rsidR="0019761A">
        <w:t xml:space="preserve">, Australia, </w:t>
      </w:r>
      <w:r w:rsidR="006020C0">
        <w:t>January 2022 to December 2024</w:t>
      </w:r>
      <w:r w:rsidR="00F512C5">
        <w:rPr>
          <w:noProof/>
        </w:rPr>
        <w:drawing>
          <wp:inline distT="0" distB="0" distL="0" distR="0" wp14:anchorId="34D86C12" wp14:editId="203050C0">
            <wp:extent cx="6184900" cy="4417785"/>
            <wp:effectExtent l="0" t="0" r="0" b="0"/>
            <wp:docPr id="79" name="Picture"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wp:cNvGraphicFramePr/>
            <a:graphic xmlns:a="http://schemas.openxmlformats.org/drawingml/2006/main">
              <a:graphicData uri="http://schemas.openxmlformats.org/drawingml/2006/picture">
                <pic:pic xmlns:pic="http://schemas.openxmlformats.org/drawingml/2006/picture">
                  <pic:nvPicPr>
                    <pic:cNvPr id="79" name="Picture"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6A31A7A" w14:textId="05716014" w:rsidR="00A715E6" w:rsidRDefault="0019761A" w:rsidP="000E02DC">
      <w:pPr>
        <w:pStyle w:val="Smalltext"/>
      </w:pPr>
      <w:r>
        <w:t xml:space="preserve">Source: </w:t>
      </w:r>
      <w:proofErr w:type="gramStart"/>
      <w:r>
        <w:t>Critical Health Resource Information System (CHRIS)</w:t>
      </w:r>
      <w:r w:rsidR="0073399B" w:rsidRPr="00C23A60">
        <w:rPr>
          <w:szCs w:val="18"/>
        </w:rPr>
        <w:t>,</w:t>
      </w:r>
      <w:proofErr w:type="gramEnd"/>
      <w:r w:rsidR="0073399B" w:rsidRPr="00C23A60">
        <w:rPr>
          <w:szCs w:val="18"/>
        </w:rPr>
        <w:t xml:space="preserve"> extracted 5 March 2025</w:t>
      </w:r>
      <w:r w:rsidR="00CE256D">
        <w:rPr>
          <w:szCs w:val="18"/>
        </w:rPr>
        <w:t>.</w:t>
      </w:r>
      <w:r>
        <w:br/>
      </w:r>
      <w:r w:rsidR="00084A7A">
        <w:t>* Axis varies between years.</w:t>
      </w:r>
      <w:r w:rsidR="00084A7A">
        <w:br/>
        <w:t>† Average number of ventilated and non-ventilated COVID-19 cases in intensive care includes only active COVID-19 cases (those in isolation) and does not include cleared COVID-19 cases.</w:t>
      </w:r>
      <w:r w:rsidR="00084A7A">
        <w:br/>
        <w:t>‡ Intensive care staff include both medical and nursing staff.</w:t>
      </w:r>
      <w:r w:rsidR="00084A7A" w:rsidRPr="00F517BE">
        <w:t xml:space="preserve"> </w:t>
      </w:r>
      <w:r w:rsidR="00084A7A">
        <w:t xml:space="preserve">Staff unavailability will be underestimated in </w:t>
      </w:r>
      <w:r w:rsidR="005B1319">
        <w:t>NSW</w:t>
      </w:r>
      <w:r w:rsidR="00084A7A">
        <w:t xml:space="preserve"> as most public hospitals in </w:t>
      </w:r>
      <w:r w:rsidR="005B1319">
        <w:t>NSW</w:t>
      </w:r>
      <w:r w:rsidR="00084A7A">
        <w:t xml:space="preserve"> do not report staff unavailability.</w:t>
      </w:r>
    </w:p>
    <w:p w14:paraId="16A31A7C" w14:textId="0A50C56D" w:rsidR="00A715E6" w:rsidRDefault="0019761A" w:rsidP="00057146">
      <w:r>
        <w:t>In 2024</w:t>
      </w:r>
      <w:r w:rsidR="006A0996">
        <w:t>,</w:t>
      </w:r>
      <w:r>
        <w:t xml:space="preserve"> </w:t>
      </w:r>
      <w:r w:rsidR="00705732">
        <w:t xml:space="preserve">there were a greater number of </w:t>
      </w:r>
      <w:r>
        <w:t>COVID-19 cases in intensive care</w:t>
      </w:r>
      <w:r w:rsidR="00705732">
        <w:t xml:space="preserve"> across January to June</w:t>
      </w:r>
      <w:r w:rsidR="003A1FE9">
        <w:t xml:space="preserve">, compared with the latter half of the year </w:t>
      </w:r>
      <w:r w:rsidR="00E95BEF">
        <w:t>across all jurisdictions</w:t>
      </w:r>
      <w:r>
        <w:t>.</w:t>
      </w:r>
      <w:r w:rsidR="00942D2D">
        <w:t xml:space="preserve"> The </w:t>
      </w:r>
      <w:r w:rsidR="001712EC">
        <w:t xml:space="preserve">number of COVID-19 cases in intensive care peaked in March in </w:t>
      </w:r>
      <w:r w:rsidR="00145428">
        <w:t xml:space="preserve">the </w:t>
      </w:r>
      <w:r w:rsidR="005B1319">
        <w:t>NT</w:t>
      </w:r>
      <w:r w:rsidR="00942D2D">
        <w:t xml:space="preserve"> and </w:t>
      </w:r>
      <w:r w:rsidR="005B1319">
        <w:t>Vic.</w:t>
      </w:r>
      <w:r w:rsidR="00443E09">
        <w:t xml:space="preserve">, whereas other jurisdictions </w:t>
      </w:r>
      <w:r w:rsidR="00942D2D">
        <w:t xml:space="preserve">experienced a peak </w:t>
      </w:r>
      <w:r w:rsidR="00572ADF">
        <w:t>in June or July (</w:t>
      </w:r>
      <w:r w:rsidR="004A5F5E">
        <w:t>Figure 17</w:t>
      </w:r>
      <w:r w:rsidR="00572ADF">
        <w:t xml:space="preserve">). </w:t>
      </w:r>
      <w:r>
        <w:t>In 2024</w:t>
      </w:r>
      <w:r w:rsidR="00053915">
        <w:t>,</w:t>
      </w:r>
      <w:r>
        <w:t xml:space="preserve"> the number of intensive care staff unavailable to work </w:t>
      </w:r>
      <w:r w:rsidR="0060155C">
        <w:t xml:space="preserve">fluctuated across most </w:t>
      </w:r>
      <w:r w:rsidR="00E8648B">
        <w:t>jurisdictions</w:t>
      </w:r>
      <w:r w:rsidR="00B6476B">
        <w:t xml:space="preserve">, with only </w:t>
      </w:r>
      <w:r w:rsidR="005B1319">
        <w:t>SA</w:t>
      </w:r>
      <w:r w:rsidR="00B6476B">
        <w:t xml:space="preserve"> and </w:t>
      </w:r>
      <w:r w:rsidR="005B1319">
        <w:t>Tas.</w:t>
      </w:r>
      <w:r w:rsidR="00B6476B">
        <w:t xml:space="preserve"> experiencing a clear peak in </w:t>
      </w:r>
      <w:r w:rsidR="004D04A9">
        <w:t>staff unavailable</w:t>
      </w:r>
      <w:r>
        <w:t xml:space="preserve"> (</w:t>
      </w:r>
      <w:r w:rsidR="004A5F5E">
        <w:t>Figure 17</w:t>
      </w:r>
      <w:r>
        <w:t>).</w:t>
      </w:r>
    </w:p>
    <w:p w14:paraId="16A31A7E" w14:textId="22B31764" w:rsidR="00A715E6" w:rsidRDefault="004A5F5E" w:rsidP="001D2466">
      <w:pPr>
        <w:pStyle w:val="Caption"/>
      </w:pPr>
      <w:r>
        <w:lastRenderedPageBreak/>
        <w:t>Figure 17</w:t>
      </w:r>
      <w:r w:rsidR="0019761A">
        <w:t xml:space="preserve">: </w:t>
      </w:r>
      <w:r w:rsidR="006A0996">
        <w:t>Average</w:t>
      </w:r>
      <w:r w:rsidR="0019761A">
        <w:t xml:space="preserve"> number of COVID-19 cases in intensive care and the </w:t>
      </w:r>
      <w:r w:rsidR="006A0996">
        <w:t>average</w:t>
      </w:r>
      <w:r w:rsidR="0019761A">
        <w:t xml:space="preserve"> number of intensive care staff unavailable to work due to COVID-19 exposure or illness by jurisdiction and week of report*</w:t>
      </w:r>
      <w:r w:rsidR="0019761A">
        <w:rPr>
          <w:vertAlign w:val="superscript"/>
        </w:rPr>
        <w:t>†‡</w:t>
      </w:r>
      <w:r w:rsidR="0019761A">
        <w:t>, Australia, January to December 2024</w:t>
      </w:r>
    </w:p>
    <w:p w14:paraId="16A31A81" w14:textId="796AF16D" w:rsidR="00A715E6" w:rsidRDefault="00DB566F" w:rsidP="000E02DC">
      <w:pPr>
        <w:pStyle w:val="Smalltext"/>
      </w:pPr>
      <w:r>
        <w:rPr>
          <w:noProof/>
        </w:rPr>
        <w:drawing>
          <wp:inline distT="0" distB="0" distL="0" distR="0" wp14:anchorId="376A9C72" wp14:editId="56E4ACE4">
            <wp:extent cx="6184900" cy="7952014"/>
            <wp:effectExtent l="0" t="0" r="0" b="0"/>
            <wp:docPr id="82" name="Picture"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wp:cNvGraphicFramePr/>
            <a:graphic xmlns:a="http://schemas.openxmlformats.org/drawingml/2006/main">
              <a:graphicData uri="http://schemas.openxmlformats.org/drawingml/2006/picture">
                <pic:pic xmlns:pic="http://schemas.openxmlformats.org/drawingml/2006/picture">
                  <pic:nvPicPr>
                    <pic:cNvPr id="82" name="Picture"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7952014"/>
                    </a:xfrm>
                    <a:prstGeom prst="rect">
                      <a:avLst/>
                    </a:prstGeom>
                    <a:noFill/>
                    <a:ln w="9525">
                      <a:noFill/>
                      <a:headEnd/>
                      <a:tailEnd/>
                    </a:ln>
                  </pic:spPr>
                </pic:pic>
              </a:graphicData>
            </a:graphic>
          </wp:inline>
        </w:drawing>
      </w:r>
      <w:r w:rsidR="0019761A">
        <w:t xml:space="preserve">Source: </w:t>
      </w:r>
      <w:proofErr w:type="gramStart"/>
      <w:r w:rsidR="0019761A">
        <w:t>Critical Health Resource Information System (CHRIS)</w:t>
      </w:r>
      <w:r w:rsidR="0073399B" w:rsidRPr="00C23A60">
        <w:rPr>
          <w:szCs w:val="18"/>
        </w:rPr>
        <w:t>,</w:t>
      </w:r>
      <w:proofErr w:type="gramEnd"/>
      <w:r w:rsidR="0073399B" w:rsidRPr="00C23A60">
        <w:rPr>
          <w:szCs w:val="18"/>
        </w:rPr>
        <w:t xml:space="preserve"> extracted 5 March 2025</w:t>
      </w:r>
      <w:r w:rsidR="00CE256D">
        <w:rPr>
          <w:szCs w:val="18"/>
        </w:rPr>
        <w:t>.</w:t>
      </w:r>
      <w:r w:rsidR="0019761A">
        <w:br/>
        <w:t>* Axis varies between jurisdictions.</w:t>
      </w:r>
      <w:r w:rsidR="0019761A">
        <w:br/>
        <w:t xml:space="preserve">† </w:t>
      </w:r>
      <w:bookmarkStart w:id="26" w:name="_Hlk193790614"/>
      <w:r w:rsidR="006A0996">
        <w:t>Average</w:t>
      </w:r>
      <w:r w:rsidR="0019761A">
        <w:t xml:space="preserve"> number of ventilated and non-ventilated COVID-19 cases in intensive care includes only active COVID-19 cases (those in isolation) and does not include cleared COVID-19 cases.</w:t>
      </w:r>
      <w:r w:rsidR="0019761A">
        <w:br/>
        <w:t>‡ Intensive care staff include both medical and nursing staff.</w:t>
      </w:r>
      <w:r w:rsidR="00F517BE" w:rsidRPr="00F517BE">
        <w:t xml:space="preserve"> </w:t>
      </w:r>
      <w:r w:rsidR="00F517BE">
        <w:t xml:space="preserve">Staff unavailability will be underestimated in </w:t>
      </w:r>
      <w:r w:rsidR="005B1319">
        <w:t>NSW</w:t>
      </w:r>
      <w:r w:rsidR="00F517BE">
        <w:t xml:space="preserve"> as most public hospitals in </w:t>
      </w:r>
      <w:r w:rsidR="005B1319">
        <w:t>NSW</w:t>
      </w:r>
      <w:r w:rsidR="00F517BE">
        <w:t xml:space="preserve"> do not report staff unavailability.</w:t>
      </w:r>
      <w:bookmarkEnd w:id="26"/>
      <w:r w:rsidR="00F517BE">
        <w:t xml:space="preserve"> </w:t>
      </w:r>
      <w:r w:rsidR="0019761A">
        <w:br w:type="page"/>
      </w:r>
    </w:p>
    <w:p w14:paraId="16A31A82" w14:textId="77777777" w:rsidR="00A715E6" w:rsidRDefault="0019761A">
      <w:pPr>
        <w:pStyle w:val="Heading1"/>
      </w:pPr>
      <w:bookmarkStart w:id="27" w:name="_Toc194074622"/>
      <w:bookmarkStart w:id="28" w:name="mortality-surveillance"/>
      <w:bookmarkEnd w:id="24"/>
      <w:r>
        <w:lastRenderedPageBreak/>
        <w:t>Mortality surveillance</w:t>
      </w:r>
      <w:bookmarkEnd w:id="27"/>
    </w:p>
    <w:p w14:paraId="3D6C4DF6" w14:textId="0B57B332" w:rsidR="00AC74AF" w:rsidRDefault="0019761A">
      <w:r>
        <w:t>Death registrations reported to the Australian Bureau of Statistics can provide information on the scale and severity of disease associated with acute respiratory infections.</w:t>
      </w:r>
      <w:r w:rsidR="004F1840">
        <w:t xml:space="preserve"> Deaths involving acute respiratory infections are</w:t>
      </w:r>
      <w:r w:rsidR="004F1840" w:rsidRPr="004F1840">
        <w:t xml:space="preserve"> where the</w:t>
      </w:r>
      <w:r w:rsidR="004F5C45">
        <w:t xml:space="preserve"> death is directly </w:t>
      </w:r>
      <w:r w:rsidR="004F5C45" w:rsidRPr="00CD0A1F">
        <w:rPr>
          <w:i/>
          <w:iCs/>
        </w:rPr>
        <w:t>due</w:t>
      </w:r>
      <w:r w:rsidR="004F5C45">
        <w:t xml:space="preserve"> to the</w:t>
      </w:r>
      <w:r w:rsidR="004F1840" w:rsidRPr="004F1840">
        <w:t xml:space="preserve"> </w:t>
      </w:r>
      <w:r w:rsidR="004F5C45">
        <w:t>infection</w:t>
      </w:r>
      <w:r w:rsidR="004F1840" w:rsidRPr="004F1840">
        <w:t xml:space="preserve"> (the virus has caused terminal complications such as pneumonia) or the person has died </w:t>
      </w:r>
      <w:r w:rsidR="004F1840" w:rsidRPr="00CD0A1F">
        <w:rPr>
          <w:i/>
          <w:iCs/>
        </w:rPr>
        <w:t>with</w:t>
      </w:r>
      <w:r w:rsidR="004F1840" w:rsidRPr="004F1840">
        <w:t xml:space="preserve"> the </w:t>
      </w:r>
      <w:r w:rsidR="004F5C45">
        <w:t>infection</w:t>
      </w:r>
      <w:r w:rsidR="004F1840" w:rsidRPr="004F1840">
        <w:t xml:space="preserve"> (a person has died from another </w:t>
      </w:r>
      <w:r w:rsidR="00BB1E30" w:rsidRPr="004F1840">
        <w:t>cause,</w:t>
      </w:r>
      <w:r w:rsidR="004F1840" w:rsidRPr="004F1840">
        <w:t xml:space="preserve"> but the </w:t>
      </w:r>
      <w:r w:rsidR="004F5C45">
        <w:t>infection</w:t>
      </w:r>
      <w:r w:rsidR="004F1840" w:rsidRPr="004F1840">
        <w:t xml:space="preserve"> still contributed significantly to death).</w:t>
      </w:r>
      <w:r w:rsidR="00AC74AF">
        <w:t xml:space="preserve"> </w:t>
      </w:r>
      <w:r w:rsidR="00CD0A1F" w:rsidRPr="00CD0A1F">
        <w:t xml:space="preserve">People are more likely to die </w:t>
      </w:r>
      <w:r w:rsidR="00CD0A1F" w:rsidRPr="00CD0A1F">
        <w:rPr>
          <w:i/>
          <w:iCs/>
        </w:rPr>
        <w:t>due</w:t>
      </w:r>
      <w:r w:rsidR="00CD0A1F" w:rsidRPr="00CD0A1F">
        <w:t xml:space="preserve"> to COVID-19 or influenza rather than </w:t>
      </w:r>
      <w:r w:rsidR="00CD0A1F" w:rsidRPr="00CD0A1F">
        <w:rPr>
          <w:i/>
          <w:iCs/>
        </w:rPr>
        <w:t>with</w:t>
      </w:r>
      <w:r w:rsidR="00CD0A1F" w:rsidRPr="00CD0A1F">
        <w:t xml:space="preserve"> COVID-19 or influenza</w:t>
      </w:r>
      <w:r w:rsidR="00AC74AF" w:rsidRPr="00AC74AF">
        <w:t xml:space="preserve">. The opposite is true for RSV - </w:t>
      </w:r>
      <w:r w:rsidR="002E53E7" w:rsidRPr="002E53E7">
        <w:t xml:space="preserve">people are more likely to die </w:t>
      </w:r>
      <w:r w:rsidR="002E53E7" w:rsidRPr="00CF41C9">
        <w:rPr>
          <w:i/>
          <w:iCs/>
        </w:rPr>
        <w:t>with</w:t>
      </w:r>
      <w:r w:rsidR="002E53E7" w:rsidRPr="002E53E7">
        <w:t xml:space="preserve"> RSV </w:t>
      </w:r>
      <w:r w:rsidR="004C7DC5">
        <w:t>(</w:t>
      </w:r>
      <w:r w:rsidR="004A2CE3">
        <w:t>where the infectio</w:t>
      </w:r>
      <w:r w:rsidR="004A2CE3" w:rsidRPr="004A2CE3">
        <w:t>n was</w:t>
      </w:r>
      <w:r w:rsidR="00AC74AF" w:rsidRPr="004A2CE3">
        <w:t xml:space="preserve"> a significant contributor to death</w:t>
      </w:r>
      <w:r w:rsidR="004A2CE3" w:rsidRPr="004A2CE3">
        <w:t>)</w:t>
      </w:r>
      <w:r w:rsidR="00286E3B">
        <w:t>.</w:t>
      </w:r>
      <w:r w:rsidR="00981A30">
        <w:fldChar w:fldCharType="begin"/>
      </w:r>
      <w:r w:rsidR="00981A30">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981A30">
        <w:fldChar w:fldCharType="separate"/>
      </w:r>
      <w:r w:rsidR="00981A30" w:rsidRPr="00981A30">
        <w:rPr>
          <w:noProof/>
          <w:vertAlign w:val="superscript"/>
        </w:rPr>
        <w:t>25</w:t>
      </w:r>
      <w:r w:rsidR="00981A30">
        <w:fldChar w:fldCharType="end"/>
      </w:r>
      <w:r w:rsidR="00AC74AF" w:rsidRPr="00AC74AF">
        <w:t xml:space="preserve"> </w:t>
      </w:r>
    </w:p>
    <w:p w14:paraId="4613251C" w14:textId="36EA2416" w:rsidR="00E25BD7" w:rsidRDefault="00E25BD7" w:rsidP="00625437">
      <w:r>
        <w:t xml:space="preserve">COVID-19 has been the leading cause of acute respiratory infection mortality across </w:t>
      </w:r>
      <w:r w:rsidR="00A92B19">
        <w:t>2022</w:t>
      </w:r>
      <w:r w:rsidR="00064667">
        <w:t>–</w:t>
      </w:r>
      <w:r>
        <w:t>202</w:t>
      </w:r>
      <w:r w:rsidR="00064667">
        <w:t>4</w:t>
      </w:r>
      <w:r w:rsidR="00B3373E">
        <w:t>.</w:t>
      </w:r>
      <w:r w:rsidR="00B3373E">
        <w:fldChar w:fldCharType="begin"/>
      </w:r>
      <w:r w:rsidR="00E13203">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B3373E">
        <w:fldChar w:fldCharType="separate"/>
      </w:r>
      <w:r w:rsidR="00E13203" w:rsidRPr="00E13203">
        <w:rPr>
          <w:noProof/>
          <w:vertAlign w:val="superscript"/>
        </w:rPr>
        <w:t>25</w:t>
      </w:r>
      <w:r w:rsidR="00B3373E">
        <w:fldChar w:fldCharType="end"/>
      </w:r>
      <w:r w:rsidR="00625437">
        <w:t xml:space="preserve"> </w:t>
      </w:r>
      <w:r>
        <w:t>In 2024, the</w:t>
      </w:r>
      <w:r w:rsidR="00A70D90">
        <w:t>re were</w:t>
      </w:r>
      <w:r>
        <w:t xml:space="preserve"> 4,953 deaths involving COVID-19</w:t>
      </w:r>
      <w:r w:rsidR="00A70D90">
        <w:t>, which is</w:t>
      </w:r>
      <w:r>
        <w:t xml:space="preserve"> 19.5% lower than the 6,154 deaths </w:t>
      </w:r>
      <w:r w:rsidR="00A70D90">
        <w:t xml:space="preserve">involving COVID-19 </w:t>
      </w:r>
      <w:r>
        <w:t>in 2023.</w:t>
      </w:r>
      <w:r w:rsidR="00C84878">
        <w:t xml:space="preserve"> </w:t>
      </w:r>
      <w:r w:rsidR="002F6753">
        <w:t xml:space="preserve">The trend in the number of </w:t>
      </w:r>
      <w:r w:rsidR="00EA37F2">
        <w:t>deaths involving COVID-19</w:t>
      </w:r>
      <w:r w:rsidR="002F6753">
        <w:t xml:space="preserve"> over time was similar between 202</w:t>
      </w:r>
      <w:r w:rsidR="00EA37F2">
        <w:t>3 and 2024; however, t</w:t>
      </w:r>
      <w:r>
        <w:t>he</w:t>
      </w:r>
      <w:r w:rsidR="00EA37F2">
        <w:t>re w</w:t>
      </w:r>
      <w:r w:rsidR="003947B9">
        <w:t xml:space="preserve">as a higher </w:t>
      </w:r>
      <w:r>
        <w:t>number of d</w:t>
      </w:r>
      <w:r w:rsidRPr="00465C21">
        <w:t>eaths in</w:t>
      </w:r>
      <w:r w:rsidR="003947B9">
        <w:t xml:space="preserve"> June, July and August </w:t>
      </w:r>
      <w:r w:rsidR="0061606C">
        <w:t xml:space="preserve">of 2024, compared </w:t>
      </w:r>
      <w:r>
        <w:t xml:space="preserve">to the </w:t>
      </w:r>
      <w:r w:rsidRPr="00465C21">
        <w:t xml:space="preserve">same </w:t>
      </w:r>
      <w:r>
        <w:t>period</w:t>
      </w:r>
      <w:r w:rsidRPr="00465C21">
        <w:t xml:space="preserve"> in 202</w:t>
      </w:r>
      <w:r w:rsidR="0061606C">
        <w:t>3</w:t>
      </w:r>
      <w:r>
        <w:t xml:space="preserve"> (</w:t>
      </w:r>
      <w:r w:rsidR="004A5F5E">
        <w:t>Figure 17</w:t>
      </w:r>
      <w:r>
        <w:t>)</w:t>
      </w:r>
      <w:r w:rsidRPr="00465C21">
        <w:t>.</w:t>
      </w:r>
    </w:p>
    <w:p w14:paraId="67AE54DF" w14:textId="77777777" w:rsidR="00182E33" w:rsidRDefault="00E25BD7" w:rsidP="00625437">
      <w:r>
        <w:t>In 2024, the</w:t>
      </w:r>
      <w:r w:rsidR="006A2508">
        <w:t>re were</w:t>
      </w:r>
      <w:r>
        <w:t xml:space="preserve"> 1,002 deaths involving influenza</w:t>
      </w:r>
      <w:r w:rsidR="006A2508">
        <w:t xml:space="preserve">, which is </w:t>
      </w:r>
      <w:r>
        <w:t xml:space="preserve">67.7% higher than the 599 </w:t>
      </w:r>
      <w:r w:rsidRPr="009C06AA">
        <w:t xml:space="preserve">deaths </w:t>
      </w:r>
      <w:r w:rsidR="006A2508" w:rsidRPr="009C06AA">
        <w:t xml:space="preserve">involving influenza </w:t>
      </w:r>
      <w:r w:rsidRPr="009C06AA">
        <w:t>in 2023.</w:t>
      </w:r>
      <w:r w:rsidR="005B0D96">
        <w:t xml:space="preserve"> This is largely due to a 61%</w:t>
      </w:r>
      <w:r w:rsidR="00A944B6">
        <w:t xml:space="preserve"> increase in the number of deaths </w:t>
      </w:r>
      <w:r w:rsidR="00A944B6" w:rsidRPr="00254C6C">
        <w:rPr>
          <w:i/>
        </w:rPr>
        <w:t>with</w:t>
      </w:r>
      <w:r w:rsidR="00A944B6">
        <w:t xml:space="preserve"> influenza </w:t>
      </w:r>
      <w:r w:rsidR="0049589A">
        <w:t xml:space="preserve">(where influenza was </w:t>
      </w:r>
      <w:r w:rsidR="00A944B6">
        <w:t>mentioned as a contributory cause</w:t>
      </w:r>
      <w:r w:rsidR="0049589A">
        <w:t>)</w:t>
      </w:r>
      <w:r w:rsidR="003A3F96">
        <w:t xml:space="preserve"> in 2024, compared with 2023.</w:t>
      </w:r>
      <w:r w:rsidR="009211CA">
        <w:t xml:space="preserve"> This likely </w:t>
      </w:r>
      <w:r w:rsidR="006606A0">
        <w:t xml:space="preserve">explains why </w:t>
      </w:r>
      <w:r w:rsidR="00B630DE">
        <w:t xml:space="preserve">an increasing trend in death registrations was observed in 2024, but </w:t>
      </w:r>
      <w:r w:rsidR="000A25C7">
        <w:t xml:space="preserve">a decreasing number of deaths were observed in </w:t>
      </w:r>
      <w:r w:rsidR="008F038B">
        <w:t xml:space="preserve">sentinel surveillance systems </w:t>
      </w:r>
      <w:r w:rsidR="004E6638">
        <w:t xml:space="preserve">which </w:t>
      </w:r>
      <w:r w:rsidR="009B2B33">
        <w:t>are not as sensitive for d</w:t>
      </w:r>
      <w:r w:rsidR="008F038B">
        <w:t xml:space="preserve">eaths </w:t>
      </w:r>
      <w:r w:rsidR="004E6638" w:rsidRPr="00254C6C">
        <w:rPr>
          <w:i/>
        </w:rPr>
        <w:t>with</w:t>
      </w:r>
      <w:r w:rsidR="008F038B">
        <w:t xml:space="preserve"> an infection</w:t>
      </w:r>
      <w:r w:rsidR="00784E0F">
        <w:t>.</w:t>
      </w:r>
      <w:r w:rsidRPr="009C06AA">
        <w:t xml:space="preserve"> </w:t>
      </w:r>
    </w:p>
    <w:p w14:paraId="67838284" w14:textId="7617F021" w:rsidR="00E25BD7" w:rsidRPr="00E87080" w:rsidRDefault="00784E0F" w:rsidP="00625437">
      <w:r>
        <w:t>T</w:t>
      </w:r>
      <w:r w:rsidR="00EA089F">
        <w:t>he</w:t>
      </w:r>
      <w:r w:rsidR="00D84D65">
        <w:t xml:space="preserve"> number of deaths involving </w:t>
      </w:r>
      <w:r w:rsidR="00224F24">
        <w:t xml:space="preserve">influenza in 2024 is considerably less than historical </w:t>
      </w:r>
      <w:r w:rsidR="00554B8E">
        <w:t xml:space="preserve">deaths, with </w:t>
      </w:r>
      <w:r w:rsidR="00554B8E" w:rsidRPr="00554B8E">
        <w:t>1,656 deaths involving influenza in 2017 and 1,314 deaths in 2019.</w:t>
      </w:r>
      <w:r w:rsidR="00554B8E">
        <w:t xml:space="preserve"> </w:t>
      </w:r>
      <w:r w:rsidR="009C06AA" w:rsidRPr="009C06AA">
        <w:t xml:space="preserve">The trend in the number of deaths involving influenza during the </w:t>
      </w:r>
      <w:proofErr w:type="spellStart"/>
      <w:r w:rsidR="009C06AA" w:rsidRPr="009C06AA">
        <w:t>interseasonal</w:t>
      </w:r>
      <w:proofErr w:type="spellEnd"/>
      <w:r w:rsidR="009C06AA" w:rsidRPr="009C06AA">
        <w:t xml:space="preserve"> periods was similar between 2023 and 2024; however, there was a much higher number of deaths in July and August of 2024</w:t>
      </w:r>
      <w:r w:rsidR="00DE00DB">
        <w:t xml:space="preserve"> (and to a lesser extent June and September)</w:t>
      </w:r>
      <w:r w:rsidR="009C06AA" w:rsidRPr="009C06AA">
        <w:t xml:space="preserve">, </w:t>
      </w:r>
      <w:r w:rsidR="009C06AA" w:rsidRPr="00E87080">
        <w:t xml:space="preserve">compared to the same period in 2023 </w:t>
      </w:r>
      <w:r w:rsidR="00E25BD7" w:rsidRPr="00E87080">
        <w:t>(</w:t>
      </w:r>
      <w:r w:rsidR="004A5F5E">
        <w:t>Figure 17</w:t>
      </w:r>
      <w:r w:rsidR="00E25BD7" w:rsidRPr="00E87080">
        <w:t xml:space="preserve">). </w:t>
      </w:r>
      <w:r w:rsidR="00894702">
        <w:t xml:space="preserve">However, </w:t>
      </w:r>
      <w:r w:rsidR="002B6D05">
        <w:t>for</w:t>
      </w:r>
      <w:r w:rsidR="00894702">
        <w:t xml:space="preserve"> context</w:t>
      </w:r>
      <w:r w:rsidR="00B01EEA">
        <w:t>,</w:t>
      </w:r>
      <w:r w:rsidR="00556890">
        <w:t xml:space="preserve"> the number of deaths </w:t>
      </w:r>
      <w:r w:rsidR="0060659D">
        <w:t>in</w:t>
      </w:r>
      <w:r w:rsidR="0060659D" w:rsidRPr="0060659D">
        <w:t> July and August 2024 were comparable to those in 2019</w:t>
      </w:r>
      <w:r w:rsidR="00885B97">
        <w:t xml:space="preserve"> (n=</w:t>
      </w:r>
      <w:r w:rsidR="00BD5A4C">
        <w:t>195</w:t>
      </w:r>
      <w:r w:rsidR="0046465E">
        <w:t xml:space="preserve"> in July 2019</w:t>
      </w:r>
      <w:r w:rsidR="00885B97">
        <w:t xml:space="preserve"> and n=</w:t>
      </w:r>
      <w:r w:rsidR="00BD5A4C">
        <w:t>196</w:t>
      </w:r>
      <w:r w:rsidR="0046465E">
        <w:t xml:space="preserve"> in August 2019</w:t>
      </w:r>
      <w:r w:rsidR="00885B97">
        <w:t>)</w:t>
      </w:r>
      <w:r w:rsidR="0060659D">
        <w:t xml:space="preserve">, and much lower than the number of deaths in </w:t>
      </w:r>
      <w:r w:rsidR="007565E3" w:rsidRPr="007565E3">
        <w:t>August</w:t>
      </w:r>
      <w:r w:rsidR="0033428D">
        <w:t xml:space="preserve"> (n=420)</w:t>
      </w:r>
      <w:r w:rsidR="007565E3" w:rsidRPr="007565E3">
        <w:t xml:space="preserve"> and September </w:t>
      </w:r>
      <w:r w:rsidR="0033428D">
        <w:t xml:space="preserve">(n=503) </w:t>
      </w:r>
      <w:r w:rsidR="00C01E5F">
        <w:t xml:space="preserve">in </w:t>
      </w:r>
      <w:r w:rsidR="007565E3">
        <w:t>2017</w:t>
      </w:r>
      <w:r w:rsidR="00EC5987">
        <w:t>,</w:t>
      </w:r>
      <w:r w:rsidR="007565E3">
        <w:t xml:space="preserve"> when the influenza season commenced later</w:t>
      </w:r>
      <w:r w:rsidR="002224B0">
        <w:t xml:space="preserve"> in the year</w:t>
      </w:r>
      <w:r w:rsidR="00B01EEA">
        <w:t>.</w:t>
      </w:r>
      <w:r w:rsidR="00F504D0">
        <w:fldChar w:fldCharType="begin"/>
      </w:r>
      <w:r w:rsidR="00E13203">
        <w:instrText xml:space="preserve"> ADDIN EN.CITE &lt;EndNote&gt;&lt;Cite&gt;&lt;Author&gt;Australian Bureau of Statistics&lt;/Author&gt;&lt;Year&gt;2025&lt;/Year&gt;&lt;RecNum&gt;2818&lt;/RecNum&gt;&lt;DisplayText&gt;&lt;style face="superscript"&gt;25&lt;/style&gt;&lt;/DisplayText&gt;&lt;record&gt;&lt;rec-number&gt;2818&lt;/rec-number&gt;&lt;foreign-keys&gt;&lt;key app="EN" db-id="ptaw2s0tmse5w0exvrh5d2vpdtxat2eaaazf" timestamp="1742520923"&gt;2818&lt;/key&gt;&lt;/foreign-keys&gt;&lt;ref-type name="Web Page"&gt;12&lt;/ref-type&gt;&lt;contributors&gt;&lt;authors&gt;&lt;author&gt;Australian Bureau of Statistics,&lt;/author&gt;&lt;/authors&gt;&lt;/contributors&gt;&lt;titles&gt;&lt;title&gt;Deaths due to COVID-19, influenza and RSV in Australia - 2022 - November 2024&lt;/title&gt;&lt;/titles&gt;&lt;dates&gt;&lt;year&gt;2025&lt;/year&gt;&lt;/dates&gt;&lt;pub-location&gt;Canberra&lt;/pub-location&gt;&lt;publisher&gt;Australian Bureau of Statistics&lt;/publisher&gt;&lt;work-type&gt;Internet&lt;/work-type&gt;&lt;urls&gt;&lt;related-urls&gt;&lt;url&gt;https://www.abs.gov.au/articles/deaths-due-covid-19-influenza-and-rsv-australia-2022-november-2024&lt;/url&gt;&lt;/related-urls&gt;&lt;/urls&gt;&lt;/record&gt;&lt;/Cite&gt;&lt;/EndNote&gt;</w:instrText>
      </w:r>
      <w:r w:rsidR="00F504D0">
        <w:fldChar w:fldCharType="separate"/>
      </w:r>
      <w:r w:rsidR="00E13203" w:rsidRPr="00E13203">
        <w:rPr>
          <w:noProof/>
          <w:vertAlign w:val="superscript"/>
        </w:rPr>
        <w:t>25</w:t>
      </w:r>
      <w:r w:rsidR="00F504D0">
        <w:fldChar w:fldCharType="end"/>
      </w:r>
    </w:p>
    <w:p w14:paraId="3B32F44B" w14:textId="501AE1AD" w:rsidR="00E25BD7" w:rsidRPr="00FB103F" w:rsidRDefault="00E25BD7" w:rsidP="00625437">
      <w:r w:rsidRPr="00E87080">
        <w:t>In 2024, the</w:t>
      </w:r>
      <w:r w:rsidR="00400082" w:rsidRPr="00E87080">
        <w:t>re were</w:t>
      </w:r>
      <w:r w:rsidRPr="00E87080">
        <w:t xml:space="preserve"> 462 deaths involving RSV</w:t>
      </w:r>
      <w:r w:rsidR="00400082" w:rsidRPr="00E87080">
        <w:t xml:space="preserve">, which </w:t>
      </w:r>
      <w:r w:rsidR="009E1130" w:rsidRPr="00E87080">
        <w:t>is 21.</w:t>
      </w:r>
      <w:r w:rsidR="00041974" w:rsidRPr="00E87080">
        <w:t>1% higher than the</w:t>
      </w:r>
      <w:r w:rsidRPr="00E87080">
        <w:t xml:space="preserve"> 374</w:t>
      </w:r>
      <w:r w:rsidR="00041974" w:rsidRPr="00B50D60">
        <w:t xml:space="preserve"> deaths involving RSV</w:t>
      </w:r>
      <w:r w:rsidRPr="00B50D60">
        <w:t xml:space="preserve"> in 2023. </w:t>
      </w:r>
      <w:r w:rsidR="00B1482C" w:rsidRPr="00B50D60">
        <w:t>The</w:t>
      </w:r>
      <w:r w:rsidR="00B50D60" w:rsidRPr="00B50D60">
        <w:t xml:space="preserve"> overall</w:t>
      </w:r>
      <w:r w:rsidR="00B1482C" w:rsidRPr="00B50D60">
        <w:t xml:space="preserve"> </w:t>
      </w:r>
      <w:r w:rsidR="00F572D3">
        <w:t>pattern</w:t>
      </w:r>
      <w:r w:rsidR="00B1482C" w:rsidRPr="00B50D60">
        <w:t xml:space="preserve"> in the number of deaths involving RSV over time was similar between 2023 and 2024; however, there was a higher number of deaths from </w:t>
      </w:r>
      <w:r w:rsidR="00B1482C" w:rsidRPr="00FB103F">
        <w:t xml:space="preserve">January to June of 2024, compared to the same period in 2023 </w:t>
      </w:r>
      <w:r w:rsidRPr="00FB103F">
        <w:t>(</w:t>
      </w:r>
      <w:r w:rsidR="004A5F5E">
        <w:t>Figure 17</w:t>
      </w:r>
      <w:r w:rsidRPr="00FB103F">
        <w:t xml:space="preserve">). </w:t>
      </w:r>
    </w:p>
    <w:p w14:paraId="738439D4" w14:textId="77777777" w:rsidR="00625437" w:rsidRDefault="00E25BD7" w:rsidP="00625437">
      <w:r w:rsidRPr="00FB103F">
        <w:t>All three of these acute respiratory infections are more likely to cause death in older age groups than younger age groups.</w:t>
      </w:r>
      <w:r w:rsidR="00625437">
        <w:t xml:space="preserve"> </w:t>
      </w:r>
      <w:r w:rsidR="00E436CB" w:rsidRPr="00E436CB">
        <w:t>More males have died from COVID-19 compared to females across 2023</w:t>
      </w:r>
      <w:r w:rsidR="00E436CB">
        <w:t>–</w:t>
      </w:r>
      <w:r w:rsidR="00E436CB" w:rsidRPr="00E436CB">
        <w:t>202</w:t>
      </w:r>
      <w:r w:rsidR="00E436CB">
        <w:t>4</w:t>
      </w:r>
      <w:r w:rsidR="00E436CB" w:rsidRPr="00E436CB">
        <w:t>. The reverse has been true for influenza and RSV.</w:t>
      </w:r>
      <w:r w:rsidR="00625437">
        <w:t xml:space="preserve"> </w:t>
      </w:r>
    </w:p>
    <w:p w14:paraId="2C6E4082" w14:textId="67DE349E" w:rsidR="00E25BD7" w:rsidRDefault="00E25BD7" w:rsidP="00625437">
      <w:r w:rsidRPr="00335863">
        <w:t xml:space="preserve">As the most populous state, </w:t>
      </w:r>
      <w:r w:rsidR="005B1319">
        <w:t>NSW</w:t>
      </w:r>
      <w:r w:rsidRPr="00335863">
        <w:t xml:space="preserve"> generally records the highest numbers of deaths for acute respiratory infections</w:t>
      </w:r>
      <w:r w:rsidR="00335863" w:rsidRPr="00335863">
        <w:t xml:space="preserve">; however, </w:t>
      </w:r>
      <w:r w:rsidR="005B1319">
        <w:t>Qld</w:t>
      </w:r>
      <w:r w:rsidR="00335863" w:rsidRPr="00335863">
        <w:t xml:space="preserve"> has recorded the highest number of deaths due to RSV in 2024.</w:t>
      </w:r>
      <w:r w:rsidRPr="00335863">
        <w:t> </w:t>
      </w:r>
      <w:r w:rsidR="00F512E7" w:rsidRPr="00F512E7">
        <w:t>COVID-19 has caused more deaths than influenza and RSV across 2023</w:t>
      </w:r>
      <w:r w:rsidR="00F512E7">
        <w:t>–</w:t>
      </w:r>
      <w:r w:rsidR="00F512E7" w:rsidRPr="00F512E7">
        <w:t>202</w:t>
      </w:r>
      <w:r w:rsidR="00F512E7">
        <w:t>4</w:t>
      </w:r>
      <w:r w:rsidR="00F512E7" w:rsidRPr="00F512E7">
        <w:t xml:space="preserve"> in all jurisdictions.</w:t>
      </w:r>
    </w:p>
    <w:p w14:paraId="702807E1" w14:textId="460A36F6" w:rsidR="00EA13C6" w:rsidRDefault="00942831" w:rsidP="00625437">
      <w:r w:rsidRPr="00942831">
        <w:t xml:space="preserve">For Aboriginal and Torres Strait Islander people who died </w:t>
      </w:r>
      <w:r w:rsidR="007A0EC1">
        <w:t>due to</w:t>
      </w:r>
      <w:r w:rsidR="007A0EC1" w:rsidRPr="00942831">
        <w:t xml:space="preserve"> </w:t>
      </w:r>
      <w:r w:rsidRPr="00942831">
        <w:t>an acute respiratory disease:</w:t>
      </w:r>
    </w:p>
    <w:p w14:paraId="7F04E94A" w14:textId="2F09B364" w:rsidR="00942831" w:rsidRPr="00942831" w:rsidRDefault="00942831" w:rsidP="001D2466">
      <w:pPr>
        <w:pStyle w:val="ListBullet"/>
        <w:rPr>
          <w:lang w:val="en-GB"/>
        </w:rPr>
      </w:pPr>
      <w:r w:rsidRPr="00942831">
        <w:rPr>
          <w:lang w:val="en-GB"/>
        </w:rPr>
        <w:t>COVID-19 caused more deaths than both influenza and RSV across each year in 2022</w:t>
      </w:r>
      <w:r w:rsidR="0014282F">
        <w:rPr>
          <w:lang w:val="en-GB"/>
        </w:rPr>
        <w:t>–</w:t>
      </w:r>
      <w:r w:rsidRPr="00942831">
        <w:rPr>
          <w:lang w:val="en-GB"/>
        </w:rPr>
        <w:t>2024. </w:t>
      </w:r>
    </w:p>
    <w:p w14:paraId="7A76AF58" w14:textId="54895618" w:rsidR="00942831" w:rsidRPr="00942831" w:rsidRDefault="00942831" w:rsidP="001D2466">
      <w:pPr>
        <w:pStyle w:val="ListBullet"/>
        <w:rPr>
          <w:lang w:val="en-GB"/>
        </w:rPr>
      </w:pPr>
      <w:r w:rsidRPr="00942831">
        <w:rPr>
          <w:lang w:val="en-GB"/>
        </w:rPr>
        <w:t>The mortality rate for COVID-19</w:t>
      </w:r>
      <w:r w:rsidR="00E570E1">
        <w:rPr>
          <w:lang w:val="en-GB"/>
        </w:rPr>
        <w:t>-</w:t>
      </w:r>
      <w:r w:rsidRPr="00942831">
        <w:rPr>
          <w:lang w:val="en-GB"/>
        </w:rPr>
        <w:t xml:space="preserve"> and </w:t>
      </w:r>
      <w:r w:rsidR="00E570E1" w:rsidRPr="00942831">
        <w:rPr>
          <w:lang w:val="en-GB"/>
        </w:rPr>
        <w:t>influenza</w:t>
      </w:r>
      <w:r w:rsidR="00E570E1">
        <w:rPr>
          <w:lang w:val="en-GB"/>
        </w:rPr>
        <w:t>-</w:t>
      </w:r>
      <w:r w:rsidRPr="00942831">
        <w:rPr>
          <w:lang w:val="en-GB"/>
        </w:rPr>
        <w:t>related mortality for Aboriginal and Torres Strait Islander people was higher than non-Indigenous people across each year in 2022</w:t>
      </w:r>
      <w:r w:rsidR="0014282F">
        <w:rPr>
          <w:lang w:val="en-GB"/>
        </w:rPr>
        <w:t>–</w:t>
      </w:r>
      <w:r w:rsidRPr="00942831">
        <w:rPr>
          <w:lang w:val="en-GB"/>
        </w:rPr>
        <w:t>2024. </w:t>
      </w:r>
    </w:p>
    <w:p w14:paraId="3631BFBA" w14:textId="395C4A93" w:rsidR="00942831" w:rsidRPr="00942831" w:rsidRDefault="00942831" w:rsidP="001D2466">
      <w:pPr>
        <w:pStyle w:val="ListBullet"/>
        <w:rPr>
          <w:lang w:val="en-GB"/>
        </w:rPr>
      </w:pPr>
      <w:r w:rsidRPr="00942831">
        <w:rPr>
          <w:lang w:val="en-GB"/>
        </w:rPr>
        <w:t>The mortality rate for influenza</w:t>
      </w:r>
      <w:r w:rsidR="006E3244">
        <w:rPr>
          <w:lang w:val="en-GB"/>
        </w:rPr>
        <w:t>-</w:t>
      </w:r>
      <w:r w:rsidRPr="00942831">
        <w:rPr>
          <w:lang w:val="en-GB"/>
        </w:rPr>
        <w:t>related mortality is higher in both Aboriginal and Torres Strait Islander and non-Indigenous people in 2024 compared to 2022 and 2023. </w:t>
      </w:r>
    </w:p>
    <w:p w14:paraId="16A31A89" w14:textId="77777777" w:rsidR="00A715E6" w:rsidRDefault="0019761A">
      <w:r>
        <w:br w:type="page"/>
      </w:r>
    </w:p>
    <w:p w14:paraId="16A31A8A" w14:textId="75986E99" w:rsidR="00A715E6" w:rsidRDefault="004A5F5E" w:rsidP="001D2466">
      <w:pPr>
        <w:pStyle w:val="Caption"/>
      </w:pPr>
      <w:r>
        <w:lastRenderedPageBreak/>
        <w:t>Figure 18</w:t>
      </w:r>
      <w:r w:rsidR="0019761A">
        <w:t xml:space="preserve">: </w:t>
      </w:r>
      <w:r w:rsidR="00442420">
        <w:t>N</w:t>
      </w:r>
      <w:r w:rsidR="0019761A">
        <w:t xml:space="preserve">umber of </w:t>
      </w:r>
      <w:r w:rsidR="008A4138">
        <w:t>deaths involving</w:t>
      </w:r>
      <w:r w:rsidR="004050A2">
        <w:t xml:space="preserve"> (both </w:t>
      </w:r>
      <w:r w:rsidR="004050A2" w:rsidRPr="004050A2">
        <w:rPr>
          <w:i/>
          <w:iCs/>
        </w:rPr>
        <w:t>due to</w:t>
      </w:r>
      <w:r w:rsidR="004050A2">
        <w:t xml:space="preserve"> and </w:t>
      </w:r>
      <w:r w:rsidR="004050A2" w:rsidRPr="004050A2">
        <w:rPr>
          <w:i/>
          <w:iCs/>
        </w:rPr>
        <w:t>with</w:t>
      </w:r>
      <w:r w:rsidR="004050A2">
        <w:t>)</w:t>
      </w:r>
      <w:r w:rsidR="008A4138">
        <w:t xml:space="preserve"> </w:t>
      </w:r>
      <w:r w:rsidR="0019761A">
        <w:t>acute respiratory infections*</w:t>
      </w:r>
      <w:r w:rsidR="0019761A" w:rsidRPr="007E0A85">
        <w:rPr>
          <w:vertAlign w:val="superscript"/>
        </w:rPr>
        <w:t>†</w:t>
      </w:r>
      <w:r w:rsidR="0019761A">
        <w:t xml:space="preserve"> by month, year and respiratory infection, Australia, </w:t>
      </w:r>
      <w:r w:rsidR="00AA76BC">
        <w:t xml:space="preserve">1 January </w:t>
      </w:r>
      <w:r w:rsidR="0019761A">
        <w:t xml:space="preserve">2023 to </w:t>
      </w:r>
      <w:r w:rsidR="007A55E1">
        <w:t>31 December</w:t>
      </w:r>
      <w:r w:rsidR="0019761A">
        <w:t xml:space="preserve"> 2024</w:t>
      </w:r>
    </w:p>
    <w:p w14:paraId="16A31A8B" w14:textId="17FB709C" w:rsidR="00A715E6" w:rsidRDefault="00D2571E">
      <w:pPr>
        <w:pStyle w:val="BodyText"/>
      </w:pPr>
      <w:r>
        <w:rPr>
          <w:noProof/>
        </w:rPr>
        <w:drawing>
          <wp:inline distT="0" distB="0" distL="0" distR="0" wp14:anchorId="241BE08C" wp14:editId="6BD93264">
            <wp:extent cx="6184900" cy="5301342"/>
            <wp:effectExtent l="0" t="0" r="0" b="0"/>
            <wp:docPr id="86" name="Picture"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wp:cNvGraphicFramePr/>
            <a:graphic xmlns:a="http://schemas.openxmlformats.org/drawingml/2006/main">
              <a:graphicData uri="http://schemas.openxmlformats.org/drawingml/2006/picture">
                <pic:pic xmlns:pic="http://schemas.openxmlformats.org/drawingml/2006/picture">
                  <pic:nvPicPr>
                    <pic:cNvPr id="86" name="Picture"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A8C" w14:textId="3930456C" w:rsidR="00A715E6" w:rsidRDefault="0019761A" w:rsidP="000E02DC">
      <w:pPr>
        <w:pStyle w:val="Smalltext"/>
      </w:pPr>
      <w:r w:rsidRPr="00C65672">
        <w:t xml:space="preserve">Source: Australian Bureau of Statistics, </w:t>
      </w:r>
      <w:hyperlink r:id="rId52">
        <w:r w:rsidR="00B775E3" w:rsidRPr="00C65672">
          <w:rPr>
            <w:rStyle w:val="Hyperlink"/>
          </w:rPr>
          <w:t>Provisional Mortality Statistics, Jan - Nov 2024</w:t>
        </w:r>
      </w:hyperlink>
      <w:r w:rsidRPr="00C65672">
        <w:t xml:space="preserve">, released </w:t>
      </w:r>
      <w:r w:rsidR="00C65672" w:rsidRPr="00C65672">
        <w:t>28 February 2025</w:t>
      </w:r>
      <w:r w:rsidRPr="00C65672">
        <w:t>.</w:t>
      </w:r>
      <w:r w:rsidR="00F84254">
        <w:br/>
      </w:r>
      <w:r w:rsidR="00F84254" w:rsidRPr="00F84254">
        <w:t>Note</w:t>
      </w:r>
      <w:r w:rsidR="00F84254">
        <w:t>:</w:t>
      </w:r>
      <w:r w:rsidR="00F84254" w:rsidRPr="00F84254">
        <w:t xml:space="preserve"> the number of provisional deaths involving RSV in January 2023 were not published due to low </w:t>
      </w:r>
      <w:r w:rsidR="004125AF">
        <w:t>numbers of provisional deaths</w:t>
      </w:r>
      <w:r w:rsidR="00F84254" w:rsidRPr="00F84254">
        <w:t>.</w:t>
      </w:r>
      <w:r w:rsidR="00F84254">
        <w:br/>
      </w:r>
      <w:r>
        <w:t xml:space="preserve">* Axis varies between </w:t>
      </w:r>
      <w:r w:rsidR="00194B55" w:rsidRPr="00194B55">
        <w:t>acute respiratory infections</w:t>
      </w:r>
      <w:r>
        <w:t xml:space="preserve">. </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31 January 2025. </w:t>
      </w:r>
    </w:p>
    <w:p w14:paraId="16A31A8D" w14:textId="77777777" w:rsidR="00A715E6" w:rsidRDefault="0019761A">
      <w:r>
        <w:br w:type="page"/>
      </w:r>
    </w:p>
    <w:p w14:paraId="16A31A8E" w14:textId="77777777" w:rsidR="00A715E6" w:rsidRDefault="0019761A">
      <w:pPr>
        <w:pStyle w:val="Heading1"/>
      </w:pPr>
      <w:bookmarkStart w:id="29" w:name="_Toc194074623"/>
      <w:bookmarkStart w:id="30" w:name="laboratory-surveillance"/>
      <w:bookmarkEnd w:id="28"/>
      <w:r>
        <w:lastRenderedPageBreak/>
        <w:t>Laboratory surveillance</w:t>
      </w:r>
      <w:bookmarkEnd w:id="29"/>
    </w:p>
    <w:p w14:paraId="16A31A8F" w14:textId="77777777" w:rsidR="00A715E6" w:rsidRDefault="0019761A">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195C083" w14:textId="0820A2F7" w:rsidR="00E4644C" w:rsidRPr="0040261D" w:rsidRDefault="00F41FF2" w:rsidP="007F71A7">
      <w:r w:rsidRPr="00E606FC">
        <w:t>In 2024, t</w:t>
      </w:r>
      <w:r w:rsidR="00581AF7" w:rsidRPr="00E606FC">
        <w:t xml:space="preserve">here were two </w:t>
      </w:r>
      <w:r w:rsidR="00311A23" w:rsidRPr="00E606FC">
        <w:t xml:space="preserve">peaks in </w:t>
      </w:r>
      <w:r w:rsidR="00581AF7" w:rsidRPr="00E606FC">
        <w:t xml:space="preserve">SARS-CoV-2 test positivity, the first </w:t>
      </w:r>
      <w:r w:rsidR="001F091F" w:rsidRPr="00E606FC">
        <w:t xml:space="preserve">peak </w:t>
      </w:r>
      <w:r w:rsidR="00581AF7" w:rsidRPr="00E606FC">
        <w:t>occurr</w:t>
      </w:r>
      <w:r w:rsidRPr="00E606FC">
        <w:t>ed early</w:t>
      </w:r>
      <w:r w:rsidR="00581AF7" w:rsidRPr="00E606FC">
        <w:t xml:space="preserve"> January at 8.8%</w:t>
      </w:r>
      <w:r w:rsidRPr="00E606FC">
        <w:t xml:space="preserve"> </w:t>
      </w:r>
      <w:r w:rsidR="00FE1210" w:rsidRPr="00E606FC">
        <w:t xml:space="preserve">test </w:t>
      </w:r>
      <w:r w:rsidRPr="00E606FC">
        <w:t>positivity</w:t>
      </w:r>
      <w:r w:rsidR="00581AF7" w:rsidRPr="00E606FC">
        <w:t xml:space="preserve"> </w:t>
      </w:r>
      <w:r w:rsidR="004F44F7" w:rsidRPr="00E606FC">
        <w:t xml:space="preserve">per week </w:t>
      </w:r>
      <w:r w:rsidR="00581AF7" w:rsidRPr="00E606FC">
        <w:t>and the second</w:t>
      </w:r>
      <w:r w:rsidR="001F091F" w:rsidRPr="00E606FC">
        <w:t>, smaller peak</w:t>
      </w:r>
      <w:r w:rsidR="00581AF7" w:rsidRPr="00E606FC">
        <w:t xml:space="preserve"> occurr</w:t>
      </w:r>
      <w:r w:rsidR="001F091F" w:rsidRPr="00E606FC">
        <w:t>ed i</w:t>
      </w:r>
      <w:r w:rsidR="00581AF7" w:rsidRPr="00E606FC">
        <w:t xml:space="preserve">n </w:t>
      </w:r>
      <w:r w:rsidR="001F091F" w:rsidRPr="00E606FC">
        <w:t>early</w:t>
      </w:r>
      <w:r w:rsidR="00581AF7" w:rsidRPr="00E606FC">
        <w:t xml:space="preserve"> June at </w:t>
      </w:r>
      <w:r w:rsidR="001F091F" w:rsidRPr="00E606FC">
        <w:t>7</w:t>
      </w:r>
      <w:r w:rsidR="00581AF7" w:rsidRPr="00E606FC">
        <w:t>.</w:t>
      </w:r>
      <w:r w:rsidR="001F091F" w:rsidRPr="00E606FC">
        <w:t>5</w:t>
      </w:r>
      <w:r w:rsidR="00581AF7" w:rsidRPr="00E606FC">
        <w:t>%</w:t>
      </w:r>
      <w:r w:rsidR="00FE1210" w:rsidRPr="00E606FC">
        <w:t xml:space="preserve"> test positivity</w:t>
      </w:r>
      <w:r w:rsidR="004F44F7" w:rsidRPr="00E606FC">
        <w:t xml:space="preserve"> per week</w:t>
      </w:r>
      <w:r w:rsidR="00581AF7" w:rsidRPr="00E606FC">
        <w:t>. The</w:t>
      </w:r>
      <w:r w:rsidR="00FE1210" w:rsidRPr="00E606FC">
        <w:t xml:space="preserve"> peaks in </w:t>
      </w:r>
      <w:r w:rsidR="00581AF7" w:rsidRPr="00E606FC">
        <w:t>SARS-CoV-2 test positivity align</w:t>
      </w:r>
      <w:r w:rsidR="00FE1210" w:rsidRPr="00E606FC">
        <w:t>ed</w:t>
      </w:r>
      <w:r w:rsidR="00581AF7" w:rsidRPr="00E606FC">
        <w:t xml:space="preserve"> with increased COVID-19 </w:t>
      </w:r>
      <w:r w:rsidR="003F1652" w:rsidRPr="00E606FC">
        <w:t xml:space="preserve">case notifications </w:t>
      </w:r>
      <w:r w:rsidR="00581AF7" w:rsidRPr="00E606FC">
        <w:t>observed during the summer of 2023</w:t>
      </w:r>
      <w:r w:rsidR="003F1652" w:rsidRPr="00E606FC">
        <w:t>–20</w:t>
      </w:r>
      <w:r w:rsidR="00581AF7" w:rsidRPr="00E606FC">
        <w:t>24 and winter of 2024 (</w:t>
      </w:r>
      <w:r w:rsidR="004A5F5E">
        <w:t>Figure 4</w:t>
      </w:r>
      <w:r w:rsidR="00165D87" w:rsidRPr="00E606FC">
        <w:t xml:space="preserve">; </w:t>
      </w:r>
      <w:r w:rsidR="004A5F5E">
        <w:t>Figure 19</w:t>
      </w:r>
      <w:r w:rsidR="00581AF7" w:rsidRPr="00E606FC">
        <w:t>)</w:t>
      </w:r>
      <w:r w:rsidRPr="00E606FC">
        <w:t>.</w:t>
      </w:r>
      <w:r w:rsidR="00E648E6">
        <w:t xml:space="preserve"> </w:t>
      </w:r>
      <w:r w:rsidR="002045C8" w:rsidRPr="00C17ED1">
        <w:t>In 2024, i</w:t>
      </w:r>
      <w:r w:rsidR="00E4644C" w:rsidRPr="00C17ED1">
        <w:t>nfluenza test positivity</w:t>
      </w:r>
      <w:r w:rsidR="00EF21E9">
        <w:t xml:space="preserve"> </w:t>
      </w:r>
      <w:r w:rsidR="00EF21E9" w:rsidRPr="00EF21E9">
        <w:t>gradually increas</w:t>
      </w:r>
      <w:r w:rsidR="00C401F9">
        <w:t xml:space="preserve">ed </w:t>
      </w:r>
      <w:r w:rsidR="00EF21E9" w:rsidRPr="00EF21E9">
        <w:t>from January</w:t>
      </w:r>
      <w:r w:rsidR="00EF21E9">
        <w:t xml:space="preserve"> to a peak of </w:t>
      </w:r>
      <w:r w:rsidR="00E4644C" w:rsidRPr="00C17ED1">
        <w:t>17.3%</w:t>
      </w:r>
      <w:r w:rsidR="002D0A85" w:rsidRPr="00C17ED1">
        <w:t xml:space="preserve"> per week in early Ju</w:t>
      </w:r>
      <w:r w:rsidR="00E4644C" w:rsidRPr="00C17ED1">
        <w:t xml:space="preserve">ly, aligning with observed </w:t>
      </w:r>
      <w:r w:rsidR="00E4644C" w:rsidRPr="0040261D">
        <w:t xml:space="preserve">increased </w:t>
      </w:r>
      <w:r w:rsidR="00C17ED1" w:rsidRPr="0040261D">
        <w:t>influenza case notifications</w:t>
      </w:r>
      <w:r w:rsidR="00E4644C" w:rsidRPr="0040261D">
        <w:t xml:space="preserve"> (</w:t>
      </w:r>
      <w:r w:rsidR="004A5F5E">
        <w:t>Figure 6</w:t>
      </w:r>
      <w:r w:rsidR="00E4644C" w:rsidRPr="0040261D">
        <w:t>a</w:t>
      </w:r>
      <w:r w:rsidR="00C17ED1" w:rsidRPr="0040261D">
        <w:t xml:space="preserve">; </w:t>
      </w:r>
      <w:r w:rsidR="004A5F5E">
        <w:t>Figure 6</w:t>
      </w:r>
      <w:r w:rsidR="00C17ED1" w:rsidRPr="0040261D">
        <w:t>b</w:t>
      </w:r>
      <w:r w:rsidR="002D0A85" w:rsidRPr="0040261D">
        <w:t xml:space="preserve">; </w:t>
      </w:r>
      <w:r w:rsidR="004A5F5E">
        <w:t xml:space="preserve">Figure </w:t>
      </w:r>
      <w:r w:rsidR="00826FD8">
        <w:t>19</w:t>
      </w:r>
      <w:r w:rsidR="00E4644C" w:rsidRPr="0040261D">
        <w:t>).</w:t>
      </w:r>
    </w:p>
    <w:p w14:paraId="16D76247" w14:textId="19E25BC9" w:rsidR="00DF75C0" w:rsidRPr="00B4579A" w:rsidRDefault="0040261D" w:rsidP="007F71A7">
      <w:bookmarkStart w:id="31" w:name="_Hlk192778807"/>
      <w:r w:rsidRPr="00C401F9">
        <w:t xml:space="preserve">In 2024, </w:t>
      </w:r>
      <w:r w:rsidR="00DF75C0" w:rsidRPr="00C401F9">
        <w:t xml:space="preserve">RSV test positivity </w:t>
      </w:r>
      <w:r w:rsidR="00C401F9" w:rsidRPr="00C401F9">
        <w:t xml:space="preserve">gradually increased from January to a </w:t>
      </w:r>
      <w:r w:rsidR="00DF75C0" w:rsidRPr="00C401F9">
        <w:t xml:space="preserve">peak at 5.5% in </w:t>
      </w:r>
      <w:r w:rsidRPr="00C401F9">
        <w:t>early</w:t>
      </w:r>
      <w:r w:rsidR="00DF75C0" w:rsidRPr="00C401F9">
        <w:t xml:space="preserve"> July, which is later</w:t>
      </w:r>
      <w:r w:rsidR="00DF75C0" w:rsidRPr="00B4579A">
        <w:t xml:space="preserve"> than </w:t>
      </w:r>
      <w:r w:rsidR="006216E0" w:rsidRPr="00B4579A">
        <w:t xml:space="preserve">the peak in RSV case notifications </w:t>
      </w:r>
      <w:r w:rsidR="00DF75C0" w:rsidRPr="00B4579A">
        <w:t xml:space="preserve">observed in mid-May </w:t>
      </w:r>
      <w:bookmarkEnd w:id="31"/>
      <w:r w:rsidR="00DF75C0" w:rsidRPr="00B4579A">
        <w:t xml:space="preserve">(see </w:t>
      </w:r>
      <w:r w:rsidR="004A5F5E">
        <w:t>Figure 9</w:t>
      </w:r>
      <w:r w:rsidRPr="00B4579A">
        <w:t xml:space="preserve">; </w:t>
      </w:r>
      <w:r w:rsidR="004A5F5E">
        <w:t xml:space="preserve">Figure </w:t>
      </w:r>
      <w:r w:rsidR="00826FD8">
        <w:t>19</w:t>
      </w:r>
      <w:r w:rsidR="00DF75C0" w:rsidRPr="00B4579A">
        <w:t>).</w:t>
      </w:r>
      <w:r w:rsidR="00A47168">
        <w:t xml:space="preserve"> This trend is likely reflective of the </w:t>
      </w:r>
      <w:r w:rsidR="006757D8">
        <w:t xml:space="preserve">variable </w:t>
      </w:r>
      <w:r w:rsidR="0079633A">
        <w:t xml:space="preserve">geographical trends in RSV activity </w:t>
      </w:r>
      <w:r w:rsidR="006757D8">
        <w:t>in</w:t>
      </w:r>
      <w:r w:rsidR="0079633A">
        <w:t xml:space="preserve"> </w:t>
      </w:r>
      <w:r w:rsidR="000B1697">
        <w:t>jurisdictions</w:t>
      </w:r>
      <w:r w:rsidR="00560B64">
        <w:t xml:space="preserve"> who contribute</w:t>
      </w:r>
      <w:r w:rsidR="000B1697">
        <w:t xml:space="preserve"> sentinel laboratory</w:t>
      </w:r>
      <w:r w:rsidR="00560B64">
        <w:t xml:space="preserve"> data, with </w:t>
      </w:r>
      <w:r w:rsidR="005B1319">
        <w:t>SA</w:t>
      </w:r>
      <w:r w:rsidR="00560B64">
        <w:t xml:space="preserve">, </w:t>
      </w:r>
      <w:r w:rsidR="005B1319">
        <w:t>Tas.</w:t>
      </w:r>
      <w:r w:rsidR="000C10BF">
        <w:t>,</w:t>
      </w:r>
      <w:r w:rsidR="00560B64">
        <w:t xml:space="preserve"> and </w:t>
      </w:r>
      <w:r w:rsidR="005B1319">
        <w:t>WA</w:t>
      </w:r>
      <w:r w:rsidR="00560B64">
        <w:t xml:space="preserve"> (all sentinel laboratories) experiencing </w:t>
      </w:r>
      <w:r w:rsidR="00FA48BC">
        <w:t xml:space="preserve">later </w:t>
      </w:r>
      <w:r w:rsidR="00560B64">
        <w:t>peaks in RSV case notifications</w:t>
      </w:r>
      <w:r w:rsidR="00E467C8">
        <w:t xml:space="preserve"> </w:t>
      </w:r>
      <w:r w:rsidR="00FA48BC">
        <w:t>(</w:t>
      </w:r>
      <w:r w:rsidR="00E467C8">
        <w:t>July</w:t>
      </w:r>
      <w:r w:rsidR="00FA48BC">
        <w:t>) compared with</w:t>
      </w:r>
      <w:r w:rsidR="00070500">
        <w:t xml:space="preserve"> </w:t>
      </w:r>
      <w:r w:rsidR="005B1319">
        <w:t>NSW</w:t>
      </w:r>
      <w:r w:rsidR="00070500">
        <w:t xml:space="preserve"> and </w:t>
      </w:r>
      <w:r w:rsidR="005B1319">
        <w:t>Vic.</w:t>
      </w:r>
      <w:r w:rsidR="00FA48BC">
        <w:t xml:space="preserve"> </w:t>
      </w:r>
      <w:r w:rsidR="007847D0">
        <w:t>(</w:t>
      </w:r>
      <w:r w:rsidR="004A5F5E">
        <w:t>Figure 10</w:t>
      </w:r>
      <w:r w:rsidR="007847D0">
        <w:t>).</w:t>
      </w:r>
    </w:p>
    <w:p w14:paraId="16A31A98" w14:textId="48CF203F" w:rsidR="00A715E6" w:rsidRDefault="004A5F5E" w:rsidP="000E02DC">
      <w:pPr>
        <w:pStyle w:val="Caption"/>
      </w:pPr>
      <w:r>
        <w:t>Figure 19</w:t>
      </w:r>
      <w:r w:rsidR="0019761A">
        <w:t>: Number of tests positive (bars) and test positivity (line) for specimens tested by sentinel laboratories by week of report</w:t>
      </w:r>
      <w:r w:rsidR="004E05C7">
        <w:t xml:space="preserve"> and pathogen</w:t>
      </w:r>
      <w:r w:rsidR="0019761A">
        <w:t>*</w:t>
      </w:r>
      <w:r w:rsidR="0019761A">
        <w:rPr>
          <w:vertAlign w:val="superscript"/>
        </w:rPr>
        <w:t>†</w:t>
      </w:r>
      <w:r w:rsidR="0019761A">
        <w:t>, Australia, January to December 2024</w:t>
      </w:r>
    </w:p>
    <w:p w14:paraId="16A31A99" w14:textId="3C5499D2" w:rsidR="00A715E6" w:rsidRDefault="00424634" w:rsidP="00FB7898">
      <w:pPr>
        <w:pStyle w:val="BodyText"/>
        <w:spacing w:before="0" w:after="0" w:line="240" w:lineRule="auto"/>
      </w:pPr>
      <w:r>
        <w:rPr>
          <w:noProof/>
        </w:rPr>
        <w:drawing>
          <wp:inline distT="0" distB="0" distL="0" distR="0" wp14:anchorId="149DDC6B" wp14:editId="200A2C59">
            <wp:extent cx="6184900" cy="5301342"/>
            <wp:effectExtent l="0" t="0" r="0" b="0"/>
            <wp:docPr id="91" name="Picture"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wp:cNvGraphicFramePr/>
            <a:graphic xmlns:a="http://schemas.openxmlformats.org/drawingml/2006/main">
              <a:graphicData uri="http://schemas.openxmlformats.org/drawingml/2006/picture">
                <pic:pic xmlns:pic="http://schemas.openxmlformats.org/drawingml/2006/picture">
                  <pic:nvPicPr>
                    <pic:cNvPr id="91" name="Picture"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6A31A9A" w14:textId="1EC2B833" w:rsidR="00A715E6" w:rsidRDefault="0019761A" w:rsidP="000E02DC">
      <w:pPr>
        <w:pStyle w:val="Smalltext"/>
      </w:pPr>
      <w:r>
        <w:t>Source: Sentinel laboratories, including National Influenza Centres</w:t>
      </w:r>
      <w:r w:rsidR="001264D6">
        <w:t xml:space="preserve">, as </w:t>
      </w:r>
      <w:proofErr w:type="gramStart"/>
      <w:r w:rsidR="001264D6">
        <w:t>at</w:t>
      </w:r>
      <w:proofErr w:type="gramEnd"/>
      <w:r w:rsidR="001264D6">
        <w:t xml:space="preserve"> </w:t>
      </w:r>
      <w:r w:rsidR="003C74CD">
        <w:t>5 March 2025</w:t>
      </w:r>
      <w:r w:rsidR="00CE256D">
        <w:t>.</w:t>
      </w:r>
      <w:r w:rsidR="000E02DC">
        <w:t xml:space="preserve"> </w:t>
      </w:r>
      <w:r>
        <w:t xml:space="preserve">* Number of specimens tested excludes data from </w:t>
      </w:r>
      <w:r w:rsidR="005B1319">
        <w:t>WA</w:t>
      </w:r>
      <w:r>
        <w:t xml:space="preserve"> as testing denominator data are different for the three pathogens in </w:t>
      </w:r>
      <w:r w:rsidR="005B1319">
        <w:t>WA</w:t>
      </w:r>
      <w:r>
        <w:t>.</w:t>
      </w:r>
      <w:r w:rsidR="000E02DC">
        <w:t xml:space="preserve"> </w:t>
      </w:r>
      <w:r>
        <w:t xml:space="preserve">† A small minority of total samples from </w:t>
      </w:r>
      <w:r w:rsidR="005B1319">
        <w:t>Vic.</w:t>
      </w:r>
      <w:r>
        <w:t xml:space="preserve">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16A31A9C" w14:textId="10040CC8" w:rsidR="00A715E6" w:rsidRDefault="00985D06" w:rsidP="009813E6">
      <w:r>
        <w:lastRenderedPageBreak/>
        <w:t>In 2024, t</w:t>
      </w:r>
      <w:r w:rsidR="0019761A">
        <w:t xml:space="preserve">here were 14,998 </w:t>
      </w:r>
      <w:r w:rsidR="008A1BC8">
        <w:t xml:space="preserve">SARS-CoV-2 </w:t>
      </w:r>
      <w:r w:rsidR="0019761A">
        <w:t xml:space="preserve">sequences uploaded to </w:t>
      </w:r>
      <w:proofErr w:type="spellStart"/>
      <w:r w:rsidR="0019761A">
        <w:t>AusTrakka</w:t>
      </w:r>
      <w:proofErr w:type="spellEnd"/>
      <w:r w:rsidR="0019761A">
        <w:t xml:space="preserve"> with dates of collection in 2024. These sequences were from </w:t>
      </w:r>
      <w:r w:rsidR="005B1319">
        <w:t>NSW</w:t>
      </w:r>
      <w:r w:rsidR="0019761A">
        <w:t xml:space="preserve">, </w:t>
      </w:r>
      <w:r w:rsidR="005B1319">
        <w:t>Qld</w:t>
      </w:r>
      <w:r w:rsidR="0019761A">
        <w:t xml:space="preserve">, </w:t>
      </w:r>
      <w:r w:rsidR="005B1319">
        <w:t>SA</w:t>
      </w:r>
      <w:r w:rsidR="0019761A">
        <w:t xml:space="preserve">, </w:t>
      </w:r>
      <w:r w:rsidR="005B1319">
        <w:t>Tas.</w:t>
      </w:r>
      <w:r w:rsidR="0019761A">
        <w:t xml:space="preserve">, </w:t>
      </w:r>
      <w:r w:rsidR="005B1319">
        <w:t>Vic.</w:t>
      </w:r>
      <w:r w:rsidR="0019761A">
        <w:t xml:space="preserve"> and </w:t>
      </w:r>
      <w:r w:rsidR="005B1319">
        <w:t>WA</w:t>
      </w:r>
      <w:r w:rsidR="0019761A">
        <w:t>.</w:t>
      </w:r>
      <w:r>
        <w:t xml:space="preserve"> </w:t>
      </w:r>
      <w:r w:rsidR="0019761A">
        <w:t>All sequences were assigned to the B.1.1.529 (Omicron) or recombinants consisting of one or more Omicron sub-lineages (</w:t>
      </w:r>
      <w:r w:rsidR="004A5F5E">
        <w:t>Figure 20</w:t>
      </w:r>
      <w:r w:rsidR="0019761A">
        <w:t xml:space="preserve">a; </w:t>
      </w:r>
      <w:r w:rsidR="004A5F5E">
        <w:t>Figure 20</w:t>
      </w:r>
      <w:r w:rsidR="0019761A">
        <w:t>b). In 2024:</w:t>
      </w:r>
    </w:p>
    <w:p w14:paraId="16A31A9D" w14:textId="7CD3EBFD" w:rsidR="00A715E6" w:rsidRDefault="0019761A" w:rsidP="001D2466">
      <w:pPr>
        <w:pStyle w:val="ListBullet"/>
      </w:pPr>
      <w:r>
        <w:t>86.5</w:t>
      </w:r>
      <w:r w:rsidR="00B94434">
        <w:t>4</w:t>
      </w:r>
      <w:r>
        <w:t>% (12,</w:t>
      </w:r>
      <w:r w:rsidR="00DF6252">
        <w:t>980</w:t>
      </w:r>
      <w:r>
        <w:t>/14,998) of sequences were from the BA.2 lineage, 12,</w:t>
      </w:r>
      <w:r w:rsidR="00B94434">
        <w:t xml:space="preserve">811 </w:t>
      </w:r>
      <w:r>
        <w:t>of which belonged to JN.1 and associated sub-lineages</w:t>
      </w:r>
    </w:p>
    <w:p w14:paraId="58F2914C" w14:textId="77777777" w:rsidR="00B94434" w:rsidRDefault="0019761A" w:rsidP="001D2466">
      <w:pPr>
        <w:pStyle w:val="ListBullet"/>
      </w:pPr>
      <w:r>
        <w:t>13.4</w:t>
      </w:r>
      <w:r w:rsidR="00B94434">
        <w:t>4</w:t>
      </w:r>
      <w:r>
        <w:t>% (2,016/14,998) of sequences were recombinant or recombinant sub-lineages</w:t>
      </w:r>
    </w:p>
    <w:p w14:paraId="16A31A9E" w14:textId="3A45C0F4" w:rsidR="00A715E6" w:rsidRDefault="00B94434" w:rsidP="001D2466">
      <w:pPr>
        <w:pStyle w:val="ListBullet"/>
      </w:pPr>
      <w:r>
        <w:t>0.01% (</w:t>
      </w:r>
      <w:r w:rsidR="00857E08">
        <w:t>2/14,998</w:t>
      </w:r>
      <w:r>
        <w:t>)</w:t>
      </w:r>
      <w:r w:rsidR="00857E08">
        <w:t xml:space="preserve"> of sequences were from the BA.5 lineage</w:t>
      </w:r>
      <w:r w:rsidR="0019761A">
        <w:t>.</w:t>
      </w:r>
    </w:p>
    <w:p w14:paraId="16A31A9F" w14:textId="37D222D6" w:rsidR="00A715E6" w:rsidRDefault="0019761A" w:rsidP="004A3545">
      <w:r>
        <w:t>JN.1 and associated sub-lineages, including KP.2 and KP.3, represented the dominant variants for most of 2024. From late August 2024, the proportion of XEC sequences increased, leading to an approximately equal proportion of JN.1 (and JN.1 sub-lineages) and XEC sequences by December 2024 (</w:t>
      </w:r>
      <w:r w:rsidR="004A5F5E">
        <w:t>Figure 20</w:t>
      </w:r>
      <w:r>
        <w:t>a).</w:t>
      </w:r>
    </w:p>
    <w:p w14:paraId="16A31AA0" w14:textId="75B10C37" w:rsidR="00A715E6" w:rsidRDefault="0019761A" w:rsidP="004A3545">
      <w:r>
        <w:t xml:space="preserve">The WHO have identified certain sub-sub-lineages and recombinants as variants under monitoring or variants of interest because of their epidemiological, </w:t>
      </w:r>
      <w:r w:rsidR="00EA1407">
        <w:t>genomic</w:t>
      </w:r>
      <w:r>
        <w:t xml:space="preserve">, or </w:t>
      </w:r>
      <w:r w:rsidR="00EA1407">
        <w:t xml:space="preserve">clinical </w:t>
      </w:r>
      <w:r>
        <w:t>features of concern. Select variants under monitoring or variants of interest are highlighted below due to their relevance in the Australian context</w:t>
      </w:r>
      <w:r w:rsidR="004A3545">
        <w:t>.</w:t>
      </w:r>
    </w:p>
    <w:p w14:paraId="16A31AA5" w14:textId="4ED70921" w:rsidR="00A715E6" w:rsidRDefault="0019761A" w:rsidP="002F6378">
      <w:r>
        <w:t xml:space="preserve">On 3 May 2024, JN.1.7, JN.1.18, KP.2, and KP.3 were designated as variants under monitoring. </w:t>
      </w:r>
      <w:r w:rsidR="00D34BFC">
        <w:t>At the time of this report, JN.1.7 is no longer listed as a variant under monitoring by the WHO.</w:t>
      </w:r>
      <w:r w:rsidR="00710688">
        <w:fldChar w:fldCharType="begin"/>
      </w:r>
      <w:r w:rsidR="00FF3579">
        <w:instrText xml:space="preserve"> ADDIN EN.CITE &lt;EndNote&gt;&lt;Cite&gt;&lt;Author&gt;World Health Organization&lt;/Author&gt;&lt;Year&gt;2025&lt;/Year&gt;&lt;RecNum&gt;2819&lt;/RecNum&gt;&lt;DisplayText&gt;&lt;style face="superscript"&gt;20&lt;/style&gt;&lt;/DisplayText&gt;&lt;record&gt;&lt;rec-number&gt;2819&lt;/rec-number&gt;&lt;foreign-keys&gt;&lt;key app="EN" db-id="ptaw2s0tmse5w0exvrh5d2vpdtxat2eaaazf" timestamp="1742521124"&gt;2819&lt;/key&gt;&lt;/foreign-keys&gt;&lt;ref-type name="Web Page"&gt;12&lt;/ref-type&gt;&lt;contributors&gt;&lt;authors&gt;&lt;author&gt;World Health Organization,&lt;/author&gt;&lt;/authors&gt;&lt;/contributors&gt;&lt;titles&gt;&lt;title&gt;Tracking SARS-CoV-2 variants&lt;/title&gt;&lt;/titles&gt;&lt;dates&gt;&lt;year&gt;2025&lt;/year&gt;&lt;/dates&gt;&lt;pub-location&gt;Geneva&lt;/pub-location&gt;&lt;publisher&gt;World Health Organization&lt;/publisher&gt;&lt;work-type&gt;Internet&lt;/work-type&gt;&lt;urls&gt;&lt;related-urls&gt;&lt;url&gt;https://www.who.int/activities/tracking-SARS-CoV-2-variants&lt;/url&gt;&lt;/related-urls&gt;&lt;/urls&gt;&lt;/record&gt;&lt;/Cite&gt;&lt;/EndNote&gt;</w:instrText>
      </w:r>
      <w:r w:rsidR="00710688">
        <w:fldChar w:fldCharType="separate"/>
      </w:r>
      <w:r w:rsidR="00FF3579" w:rsidRPr="00FF3579">
        <w:rPr>
          <w:noProof/>
          <w:vertAlign w:val="superscript"/>
        </w:rPr>
        <w:t>20</w:t>
      </w:r>
      <w:r w:rsidR="00710688">
        <w:fldChar w:fldCharType="end"/>
      </w:r>
      <w:r w:rsidR="00D34BFC">
        <w:t xml:space="preserve"> </w:t>
      </w:r>
      <w:r>
        <w:t>In 2024 there were</w:t>
      </w:r>
      <w:r w:rsidR="002F6378">
        <w:t xml:space="preserve"> </w:t>
      </w:r>
      <w:r>
        <w:t>88 JN.1.7 sequences</w:t>
      </w:r>
      <w:r w:rsidR="002F6378">
        <w:t>,</w:t>
      </w:r>
      <w:r>
        <w:t xml:space="preserve"> 138 JN.1.18 sequences</w:t>
      </w:r>
      <w:r w:rsidR="002F6378">
        <w:t xml:space="preserve">, </w:t>
      </w:r>
      <w:r>
        <w:t xml:space="preserve">839 KP.2 sequences </w:t>
      </w:r>
      <w:r w:rsidR="002F6378">
        <w:t xml:space="preserve">and </w:t>
      </w:r>
      <w:r>
        <w:t xml:space="preserve">5,504 KP.3 sequences identified in </w:t>
      </w:r>
      <w:proofErr w:type="spellStart"/>
      <w:r>
        <w:t>AusTrakka</w:t>
      </w:r>
      <w:proofErr w:type="spellEnd"/>
      <w:r>
        <w:t>.</w:t>
      </w:r>
    </w:p>
    <w:p w14:paraId="16A31AA9" w14:textId="3CF019F1" w:rsidR="00A715E6" w:rsidRDefault="0019761A" w:rsidP="00CB494C">
      <w:r>
        <w:t>On 28 June 2024, LB.1 was designated as a variant under monitoring</w:t>
      </w:r>
      <w:r w:rsidR="0086679D">
        <w:t>. There is limited</w:t>
      </w:r>
      <w:r>
        <w:t xml:space="preserve"> evidence of increased transmissibility and potential for infection even in </w:t>
      </w:r>
      <w:r w:rsidR="004A752A">
        <w:t>vaccinated</w:t>
      </w:r>
      <w:r>
        <w:t xml:space="preserve"> people.</w:t>
      </w:r>
      <w:r w:rsidR="00710688">
        <w:fldChar w:fldCharType="begin"/>
      </w:r>
      <w:r w:rsidR="00C364E0">
        <w:instrText xml:space="preserve"> ADDIN EN.CITE &lt;EndNote&gt;&lt;Cite&gt;&lt;Author&gt;Kaku&lt;/Author&gt;&lt;Year&gt;2024&lt;/Year&gt;&lt;RecNum&gt;2823&lt;/RecNum&gt;&lt;DisplayText&gt;&lt;style face="superscript"&gt;26&lt;/style&gt;&lt;/DisplayText&gt;&lt;record&gt;&lt;rec-number&gt;2823&lt;/rec-number&gt;&lt;foreign-keys&gt;&lt;key app="EN" db-id="ptaw2s0tmse5w0exvrh5d2vpdtxat2eaaazf" timestamp="1742521631"&gt;2823&lt;/key&gt;&lt;/foreign-keys&gt;&lt;ref-type name="Journal Article"&gt;17&lt;/ref-type&gt;&lt;contributors&gt;&lt;authors&gt;&lt;author&gt;Kaku, Yu&lt;/author&gt;&lt;author&gt;Yo, Maximilian Stanley&lt;/author&gt;&lt;author&gt;Tolentino, Jarel Elgin&lt;/author&gt;&lt;author&gt;Uriu, Keiya&lt;/author&gt;&lt;author&gt;Okumura, Kaho&lt;/author&gt;&lt;author&gt;Ito, Jumpei&lt;/author&gt;&lt;author&gt;Sato, Kei&lt;/author&gt;&lt;/authors&gt;&lt;/contributors&gt;&lt;titles&gt;&lt;title&gt;Virological characteristics of the SARS-CoV-2 KP.3, LB.1, and KP.2.3 variants&lt;/title&gt;&lt;secondary-title&gt;Lancet Infect Dis.&lt;/secondary-title&gt;&lt;/titles&gt;&lt;periodical&gt;&lt;full-title&gt;Lancet Infect Dis.&lt;/full-title&gt;&lt;/periodical&gt;&lt;pages&gt;e482-e483&lt;/pages&gt;&lt;volume&gt;24&lt;/volume&gt;&lt;number&gt;8&lt;/number&gt;&lt;dates&gt;&lt;year&gt;2024&lt;/year&gt;&lt;pub-dates&gt;&lt;date&gt;2024/08/01/&lt;/date&gt;&lt;/pub-dates&gt;&lt;/dates&gt;&lt;isbn&gt;1473-3099&lt;/isbn&gt;&lt;urls&gt;&lt;related-urls&gt;&lt;url&gt;https://www.sciencedirect.com/science/article/pii/S1473309924004158&lt;/url&gt;&lt;/related-urls&gt;&lt;/urls&gt;&lt;electronic-resource-num&gt;doi: https://doi.org/10.1016/S1473-3099(24)00415-8&lt;/electronic-resource-num&gt;&lt;/record&gt;&lt;/Cite&gt;&lt;/EndNote&gt;</w:instrText>
      </w:r>
      <w:r w:rsidR="00710688">
        <w:fldChar w:fldCharType="separate"/>
      </w:r>
      <w:r w:rsidR="00E13203" w:rsidRPr="00E13203">
        <w:rPr>
          <w:noProof/>
          <w:vertAlign w:val="superscript"/>
        </w:rPr>
        <w:t>26</w:t>
      </w:r>
      <w:r w:rsidR="00710688">
        <w:fldChar w:fldCharType="end"/>
      </w:r>
      <w:r>
        <w:t xml:space="preserve"> In 2024 there were</w:t>
      </w:r>
      <w:r w:rsidR="00CB494C">
        <w:t xml:space="preserve"> </w:t>
      </w:r>
      <w:r>
        <w:t xml:space="preserve">299 LB.1 sequences identified in </w:t>
      </w:r>
      <w:proofErr w:type="spellStart"/>
      <w:r>
        <w:t>AusTrakka</w:t>
      </w:r>
      <w:proofErr w:type="spellEnd"/>
      <w:r>
        <w:t>.</w:t>
      </w:r>
      <w:r w:rsidR="00203E53">
        <w:t xml:space="preserve"> </w:t>
      </w:r>
      <w:r>
        <w:t>On 19 July 2024, KP.3.1.1 was designated as a variant under monitoring</w:t>
      </w:r>
      <w:r w:rsidR="00AD171E">
        <w:t>. There is</w:t>
      </w:r>
      <w:r>
        <w:t xml:space="preserve"> limited evidence to suggest that KP.3.1.1 may exhibit greater infectivity and immune evasion.</w:t>
      </w:r>
      <w:r w:rsidR="00710688">
        <w:fldChar w:fldCharType="begin"/>
      </w:r>
      <w:r w:rsidR="00C364E0">
        <w:instrText xml:space="preserve"> ADDIN EN.CITE &lt;EndNote&gt;&lt;Cite&gt;&lt;Author&gt;Kaku&lt;/Author&gt;&lt;Year&gt;2024&lt;/Year&gt;&lt;RecNum&gt;2822&lt;/RecNum&gt;&lt;DisplayText&gt;&lt;style face="superscript"&gt;27&lt;/style&gt;&lt;/DisplayText&gt;&lt;record&gt;&lt;rec-number&gt;2822&lt;/rec-number&gt;&lt;foreign-keys&gt;&lt;key app="EN" db-id="ptaw2s0tmse5w0exvrh5d2vpdtxat2eaaazf" timestamp="1742521520"&gt;2822&lt;/key&gt;&lt;/foreign-keys&gt;&lt;ref-type name="Journal Article"&gt;17&lt;/ref-type&gt;&lt;contributors&gt;&lt;authors&gt;&lt;author&gt;Kaku, Yu&lt;/author&gt;&lt;author&gt;Uriu, Keiya&lt;/author&gt;&lt;author&gt;Okumura, Kaho&lt;/author&gt;&lt;author&gt;Ito, Jumpei&lt;/author&gt;&lt;author&gt;Sato, Kei&lt;/author&gt;&lt;/authors&gt;&lt;/contributors&gt;&lt;titles&gt;&lt;title&gt;Virological characteristics of the SARS-CoV-2 KP.3.1.1 variant&lt;/title&gt;&lt;secondary-title&gt;Lancet Infect Dis.&lt;/secondary-title&gt;&lt;/titles&gt;&lt;periodical&gt;&lt;full-title&gt;Lancet Infect Dis.&lt;/full-title&gt;&lt;/periodical&gt;&lt;pages&gt;e609&lt;/pages&gt;&lt;volume&gt;24&lt;/volume&gt;&lt;number&gt;10&lt;/number&gt;&lt;dates&gt;&lt;year&gt;2024&lt;/year&gt;&lt;pub-dates&gt;&lt;date&gt;2024/10/01/&lt;/date&gt;&lt;/pub-dates&gt;&lt;/dates&gt;&lt;isbn&gt;1473-3099&lt;/isbn&gt;&lt;urls&gt;&lt;related-urls&gt;&lt;url&gt;https://www.sciencedirect.com/science/article/pii/S147330992400505X&lt;/url&gt;&lt;/related-urls&gt;&lt;/urls&gt;&lt;electronic-resource-num&gt;doi: https://doi.org/10.1016/S1473-3099(24)00505-X&lt;/electronic-resource-num&gt;&lt;/record&gt;&lt;/Cite&gt;&lt;/EndNote&gt;</w:instrText>
      </w:r>
      <w:r w:rsidR="00710688">
        <w:fldChar w:fldCharType="separate"/>
      </w:r>
      <w:r w:rsidR="00E13203" w:rsidRPr="00E13203">
        <w:rPr>
          <w:noProof/>
          <w:vertAlign w:val="superscript"/>
        </w:rPr>
        <w:t>27</w:t>
      </w:r>
      <w:r w:rsidR="00710688">
        <w:fldChar w:fldCharType="end"/>
      </w:r>
      <w:r>
        <w:t xml:space="preserve"> In 2024 there were</w:t>
      </w:r>
      <w:r w:rsidR="00CB494C">
        <w:t xml:space="preserve"> </w:t>
      </w:r>
      <w:r>
        <w:t xml:space="preserve">2,270 KP.3.1.1 sequences identified in </w:t>
      </w:r>
      <w:proofErr w:type="spellStart"/>
      <w:r>
        <w:t>AusTrakka</w:t>
      </w:r>
      <w:proofErr w:type="spellEnd"/>
      <w:r>
        <w:t>.</w:t>
      </w:r>
    </w:p>
    <w:p w14:paraId="1F38F219" w14:textId="16B228B6" w:rsidR="005057C7" w:rsidRPr="000E02DC" w:rsidRDefault="0019761A" w:rsidP="000E02DC">
      <w:r>
        <w:t>On 24 September 2024, XEC (a recombinant between KS.1.1 [JN.1.13.1.1.1] and KP.3.3) was designated as a variant under monitoring</w:t>
      </w:r>
      <w:r w:rsidR="00DC4009">
        <w:t xml:space="preserve">. There is limited evidence to indicate that XEC may have some </w:t>
      </w:r>
      <w:r>
        <w:t>growth advantage over other circulating variants.</w:t>
      </w:r>
      <w:r w:rsidR="00710688">
        <w:fldChar w:fldCharType="begin"/>
      </w:r>
      <w:r w:rsidR="00E13203">
        <w:instrText xml:space="preserve"> ADDIN EN.CITE &lt;EndNote&gt;&lt;Cite&gt;&lt;Author&gt;World Health Organization Technical Advisory Group on Virus Evolution&lt;/Author&gt;&lt;Year&gt;2024&lt;/Year&gt;&lt;RecNum&gt;2820&lt;/RecNum&gt;&lt;DisplayText&gt;&lt;style face="superscript"&gt;28&lt;/style&gt;&lt;/DisplayText&gt;&lt;record&gt;&lt;rec-number&gt;2820&lt;/rec-number&gt;&lt;foreign-keys&gt;&lt;key app="EN" db-id="ptaw2s0tmse5w0exvrh5d2vpdtxat2eaaazf" timestamp="1742521299"&gt;2820&lt;/key&gt;&lt;/foreign-keys&gt;&lt;ref-type name="Web Page"&gt;12&lt;/ref-type&gt;&lt;contributors&gt;&lt;authors&gt;&lt;author&gt;World Health Organization Technical Advisory Group on Virus Evolution,&lt;/author&gt;&lt;/authors&gt;&lt;/contributors&gt;&lt;titles&gt;&lt;title&gt;Risk evaluation of for SARS-CoV-2 Variant Under Monitoring: XEC&lt;/title&gt;&lt;/titles&gt;&lt;dates&gt;&lt;year&gt;2024&lt;/year&gt;&lt;/dates&gt;&lt;pub-location&gt;Geneva&lt;/pub-location&gt;&lt;publisher&gt;World Health Organization&lt;/publisher&gt;&lt;work-type&gt;Internet&lt;/work-type&gt;&lt;urls&gt;&lt;related-urls&gt;&lt;url&gt;https://www.who.int/docs/default-source/coronaviruse/09122024_xec_ire.pdf&lt;/url&gt;&lt;/related-urls&gt;&lt;/urls&gt;&lt;/record&gt;&lt;/Cite&gt;&lt;/EndNote&gt;</w:instrText>
      </w:r>
      <w:r w:rsidR="00710688">
        <w:fldChar w:fldCharType="separate"/>
      </w:r>
      <w:r w:rsidR="00E13203" w:rsidRPr="00E13203">
        <w:rPr>
          <w:noProof/>
          <w:vertAlign w:val="superscript"/>
        </w:rPr>
        <w:t>28</w:t>
      </w:r>
      <w:r w:rsidR="00710688">
        <w:fldChar w:fldCharType="end"/>
      </w:r>
      <w:r>
        <w:t xml:space="preserve"> In 2024 there were</w:t>
      </w:r>
      <w:r w:rsidR="00F51BBD">
        <w:t xml:space="preserve"> </w:t>
      </w:r>
      <w:r>
        <w:t xml:space="preserve">1,225 XEC sequences identified in </w:t>
      </w:r>
      <w:proofErr w:type="spellStart"/>
      <w:r>
        <w:t>AusTrakka</w:t>
      </w:r>
      <w:proofErr w:type="spellEnd"/>
      <w:r>
        <w:t>.</w:t>
      </w:r>
    </w:p>
    <w:p w14:paraId="16A31AAC" w14:textId="4D41D7BE" w:rsidR="00A715E6" w:rsidRDefault="004A5F5E" w:rsidP="000E02DC">
      <w:pPr>
        <w:pStyle w:val="Caption"/>
      </w:pPr>
      <w:r>
        <w:t>Figure 20</w:t>
      </w:r>
      <w:r w:rsidR="0019761A">
        <w:t xml:space="preserve">a: </w:t>
      </w:r>
      <w:r w:rsidR="00A457F5">
        <w:t xml:space="preserve">SARS-CoV-2 </w:t>
      </w:r>
      <w:r w:rsidR="0019761A">
        <w:t>Omicron sub-lineage* sequences by sample collection date, showing the proportions of sequences per week</w:t>
      </w:r>
      <w:r w:rsidR="007C2A77">
        <w:rPr>
          <w:vertAlign w:val="superscript"/>
        </w:rPr>
        <w:t>†‡</w:t>
      </w:r>
      <w:r w:rsidR="0019761A">
        <w:t xml:space="preserve">, </w:t>
      </w:r>
      <w:r w:rsidR="0019761A" w:rsidRPr="000E02DC">
        <w:t>Australia</w:t>
      </w:r>
      <w:r w:rsidR="0019761A">
        <w:t>, January to December 2024</w:t>
      </w:r>
    </w:p>
    <w:p w14:paraId="281DB4E9" w14:textId="77777777" w:rsidR="000E02DC" w:rsidRDefault="0091228F" w:rsidP="000E02DC">
      <w:pPr>
        <w:pStyle w:val="Smalltext"/>
      </w:pPr>
      <w:r w:rsidRPr="0091228F">
        <w:rPr>
          <w:noProof/>
        </w:rPr>
        <w:drawing>
          <wp:inline distT="0" distB="0" distL="0" distR="0" wp14:anchorId="20040E87" wp14:editId="59158D3B">
            <wp:extent cx="6192520" cy="2477135"/>
            <wp:effectExtent l="0" t="0" r="0" b="0"/>
            <wp:docPr id="800381664" name="Graphic 1"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81664" name="Graphic 1"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pic:cNvPicPr/>
                  </pic:nvPicPr>
                  <pic:blipFill>
                    <a:blip r:embed="rId55">
                      <a:extLst>
                        <a:ext uri="{96DAC541-7B7A-43D3-8B79-37D633B846F1}">
                          <asvg:svgBlip xmlns:asvg="http://schemas.microsoft.com/office/drawing/2016/SVG/main" r:embed="rId56"/>
                        </a:ext>
                      </a:extLst>
                    </a:blip>
                    <a:stretch>
                      <a:fillRect/>
                    </a:stretch>
                  </pic:blipFill>
                  <pic:spPr>
                    <a:xfrm>
                      <a:off x="0" y="0"/>
                      <a:ext cx="6192520" cy="2477135"/>
                    </a:xfrm>
                    <a:prstGeom prst="rect">
                      <a:avLst/>
                    </a:prstGeom>
                  </pic:spPr>
                </pic:pic>
              </a:graphicData>
            </a:graphic>
          </wp:inline>
        </w:drawing>
      </w:r>
      <w:r>
        <w:t xml:space="preserve">Source: </w:t>
      </w:r>
      <w:proofErr w:type="spellStart"/>
      <w:r>
        <w:t>AusTrakka</w:t>
      </w:r>
      <w:proofErr w:type="spellEnd"/>
      <w:r w:rsidR="009B023F">
        <w:t xml:space="preserve">, extracted </w:t>
      </w:r>
      <w:r w:rsidR="009B023F" w:rsidRPr="009B023F">
        <w:t>24 February 2025</w:t>
      </w:r>
      <w:r w:rsidR="00CE256D">
        <w:t>.</w:t>
      </w:r>
    </w:p>
    <w:p w14:paraId="0182C658" w14:textId="3FD6A250" w:rsidR="000E02DC" w:rsidRDefault="0091228F" w:rsidP="000E02DC">
      <w:pPr>
        <w:pStyle w:val="Smalltext"/>
      </w:pPr>
      <w:r>
        <w:t>* Some sub-</w:t>
      </w:r>
      <w:proofErr w:type="spellStart"/>
      <w:r>
        <w:t>sublineages</w:t>
      </w:r>
      <w:proofErr w:type="spellEnd"/>
      <w:r>
        <w:t xml:space="preserve"> are shown alongside their parent </w:t>
      </w:r>
      <w:r w:rsidR="00396C84">
        <w:t>lineage but</w:t>
      </w:r>
      <w:r>
        <w:t xml:space="preserve"> not included in the parent lineage totals. For instance, KP.2 and KP.3 are sub-sub lineages of JN.1, so the total of JN.1 sequences will be higher than shown in the corresponding colour alone and should include the KP.2 and KP.3 totals.</w:t>
      </w:r>
    </w:p>
    <w:p w14:paraId="3855B172" w14:textId="7231F4A1" w:rsidR="000E02DC" w:rsidRDefault="007C2A77" w:rsidP="000E02DC">
      <w:pPr>
        <w:pStyle w:val="Smalltext"/>
      </w:pPr>
      <w:r>
        <w:t>†</w:t>
      </w:r>
      <w:r w:rsidR="0091228F">
        <w:t xml:space="preserve"> Sequences in </w:t>
      </w:r>
      <w:proofErr w:type="spellStart"/>
      <w:r w:rsidR="0091228F">
        <w:t>AusTrakka</w:t>
      </w:r>
      <w:proofErr w:type="spellEnd"/>
      <w:r w:rsidR="0091228F">
        <w:t xml:space="preserve"> aggregated by week and reported based on date of sample collection, not date of sequencing.</w:t>
      </w:r>
    </w:p>
    <w:p w14:paraId="3106B6E5" w14:textId="35D14520" w:rsidR="000E02DC" w:rsidRDefault="007C2A77" w:rsidP="000E02DC">
      <w:pPr>
        <w:pStyle w:val="Smalltext"/>
      </w:pPr>
      <w:r w:rsidRPr="007C2A77">
        <w:t>‡</w:t>
      </w:r>
      <w:r w:rsidR="0091228F">
        <w:t xml:space="preserve"> Proportions in </w:t>
      </w:r>
      <w:r w:rsidR="004A5F5E">
        <w:t>Figure 20</w:t>
      </w:r>
      <w:r w:rsidR="0091228F">
        <w:t xml:space="preserve">A may not be representative when sequence numbers are small; refer to </w:t>
      </w:r>
      <w:r w:rsidR="004A5F5E">
        <w:t>Figure 20</w:t>
      </w:r>
      <w:r w:rsidR="0091228F">
        <w:t>B. Data for earlier weeks may change between reporting periods as sequences with older collection dates are uploaded. These numbers are not equivalent to number of cases, as there are many cases which may not be sequenced. Non</w:t>
      </w:r>
      <w:r w:rsidR="002A0356">
        <w:t xml:space="preserve"> variant of interest</w:t>
      </w:r>
      <w:r w:rsidR="0091228F">
        <w:t xml:space="preserve"> and </w:t>
      </w:r>
      <w:proofErr w:type="spellStart"/>
      <w:r w:rsidR="0091228F">
        <w:t>non</w:t>
      </w:r>
      <w:r w:rsidR="002A0356">
        <w:t xml:space="preserve"> variant</w:t>
      </w:r>
      <w:proofErr w:type="spellEnd"/>
      <w:r w:rsidR="002A0356">
        <w:t xml:space="preserve"> under monitoring</w:t>
      </w:r>
      <w:r w:rsidR="0091228F">
        <w:t xml:space="preserve"> Omicron sub-lineages have been collapsed into parent lineages BA.1, BA.2, BA.3, BA.4 and BA.5.</w:t>
      </w:r>
    </w:p>
    <w:p w14:paraId="16A31AAE" w14:textId="4639C350" w:rsidR="00A715E6" w:rsidRDefault="004A5F5E" w:rsidP="000E02DC">
      <w:pPr>
        <w:pStyle w:val="Caption"/>
      </w:pPr>
      <w:r>
        <w:lastRenderedPageBreak/>
        <w:t>Figure 20</w:t>
      </w:r>
      <w:r w:rsidR="0019761A">
        <w:t xml:space="preserve">b: </w:t>
      </w:r>
      <w:r w:rsidR="00A457F5">
        <w:t xml:space="preserve">SARS-CoV-2 </w:t>
      </w:r>
      <w:r w:rsidR="0019761A">
        <w:t>Omicron sub-lineage* sequences by sample collection date, showing the count of sequences per week</w:t>
      </w:r>
      <w:r w:rsidR="007C2A77">
        <w:rPr>
          <w:vertAlign w:val="superscript"/>
        </w:rPr>
        <w:t>†‡</w:t>
      </w:r>
      <w:r w:rsidR="0019761A">
        <w:t>, Australia, January to December 2024</w:t>
      </w:r>
    </w:p>
    <w:p w14:paraId="6879762C" w14:textId="77777777" w:rsidR="000E02DC" w:rsidRDefault="00760847" w:rsidP="000E02DC">
      <w:pPr>
        <w:pStyle w:val="Smalltext"/>
      </w:pPr>
      <w:r w:rsidRPr="00760847">
        <w:rPr>
          <w:noProof/>
        </w:rPr>
        <w:drawing>
          <wp:inline distT="0" distB="0" distL="0" distR="0" wp14:anchorId="1CA75A51" wp14:editId="361C7F97">
            <wp:extent cx="6192520" cy="2477135"/>
            <wp:effectExtent l="0" t="0" r="0" b="0"/>
            <wp:docPr id="1512926293" name="Graphic 1"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and KP.3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6293" name="Graphic 1"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and KP.3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pic:cNvPicPr/>
                  </pic:nvPicPr>
                  <pic:blipFill>
                    <a:blip r:embed="rId57">
                      <a:extLst>
                        <a:ext uri="{96DAC541-7B7A-43D3-8B79-37D633B846F1}">
                          <asvg:svgBlip xmlns:asvg="http://schemas.microsoft.com/office/drawing/2016/SVG/main" r:embed="rId58"/>
                        </a:ext>
                      </a:extLst>
                    </a:blip>
                    <a:stretch>
                      <a:fillRect/>
                    </a:stretch>
                  </pic:blipFill>
                  <pic:spPr>
                    <a:xfrm>
                      <a:off x="0" y="0"/>
                      <a:ext cx="6192520" cy="2477135"/>
                    </a:xfrm>
                    <a:prstGeom prst="rect">
                      <a:avLst/>
                    </a:prstGeom>
                  </pic:spPr>
                </pic:pic>
              </a:graphicData>
            </a:graphic>
          </wp:inline>
        </w:drawing>
      </w:r>
      <w:r>
        <w:t xml:space="preserve">Source: </w:t>
      </w:r>
      <w:proofErr w:type="spellStart"/>
      <w:r>
        <w:t>AusTrakka</w:t>
      </w:r>
      <w:proofErr w:type="spellEnd"/>
      <w:r w:rsidR="009B023F">
        <w:t xml:space="preserve">, extracted </w:t>
      </w:r>
      <w:r w:rsidR="009B023F" w:rsidRPr="009B023F">
        <w:t>24 February 2025</w:t>
      </w:r>
      <w:r w:rsidR="00CE256D">
        <w:t>.</w:t>
      </w:r>
    </w:p>
    <w:p w14:paraId="182A60FC" w14:textId="5B01A08F" w:rsidR="000E02DC" w:rsidRDefault="00760847" w:rsidP="000E02DC">
      <w:pPr>
        <w:pStyle w:val="Smalltext"/>
      </w:pPr>
      <w: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w:t>
      </w:r>
      <w:r w:rsidR="00DC7B69">
        <w:t>alone and</w:t>
      </w:r>
      <w:r>
        <w:t xml:space="preserve"> should include the KP.2 and KP.3 totals.</w:t>
      </w:r>
    </w:p>
    <w:p w14:paraId="73D30210" w14:textId="6FD34C7E" w:rsidR="000E02DC" w:rsidRDefault="007C2A77" w:rsidP="000E02DC">
      <w:pPr>
        <w:pStyle w:val="Smalltext"/>
      </w:pPr>
      <w:r>
        <w:t>†</w:t>
      </w:r>
      <w:r w:rsidR="00760847">
        <w:t xml:space="preserve"> Sequences in </w:t>
      </w:r>
      <w:proofErr w:type="spellStart"/>
      <w:r w:rsidR="00760847">
        <w:t>AusTrakka</w:t>
      </w:r>
      <w:proofErr w:type="spellEnd"/>
      <w:r w:rsidR="00760847">
        <w:t xml:space="preserve"> aggregated by week and reported based on date of sample collection, not date of sequencing.</w:t>
      </w:r>
    </w:p>
    <w:p w14:paraId="617CE6B6" w14:textId="4890BDED" w:rsidR="000E02DC" w:rsidRDefault="007C2A77" w:rsidP="000E02DC">
      <w:pPr>
        <w:pStyle w:val="Smalltext"/>
      </w:pPr>
      <w:r w:rsidRPr="007C2A77">
        <w:t>‡</w:t>
      </w:r>
      <w:r w:rsidR="00760847">
        <w:t xml:space="preserve"> Data for earlier weeks may change between reporting periods as sequences with older collection dates are uploaded. These numbers are not equivalent to number of cases, as there are many cases which may not be sequenced. </w:t>
      </w:r>
      <w:r w:rsidR="002A0356">
        <w:t xml:space="preserve">Non variant of interest and </w:t>
      </w:r>
      <w:proofErr w:type="spellStart"/>
      <w:r w:rsidR="002A0356">
        <w:t>non variant</w:t>
      </w:r>
      <w:proofErr w:type="spellEnd"/>
      <w:r w:rsidR="002A0356">
        <w:t xml:space="preserve"> under monitoring</w:t>
      </w:r>
      <w:r w:rsidR="00760847">
        <w:t xml:space="preserve"> Omicron sub-lineages have been collapsed into parent lineages BA.1, BA.2, BA.3, BA.4 and BA.5.</w:t>
      </w:r>
    </w:p>
    <w:p w14:paraId="1C425E07" w14:textId="35F3B53E" w:rsidR="0095389D" w:rsidRDefault="0019761A" w:rsidP="000E02DC">
      <w:pPr>
        <w:pStyle w:val="Smalltext"/>
      </w:pPr>
      <w:r>
        <w:t>In 2024, the WHO Collaborating Centre for Reference and Research on Influenza</w:t>
      </w:r>
      <w:r w:rsidR="00912CF1">
        <w:t xml:space="preserve"> (the Centre)</w:t>
      </w:r>
      <w:r>
        <w:t xml:space="preserve"> </w:t>
      </w:r>
      <w:r w:rsidR="009325B6" w:rsidRPr="009325B6">
        <w:t>antigenically</w:t>
      </w:r>
      <w:r w:rsidR="009325B6">
        <w:t xml:space="preserve"> </w:t>
      </w:r>
      <w:r>
        <w:t>characterised 3,920 influenza viruses</w:t>
      </w:r>
      <w:r w:rsidR="009325B6">
        <w:t xml:space="preserve"> from Australia</w:t>
      </w:r>
      <w:r>
        <w:t>, of which</w:t>
      </w:r>
      <w:r w:rsidR="00A13553">
        <w:t xml:space="preserve"> </w:t>
      </w:r>
      <w:r>
        <w:t xml:space="preserve">45.8% (1,794/3,920) </w:t>
      </w:r>
      <w:r w:rsidR="002217C0">
        <w:t>were</w:t>
      </w:r>
      <w:r>
        <w:t xml:space="preserve"> influenza A(H1N1)</w:t>
      </w:r>
      <w:r w:rsidR="00A13553">
        <w:t xml:space="preserve">, </w:t>
      </w:r>
      <w:r>
        <w:t xml:space="preserve">46.9% (1,838/3,920) </w:t>
      </w:r>
      <w:r w:rsidR="002217C0">
        <w:t>were</w:t>
      </w:r>
      <w:r>
        <w:t xml:space="preserve"> influenza A(H3N2)</w:t>
      </w:r>
      <w:r w:rsidR="00A13553">
        <w:t xml:space="preserve">, </w:t>
      </w:r>
      <w:r>
        <w:t xml:space="preserve">7.3% (288/3,920) </w:t>
      </w:r>
      <w:r w:rsidR="002217C0">
        <w:t>were</w:t>
      </w:r>
      <w:r>
        <w:t xml:space="preserve"> influenza B/Victoria</w:t>
      </w:r>
      <w:r w:rsidR="00430E18">
        <w:t xml:space="preserve"> (Table 6)</w:t>
      </w:r>
      <w:r>
        <w:t>.</w:t>
      </w:r>
      <w:r w:rsidR="00AF0AA4">
        <w:t xml:space="preserve"> </w:t>
      </w:r>
      <w:r>
        <w:t xml:space="preserve">In 2024, there </w:t>
      </w:r>
      <w:r w:rsidR="002217C0">
        <w:t>were</w:t>
      </w:r>
      <w:r>
        <w:t xml:space="preserve"> no influenza B/Yamagata viruses characterised by the Centre (</w:t>
      </w:r>
      <w:r w:rsidR="00663F8B">
        <w:t>Table 6</w:t>
      </w:r>
      <w:r>
        <w:t xml:space="preserve">). </w:t>
      </w:r>
    </w:p>
    <w:p w14:paraId="614289FF" w14:textId="64CF88DB" w:rsidR="00AF0AA4" w:rsidRDefault="0019761A" w:rsidP="00673AA8">
      <w:r>
        <w:t>The B/Yamagata lineage was last identified in Australia in a sample typed by the Centre in 2020</w:t>
      </w:r>
      <w:r w:rsidR="00912CF1">
        <w:t>,</w:t>
      </w:r>
      <w:r w:rsidR="001F5D40">
        <w:fldChar w:fldCharType="begin"/>
      </w:r>
      <w:r w:rsidR="00E13203">
        <w:instrText xml:space="preserve"> ADDIN EN.CITE &lt;EndNote&gt;&lt;Cite&gt;&lt;Author&gt;Australian Government Department of Health&lt;/Author&gt;&lt;Year&gt;2020&lt;/Year&gt;&lt;RecNum&gt;2824&lt;/RecNum&gt;&lt;DisplayText&gt;&lt;style face="superscript"&gt;29&lt;/style&gt;&lt;/DisplayText&gt;&lt;record&gt;&lt;rec-number&gt;2824&lt;/rec-number&gt;&lt;foreign-keys&gt;&lt;key app="EN" db-id="ptaw2s0tmse5w0exvrh5d2vpdtxat2eaaazf" timestamp="1742521930"&gt;2824&lt;/key&gt;&lt;/foreign-keys&gt;&lt;ref-type name="Web Page"&gt;12&lt;/ref-type&gt;&lt;contributors&gt;&lt;authors&gt;&lt;author&gt;Australian Government Department of Health,&lt;/author&gt;&lt;/authors&gt;&lt;/contributors&gt;&lt;titles&gt;&lt;title&gt;National 2020 Influenza Season Summary&lt;/title&gt;&lt;/titles&gt;&lt;dates&gt;&lt;year&gt;2020&lt;/year&gt;&lt;/dates&gt;&lt;pub-location&gt;Canberra&lt;/pub-location&gt;&lt;publisher&gt;Australian Government Department of Health&lt;/publisher&gt;&lt;work-type&gt;Internet&lt;/work-type&gt;&lt;urls&gt;&lt;related-urls&gt;&lt;url&gt;https://www.health.gov.au/resources/publications/aisr-2020-national-influenza-season-summary&lt;/url&gt;&lt;/related-urls&gt;&lt;/urls&gt;&lt;/record&gt;&lt;/Cite&gt;&lt;/EndNote&gt;</w:instrText>
      </w:r>
      <w:r w:rsidR="001F5D40">
        <w:fldChar w:fldCharType="separate"/>
      </w:r>
      <w:r w:rsidR="00E13203" w:rsidRPr="00E13203">
        <w:rPr>
          <w:noProof/>
          <w:vertAlign w:val="superscript"/>
        </w:rPr>
        <w:t>29</w:t>
      </w:r>
      <w:r w:rsidR="001F5D40">
        <w:fldChar w:fldCharType="end"/>
      </w:r>
      <w:r w:rsidR="00AF5D5E">
        <w:t xml:space="preserve"> and </w:t>
      </w:r>
      <w:r w:rsidR="00115990">
        <w:t>some</w:t>
      </w:r>
      <w:r w:rsidR="00DB5073">
        <w:t xml:space="preserve"> experts believe the lineage </w:t>
      </w:r>
      <w:r w:rsidR="002C40C7">
        <w:t>could now potentially be</w:t>
      </w:r>
      <w:r w:rsidR="00136950">
        <w:t xml:space="preserve"> extinct </w:t>
      </w:r>
      <w:r w:rsidR="00677FBF">
        <w:t>globally</w:t>
      </w:r>
      <w:r w:rsidR="0093346C">
        <w:t>.</w:t>
      </w:r>
      <w:r w:rsidR="0093346C">
        <w:fldChar w:fldCharType="begin"/>
      </w:r>
      <w:r w:rsidR="00C364E0">
        <w:instrText xml:space="preserve"> ADDIN EN.CITE &lt;EndNote&gt;&lt;Cite&gt;&lt;Author&gt;Barr&lt;/Author&gt;&lt;Year&gt;2024&lt;/Year&gt;&lt;RecNum&gt;2834&lt;/RecNum&gt;&lt;DisplayText&gt;&lt;style face="superscript"&gt;30&lt;/style&gt;&lt;/DisplayText&gt;&lt;record&gt;&lt;rec-number&gt;2834&lt;/rec-number&gt;&lt;foreign-keys&gt;&lt;key app="EN" db-id="ptaw2s0tmse5w0exvrh5d2vpdtxat2eaaazf" timestamp="1742540670"&gt;2834&lt;/key&gt;&lt;/foreign-keys&gt;&lt;ref-type name="Journal Article"&gt;17&lt;/ref-type&gt;&lt;contributors&gt;&lt;authors&gt;&lt;author&gt;Barr, Ian G.&lt;/author&gt;&lt;author&gt;Subbarao, Kanta&lt;/author&gt;&lt;/authors&gt;&lt;/contributors&gt;&lt;titles&gt;&lt;title&gt;Implications of the apparent extinction of B/Yamagata-lineage human influenza viruses&lt;/title&gt;&lt;secondary-title&gt;npj Vaccines&lt;/secondary-title&gt;&lt;/titles&gt;&lt;periodical&gt;&lt;full-title&gt;npj Vaccines&lt;/full-title&gt;&lt;/periodical&gt;&lt;pages&gt;219&lt;/pages&gt;&lt;volume&gt;9&lt;/volume&gt;&lt;number&gt;1&lt;/number&gt;&lt;dates&gt;&lt;year&gt;2024&lt;/year&gt;&lt;pub-dates&gt;&lt;date&gt;2024/11/16&lt;/date&gt;&lt;/pub-dates&gt;&lt;/dates&gt;&lt;isbn&gt;2059-0105&lt;/isbn&gt;&lt;urls&gt;&lt;related-urls&gt;&lt;url&gt;https://doi.org/10.1038/s41541-024-01010-y&lt;/url&gt;&lt;/related-urls&gt;&lt;/urls&gt;&lt;electronic-resource-num&gt;doi: https://doi.org/10.1038/s41541-024-01010-y&lt;/electronic-resource-num&gt;&lt;/record&gt;&lt;/Cite&gt;&lt;/EndNote&gt;</w:instrText>
      </w:r>
      <w:r w:rsidR="0093346C">
        <w:fldChar w:fldCharType="separate"/>
      </w:r>
      <w:r w:rsidR="00E13203" w:rsidRPr="00E13203">
        <w:rPr>
          <w:noProof/>
          <w:vertAlign w:val="superscript"/>
        </w:rPr>
        <w:t>30</w:t>
      </w:r>
      <w:r w:rsidR="0093346C">
        <w:fldChar w:fldCharType="end"/>
      </w:r>
      <w:r w:rsidR="00677FBF">
        <w:t xml:space="preserve"> </w:t>
      </w:r>
      <w:r w:rsidR="00287033" w:rsidRPr="00287033">
        <w:t xml:space="preserve">While there have been </w:t>
      </w:r>
      <w:r w:rsidR="004514E2">
        <w:t>sporadic</w:t>
      </w:r>
      <w:r w:rsidR="00287033" w:rsidRPr="00287033">
        <w:t xml:space="preserve"> reports of </w:t>
      </w:r>
      <w:r w:rsidR="00287033">
        <w:t>influenza B/Yamagata</w:t>
      </w:r>
      <w:r w:rsidR="00287033" w:rsidRPr="00287033">
        <w:t xml:space="preserve"> viruses detected after </w:t>
      </w:r>
      <w:r w:rsidR="00287033">
        <w:t>2020</w:t>
      </w:r>
      <w:r w:rsidR="00287033" w:rsidRPr="00287033">
        <w:t xml:space="preserve">, </w:t>
      </w:r>
      <w:r w:rsidR="003C0DDB">
        <w:t xml:space="preserve">these could potentially have been misreported </w:t>
      </w:r>
      <w:r w:rsidR="002B4DF9">
        <w:t>and</w:t>
      </w:r>
      <w:r w:rsidR="001B1E48">
        <w:t xml:space="preserve"> are not known to have been confirmed by </w:t>
      </w:r>
      <w:r w:rsidR="0037731A">
        <w:t>genomic</w:t>
      </w:r>
      <w:r w:rsidR="001B1E48">
        <w:t xml:space="preserve"> sequencing</w:t>
      </w:r>
      <w:r w:rsidR="009F3DE2">
        <w:t xml:space="preserve">, so </w:t>
      </w:r>
      <w:r w:rsidR="002939C4">
        <w:t>should be interpreted with caution.</w:t>
      </w:r>
      <w:r w:rsidR="0095389D">
        <w:fldChar w:fldCharType="begin"/>
      </w:r>
      <w:r w:rsidR="00C364E0">
        <w:instrText xml:space="preserve"> ADDIN EN.CITE &lt;EndNote&gt;&lt;Cite&gt;&lt;Author&gt;Caini&lt;/Author&gt;&lt;Year&gt;2024&lt;/Year&gt;&lt;RecNum&gt;2830&lt;/RecNum&gt;&lt;DisplayText&gt;&lt;style face="superscript"&gt;31&lt;/style&gt;&lt;/DisplayText&gt;&lt;record&gt;&lt;rec-number&gt;2830&lt;/rec-number&gt;&lt;foreign-keys&gt;&lt;key app="EN" db-id="ptaw2s0tmse5w0exvrh5d2vpdtxat2eaaazf" timestamp="1742524912"&gt;2830&lt;/key&gt;&lt;/foreign-keys&gt;&lt;ref-type name="Journal Article"&gt;17&lt;/ref-type&gt;&lt;contributors&gt;&lt;authors&gt;&lt;author&gt;Caini, Saverio&lt;/author&gt;&lt;author&gt;Meijer, Adam&lt;/author&gt;&lt;author&gt;Nunes, Marta C.&lt;/author&gt;&lt;author&gt;Henaff, Laetitia&lt;/author&gt;&lt;author&gt;Zounon, Malaika&lt;/author&gt;&lt;author&gt;Boudewijns, Bronke&lt;/author&gt;&lt;author&gt;Del Riccio, Marco&lt;/author&gt;&lt;author&gt;Paget, John&lt;/author&gt;&lt;/authors&gt;&lt;/contributors&gt;&lt;titles&gt;&lt;title&gt;Probable extinction of influenza B/Yamagata and its public health implications: a systematic literature review and assessment of global surveillance databases&lt;/title&gt;&lt;secondary-title&gt;Lancet Microbe&lt;/secondary-title&gt;&lt;/titles&gt;&lt;periodical&gt;&lt;full-title&gt;Lancet Microbe&lt;/full-title&gt;&lt;/periodical&gt;&lt;volume&gt;5&lt;/volume&gt;&lt;number&gt;8&lt;/number&gt;&lt;dates&gt;&lt;year&gt;2024&lt;/year&gt;&lt;/dates&gt;&lt;publisher&gt;Elsevier&lt;/publisher&gt;&lt;isbn&gt;2666-5247&lt;/isbn&gt;&lt;urls&gt;&lt;related-urls&gt;&lt;url&gt;https://doi.org/10.1016/S2666-5247(24)00066-1&lt;/url&gt;&lt;/related-urls&gt;&lt;/urls&gt;&lt;electronic-resource-num&gt;doi: https://doi.org/10.1016/S2666-5247(24)00066-1&lt;/electronic-resource-num&gt;&lt;access-date&gt;2025/03/20&lt;/access-date&gt;&lt;/record&gt;&lt;/Cite&gt;&lt;/EndNote&gt;</w:instrText>
      </w:r>
      <w:r w:rsidR="0095389D">
        <w:fldChar w:fldCharType="separate"/>
      </w:r>
      <w:r w:rsidR="00E13203" w:rsidRPr="00E13203">
        <w:rPr>
          <w:noProof/>
          <w:vertAlign w:val="superscript"/>
        </w:rPr>
        <w:t>31</w:t>
      </w:r>
      <w:r w:rsidR="0095389D">
        <w:fldChar w:fldCharType="end"/>
      </w:r>
      <w:r w:rsidR="0093346C" w:rsidDel="0093346C">
        <w:t xml:space="preserve"> </w:t>
      </w:r>
    </w:p>
    <w:p w14:paraId="16A31AB6" w14:textId="75B2A3CB" w:rsidR="00A715E6" w:rsidRDefault="00782BE7" w:rsidP="00673AA8">
      <w:r>
        <w:t xml:space="preserve">In 2024, 1.0% (11/1,151) of the influenza A(H1N1) samples tested </w:t>
      </w:r>
      <w:r w:rsidR="00E42A13">
        <w:t>and</w:t>
      </w:r>
      <w:r>
        <w:t xml:space="preserve"> </w:t>
      </w:r>
      <w:r w:rsidR="00E42A13">
        <w:t xml:space="preserve">0.1% (1/1,227) of the influenza A(H3N2) samples tested </w:t>
      </w:r>
      <w:r>
        <w:t xml:space="preserve">demonstrated </w:t>
      </w:r>
      <w:r w:rsidR="00CB79CF">
        <w:t xml:space="preserve">highly </w:t>
      </w:r>
      <w:r>
        <w:t>reduced inhibition to Oseltamivir. None of the samples tested demonstrated reduced inhibition to Zanamivir.</w:t>
      </w:r>
    </w:p>
    <w:p w14:paraId="16A31AB7" w14:textId="2292FC1B" w:rsidR="00A715E6" w:rsidRDefault="00663F8B" w:rsidP="001D2466">
      <w:pPr>
        <w:pStyle w:val="Caption"/>
      </w:pPr>
      <w:r>
        <w:t>Table 6</w:t>
      </w:r>
      <w:r w:rsidR="0019761A">
        <w:t>: Australian influenza viruses typed by haemagglutination inhibition assay</w:t>
      </w:r>
      <w:r w:rsidR="00C45C12">
        <w:t>, by</w:t>
      </w:r>
      <w:r w:rsidR="0019761A">
        <w:t xml:space="preserve"> jurisdiction*</w:t>
      </w:r>
      <w:r w:rsidR="0019761A">
        <w:rPr>
          <w:vertAlign w:val="superscript"/>
        </w:rPr>
        <w:t>†</w:t>
      </w:r>
      <w:r w:rsidR="0019761A">
        <w:t>, 1 January to 31 December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31 December 2024. In 2024, there were 3,920 influenza virus samples typed including 1,794 influenza A(H1N1) viruses, 1,838 influenza A(H3N2) viruses, 288 B/Victoria viruses, and no influenza B/Yamagata viruses. In 2024, most samples typed were from Victoria (n= 1,255), followed by the Northern Territory (n=824) and New South Wales (n=549). "/>
      </w:tblPr>
      <w:tblGrid>
        <w:gridCol w:w="2584"/>
        <w:gridCol w:w="808"/>
        <w:gridCol w:w="879"/>
        <w:gridCol w:w="710"/>
        <w:gridCol w:w="710"/>
        <w:gridCol w:w="710"/>
        <w:gridCol w:w="795"/>
        <w:gridCol w:w="923"/>
        <w:gridCol w:w="710"/>
        <w:gridCol w:w="923"/>
      </w:tblGrid>
      <w:tr w:rsidR="00A715E6" w14:paraId="16A31AC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E" w14:textId="2EAA3143"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r w:rsidR="003C3704">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BF" w14:textId="646C6D4E"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r w:rsidR="003C3704">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C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A31AC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A715E6" w14:paraId="16A31A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1,794</w:t>
            </w:r>
          </w:p>
        </w:tc>
      </w:tr>
      <w:tr w:rsidR="00A715E6" w14:paraId="16A31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C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1,838</w:t>
            </w:r>
          </w:p>
        </w:tc>
      </w:tr>
      <w:tr w:rsidR="00A715E6" w14:paraId="16A31A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E"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D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288</w:t>
            </w:r>
          </w:p>
        </w:tc>
      </w:tr>
      <w:tr w:rsidR="00A715E6" w14:paraId="16A31AE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9"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A"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B"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C"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D"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A715E6" w14:paraId="16A31A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EF"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0"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1"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2"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3"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4"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5"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6"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7"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31AF8" w14:textId="77777777" w:rsidR="00A715E6" w:rsidRDefault="0019761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3,920</w:t>
            </w:r>
          </w:p>
        </w:tc>
      </w:tr>
    </w:tbl>
    <w:p w14:paraId="16A31AFC" w14:textId="423E3F01" w:rsidR="00A715E6" w:rsidRDefault="0019761A" w:rsidP="000E02DC">
      <w:pPr>
        <w:pStyle w:val="Smalltext"/>
      </w:pPr>
      <w:r>
        <w:t>Source: World Health Organization (WHO) Collaborating Centre for Reference and Research on Influenza</w:t>
      </w:r>
      <w:r w:rsidR="001E394B" w:rsidRPr="00C23A60">
        <w:rPr>
          <w:szCs w:val="18"/>
        </w:rPr>
        <w:t>, extracted 5 March 2025</w:t>
      </w:r>
      <w:r w:rsidR="00CE256D">
        <w:rPr>
          <w:szCs w:val="18"/>
        </w:rPr>
        <w:t>.</w:t>
      </w:r>
      <w:r>
        <w:br/>
        <w:t>*Viruses tested by the WHO Collaborating Centre for Reference and Research on Influenza are not necessarily a random sample of all those in the community.</w:t>
      </w:r>
      <w:r>
        <w:br/>
        <w:t xml:space="preserve">† Jurisdiction indicates the residential location for the individual tested, not the </w:t>
      </w:r>
      <w:r w:rsidR="00172C05">
        <w:t xml:space="preserve">location of the </w:t>
      </w:r>
      <w:r>
        <w:t>submitting laboratory.</w:t>
      </w:r>
      <w:r>
        <w:br w:type="page"/>
      </w:r>
    </w:p>
    <w:p w14:paraId="16A31AFD" w14:textId="77777777" w:rsidR="00A715E6" w:rsidRDefault="0019761A">
      <w:pPr>
        <w:pStyle w:val="Heading1"/>
      </w:pPr>
      <w:bookmarkStart w:id="32" w:name="_Toc194074624"/>
      <w:bookmarkStart w:id="33" w:name="vaccine-coverage-effectiveness-and-match"/>
      <w:bookmarkEnd w:id="30"/>
      <w:r>
        <w:lastRenderedPageBreak/>
        <w:t>Vaccine coverage, effectiveness and match</w:t>
      </w:r>
      <w:bookmarkEnd w:id="32"/>
    </w:p>
    <w:p w14:paraId="45A90A66" w14:textId="27819B83" w:rsidR="00B37DDA" w:rsidRDefault="0019761A" w:rsidP="00B37DDA">
      <w:r>
        <w:t xml:space="preserve">Vaccine </w:t>
      </w:r>
      <w:r w:rsidR="00E12E97">
        <w:t xml:space="preserve">coverage, </w:t>
      </w:r>
      <w:r>
        <w:t>effectiveness and match for acute respiratory infections are monitored from several data sources in Australia.</w:t>
      </w:r>
      <w:r w:rsidR="00B37DDA" w:rsidRPr="00B37DDA">
        <w:t xml:space="preserve"> </w:t>
      </w:r>
      <w:r w:rsidR="00B37DDA">
        <w:t xml:space="preserve">As noted in the Future Directions section, the interim Australian CDC is working on expanding the vaccine coverage and effectiveness reporting included in the Australian Respiratory Surveillance Report series. Until the inclusion of these updated data, </w:t>
      </w:r>
      <w:r w:rsidR="004368A4">
        <w:t xml:space="preserve">COVID-19 </w:t>
      </w:r>
      <w:r w:rsidR="00B37DDA">
        <w:t>vaccine advice and information on the number of administered COVID-19 vaccine doses remain available on the Department of Health and Aged Care web pages.</w:t>
      </w:r>
      <w:r w:rsidR="00B37DDA">
        <w:fldChar w:fldCharType="begin"/>
      </w:r>
      <w:r w:rsidR="00E13203">
        <w:instrText xml:space="preserve"> ADDIN EN.CITE &lt;EndNote&gt;&lt;Cite&gt;&lt;Author&gt;Australian Government Department of Health and Aged Care&lt;/Author&gt;&lt;Year&gt;2025&lt;/Year&gt;&lt;RecNum&gt;2837&lt;/RecNum&gt;&lt;DisplayText&gt;&lt;style face="superscript"&gt;32&lt;/style&gt;&lt;/DisplayText&gt;&lt;record&gt;&lt;rec-number&gt;2837&lt;/rec-number&gt;&lt;foreign-keys&gt;&lt;key app="EN" db-id="ptaw2s0tmse5w0exvrh5d2vpdtxat2eaaazf" timestamp="1742789421"&gt;2837&lt;/key&gt;&lt;/foreign-keys&gt;&lt;ref-type name="Web Page"&gt;12&lt;/ref-type&gt;&lt;contributors&gt;&lt;authors&gt;&lt;author&gt;Australian Government Department of Health and Aged Care,&lt;/author&gt;&lt;/authors&gt;&lt;/contributors&gt;&lt;titles&gt;&lt;title&gt;COVID-19 vaccines&lt;/title&gt;&lt;/titles&gt;&lt;dates&gt;&lt;year&gt;2025&lt;/year&gt;&lt;/dates&gt;&lt;pub-location&gt;Canberra&lt;/pub-location&gt;&lt;publisher&gt;Australian Government Department of Health and Aged Care&lt;/publisher&gt;&lt;work-type&gt;Internet&lt;/work-type&gt;&lt;urls&gt;&lt;related-urls&gt;&lt;url&gt;https://www.health.gov.au/our-work/covid-19-vaccines&lt;/url&gt;&lt;/related-urls&gt;&lt;/urls&gt;&lt;/record&gt;&lt;/Cite&gt;&lt;/EndNote&gt;</w:instrText>
      </w:r>
      <w:r w:rsidR="00B37DDA">
        <w:fldChar w:fldCharType="separate"/>
      </w:r>
      <w:r w:rsidR="00E13203" w:rsidRPr="00E13203">
        <w:rPr>
          <w:noProof/>
          <w:vertAlign w:val="superscript"/>
        </w:rPr>
        <w:t>32</w:t>
      </w:r>
      <w:r w:rsidR="00B37DDA">
        <w:fldChar w:fldCharType="end"/>
      </w:r>
      <w:r w:rsidR="00DA2144">
        <w:t xml:space="preserve"> </w:t>
      </w:r>
      <w:r w:rsidR="000556BA">
        <w:t xml:space="preserve">Advice </w:t>
      </w:r>
      <w:r w:rsidR="0054284D">
        <w:t>for</w:t>
      </w:r>
      <w:r w:rsidR="000556BA">
        <w:t xml:space="preserve"> influenza</w:t>
      </w:r>
      <w:r w:rsidR="0054284D">
        <w:fldChar w:fldCharType="begin"/>
      </w:r>
      <w:r w:rsidR="00E13203">
        <w:instrText xml:space="preserve"> ADDIN EN.CITE &lt;EndNote&gt;&lt;Cite&gt;&lt;Author&gt;Australian Government Department of Health and Aged Care&lt;/Author&gt;&lt;Year&gt;2025&lt;/Year&gt;&lt;RecNum&gt;2825&lt;/RecNum&gt;&lt;DisplayText&gt;&lt;style face="superscript"&gt;33&lt;/style&gt;&lt;/DisplayText&gt;&lt;record&gt;&lt;rec-number&gt;2825&lt;/rec-number&gt;&lt;foreign-keys&gt;&lt;key app="EN" db-id="ptaw2s0tmse5w0exvrh5d2vpdtxat2eaaazf" timestamp="1742523116"&gt;2825&lt;/key&gt;&lt;/foreign-keys&gt;&lt;ref-type name="Web Page"&gt;12&lt;/ref-type&gt;&lt;contributors&gt;&lt;authors&gt;&lt;author&gt;Australian Government Department of Health and Aged Care,&lt;/author&gt;&lt;/authors&gt;&lt;/contributors&gt;&lt;titles&gt;&lt;title&gt;Influenza (flu) vaccine&lt;/title&gt;&lt;/titles&gt;&lt;dates&gt;&lt;year&gt;2025&lt;/year&gt;&lt;/dates&gt;&lt;pub-location&gt;Canberra&lt;/pub-location&gt;&lt;publisher&gt;Australian Government Department of Health and Aged Care&lt;/publisher&gt;&lt;work-type&gt;Internet &lt;/work-type&gt;&lt;urls&gt;&lt;related-urls&gt;&lt;url&gt;https://www.health.gov.au/topics/immunisation/vaccines/influenza-flu-vaccine&lt;/url&gt;&lt;/related-urls&gt;&lt;/urls&gt;&lt;/record&gt;&lt;/Cite&gt;&lt;/EndNote&gt;</w:instrText>
      </w:r>
      <w:r w:rsidR="0054284D">
        <w:fldChar w:fldCharType="separate"/>
      </w:r>
      <w:r w:rsidR="00E13203" w:rsidRPr="00E13203">
        <w:rPr>
          <w:noProof/>
          <w:vertAlign w:val="superscript"/>
        </w:rPr>
        <w:t>33</w:t>
      </w:r>
      <w:r w:rsidR="0054284D">
        <w:fldChar w:fldCharType="end"/>
      </w:r>
      <w:r w:rsidR="000556BA">
        <w:t xml:space="preserve"> and RSV</w:t>
      </w:r>
      <w:r w:rsidR="00DE4B99">
        <w:fldChar w:fldCharType="begin"/>
      </w:r>
      <w:r w:rsidR="00E13203">
        <w:instrText xml:space="preserve"> ADDIN EN.CITE &lt;EndNote&gt;&lt;Cite&gt;&lt;Author&gt;Australian Government Department of Health and Aged Care&lt;/Author&gt;&lt;Year&gt;2025&lt;/Year&gt;&lt;RecNum&gt;2838&lt;/RecNum&gt;&lt;DisplayText&gt;&lt;style face="superscript"&gt;34&lt;/style&gt;&lt;/DisplayText&gt;&lt;record&gt;&lt;rec-number&gt;2838&lt;/rec-number&gt;&lt;foreign-keys&gt;&lt;key app="EN" db-id="ptaw2s0tmse5w0exvrh5d2vpdtxat2eaaazf" timestamp="1742789714"&gt;2838&lt;/key&gt;&lt;/foreign-keys&gt;&lt;ref-type name="Web Page"&gt;12&lt;/ref-type&gt;&lt;contributors&gt;&lt;authors&gt;&lt;author&gt;Australian Government Department of Health and Aged Care,&lt;/author&gt;&lt;/authors&gt;&lt;/contributors&gt;&lt;titles&gt;&lt;title&gt;Respiratory syncytial virus (RSV) vaccine&lt;/title&gt;&lt;/titles&gt;&lt;dates&gt;&lt;year&gt;2025&lt;/year&gt;&lt;/dates&gt;&lt;pub-location&gt;Canberra&lt;/pub-location&gt;&lt;publisher&gt;Australian Government Department of Health and Aged Care&lt;/publisher&gt;&lt;work-type&gt;Internet&lt;/work-type&gt;&lt;urls&gt;&lt;related-urls&gt;&lt;url&gt;https://www.health.gov.au/topics/immunisation/vaccines/respiratory-syncytial-virus-rsv-vaccine&lt;/url&gt;&lt;/related-urls&gt;&lt;/urls&gt;&lt;/record&gt;&lt;/Cite&gt;&lt;/EndNote&gt;</w:instrText>
      </w:r>
      <w:r w:rsidR="00DE4B99">
        <w:fldChar w:fldCharType="separate"/>
      </w:r>
      <w:r w:rsidR="00E13203" w:rsidRPr="00E13203">
        <w:rPr>
          <w:noProof/>
          <w:vertAlign w:val="superscript"/>
        </w:rPr>
        <w:t>34</w:t>
      </w:r>
      <w:r w:rsidR="00DE4B99">
        <w:fldChar w:fldCharType="end"/>
      </w:r>
      <w:r w:rsidR="000556BA">
        <w:t xml:space="preserve"> vaccines </w:t>
      </w:r>
      <w:r w:rsidR="004B2B56">
        <w:t xml:space="preserve">is </w:t>
      </w:r>
      <w:r w:rsidR="000556BA">
        <w:t xml:space="preserve">also available. </w:t>
      </w:r>
    </w:p>
    <w:p w14:paraId="16A31AFF" w14:textId="2A90EAC4" w:rsidR="00A715E6" w:rsidRDefault="0019761A" w:rsidP="000E02DC">
      <w:pPr>
        <w:pStyle w:val="Heading2"/>
      </w:pPr>
      <w:bookmarkStart w:id="34" w:name="_Toc194074625"/>
      <w:bookmarkStart w:id="35" w:name="vaccine-coverage"/>
      <w:r>
        <w:t>Vaccine coverage</w:t>
      </w:r>
      <w:bookmarkEnd w:id="34"/>
    </w:p>
    <w:p w14:paraId="1F0FD508" w14:textId="77777777" w:rsidR="00B35589" w:rsidRDefault="003E7E67" w:rsidP="007C556A">
      <w:r w:rsidRPr="005B61F5">
        <w:t xml:space="preserve">Influenza virus strains change year to year, so annual vaccination before the peak </w:t>
      </w:r>
      <w:r w:rsidR="00043DCD">
        <w:t>of the</w:t>
      </w:r>
      <w:r w:rsidRPr="005B61F5">
        <w:t xml:space="preserve"> influenza season will provide Australians with the best protection against influenza and its complications. </w:t>
      </w:r>
      <w:r w:rsidR="00D370FD" w:rsidRPr="005B61F5">
        <w:t xml:space="preserve">The seasonal influenza vaccine is recommended for everyone aged 6 months and over. In Australia, </w:t>
      </w:r>
      <w:r w:rsidR="007252D8">
        <w:t xml:space="preserve">the influenza vaccine </w:t>
      </w:r>
      <w:r w:rsidR="00D370FD" w:rsidRPr="005B61F5">
        <w:t xml:space="preserve">is available </w:t>
      </w:r>
      <w:r w:rsidR="500EF1A7">
        <w:t xml:space="preserve">for </w:t>
      </w:r>
      <w:r w:rsidR="00D370FD">
        <w:t>free</w:t>
      </w:r>
      <w:r w:rsidR="00D370FD" w:rsidRPr="005B61F5">
        <w:t xml:space="preserve"> under the National Immunisation Program for people most at risk of severe influenza infection</w:t>
      </w:r>
      <w:r w:rsidR="00B35589">
        <w:t xml:space="preserve">, including: </w:t>
      </w:r>
    </w:p>
    <w:p w14:paraId="68B39C69" w14:textId="77777777" w:rsidR="00712A0D" w:rsidRDefault="00712A0D" w:rsidP="001D2466">
      <w:pPr>
        <w:pStyle w:val="ListBullet"/>
      </w:pPr>
      <w:r w:rsidRPr="00712A0D">
        <w:t>Aboriginal and Torres Strait Islander people aged 6 months and over</w:t>
      </w:r>
    </w:p>
    <w:p w14:paraId="1CAB0FA2" w14:textId="77777777" w:rsidR="000C4962" w:rsidRDefault="000C4962" w:rsidP="001D2466">
      <w:pPr>
        <w:pStyle w:val="ListBullet"/>
      </w:pPr>
      <w:r>
        <w:t>c</w:t>
      </w:r>
      <w:r w:rsidRPr="000C4962">
        <w:t>hildren aged 6 months to under 5 years</w:t>
      </w:r>
    </w:p>
    <w:p w14:paraId="666EC48B" w14:textId="77777777" w:rsidR="000C4962" w:rsidRDefault="000C4962" w:rsidP="001D2466">
      <w:pPr>
        <w:pStyle w:val="ListBullet"/>
      </w:pPr>
      <w:r>
        <w:t xml:space="preserve">pregnant people </w:t>
      </w:r>
    </w:p>
    <w:p w14:paraId="2200CEBC" w14:textId="77777777" w:rsidR="00B42BB2" w:rsidRDefault="000C4962" w:rsidP="001D2466">
      <w:pPr>
        <w:pStyle w:val="ListBullet"/>
      </w:pPr>
      <w:r>
        <w:t>people aged 65 years and over</w:t>
      </w:r>
    </w:p>
    <w:p w14:paraId="080A6146" w14:textId="51DCEA12" w:rsidR="003E7E67" w:rsidRPr="005B61F5" w:rsidRDefault="00B42BB2" w:rsidP="001D2466">
      <w:pPr>
        <w:pStyle w:val="ListBullet"/>
      </w:pPr>
      <w:r>
        <w:t xml:space="preserve">people aged 6 months and over who have </w:t>
      </w:r>
      <w:r w:rsidR="006B5C62">
        <w:t>medical</w:t>
      </w:r>
      <w:r>
        <w:t xml:space="preserve"> conditions that mean they have a higher risk of severe infection</w:t>
      </w:r>
      <w:r w:rsidR="00A035A4">
        <w:t>.</w:t>
      </w:r>
      <w:r w:rsidR="006E5E14">
        <w:fldChar w:fldCharType="begin"/>
      </w:r>
      <w:r w:rsidR="00E13203">
        <w:instrText xml:space="preserve"> ADDIN EN.CITE &lt;EndNote&gt;&lt;Cite&gt;&lt;Author&gt;Australian Government Department of Health and Aged Care&lt;/Author&gt;&lt;Year&gt;2025&lt;/Year&gt;&lt;RecNum&gt;2825&lt;/RecNum&gt;&lt;DisplayText&gt;&lt;style face="superscript"&gt;33&lt;/style&gt;&lt;/DisplayText&gt;&lt;record&gt;&lt;rec-number&gt;2825&lt;/rec-number&gt;&lt;foreign-keys&gt;&lt;key app="EN" db-id="ptaw2s0tmse5w0exvrh5d2vpdtxat2eaaazf" timestamp="1742523116"&gt;2825&lt;/key&gt;&lt;/foreign-keys&gt;&lt;ref-type name="Web Page"&gt;12&lt;/ref-type&gt;&lt;contributors&gt;&lt;authors&gt;&lt;author&gt;Australian Government Department of Health and Aged Care,&lt;/author&gt;&lt;/authors&gt;&lt;/contributors&gt;&lt;titles&gt;&lt;title&gt;Influenza (flu) vaccine&lt;/title&gt;&lt;/titles&gt;&lt;dates&gt;&lt;year&gt;2025&lt;/year&gt;&lt;/dates&gt;&lt;pub-location&gt;Canberra&lt;/pub-location&gt;&lt;publisher&gt;Australian Government Department of Health and Aged Care&lt;/publisher&gt;&lt;work-type&gt;Internet &lt;/work-type&gt;&lt;urls&gt;&lt;related-urls&gt;&lt;url&gt;https://www.health.gov.au/topics/immunisation/vaccines/influenza-flu-vaccine&lt;/url&gt;&lt;/related-urls&gt;&lt;/urls&gt;&lt;/record&gt;&lt;/Cite&gt;&lt;/EndNote&gt;</w:instrText>
      </w:r>
      <w:r w:rsidR="006E5E14">
        <w:fldChar w:fldCharType="separate"/>
      </w:r>
      <w:r w:rsidR="00E13203" w:rsidRPr="00712A0D">
        <w:rPr>
          <w:noProof/>
          <w:vertAlign w:val="superscript"/>
        </w:rPr>
        <w:t>33</w:t>
      </w:r>
      <w:r w:rsidR="006E5E14">
        <w:fldChar w:fldCharType="end"/>
      </w:r>
      <w:r w:rsidR="00D370FD" w:rsidRPr="005B61F5">
        <w:t xml:space="preserve"> </w:t>
      </w:r>
    </w:p>
    <w:p w14:paraId="25C709FE" w14:textId="42D5115B" w:rsidR="004C35D6" w:rsidRPr="005B61F5" w:rsidRDefault="00CD3F98" w:rsidP="007C556A">
      <w:r w:rsidRPr="005B61F5">
        <w:t>In 2024</w:t>
      </w:r>
      <w:r w:rsidR="001A7832" w:rsidRPr="005B61F5">
        <w:t xml:space="preserve"> (up to 6 October 2024)</w:t>
      </w:r>
      <w:r w:rsidRPr="005B61F5">
        <w:t>,</w:t>
      </w:r>
      <w:r w:rsidR="0036547D" w:rsidRPr="005B61F5">
        <w:t xml:space="preserve"> estimated</w:t>
      </w:r>
      <w:r w:rsidRPr="005B61F5">
        <w:t xml:space="preserve"> </w:t>
      </w:r>
      <w:r w:rsidR="001A7832" w:rsidRPr="005B61F5">
        <w:t>influenza vaccine coverage</w:t>
      </w:r>
      <w:r w:rsidR="00E26B41" w:rsidRPr="005B61F5">
        <w:t xml:space="preserve"> in the Australian </w:t>
      </w:r>
      <w:r w:rsidR="0036547D" w:rsidRPr="005B61F5">
        <w:t>population was 30.1%, which is lower than in 2021 (31.1%), 2022 (</w:t>
      </w:r>
      <w:r w:rsidR="0003326E" w:rsidRPr="005B61F5">
        <w:t>38.4%</w:t>
      </w:r>
      <w:r w:rsidR="0036547D" w:rsidRPr="005B61F5">
        <w:t>) and 2023</w:t>
      </w:r>
      <w:r w:rsidR="0003326E" w:rsidRPr="005B61F5">
        <w:t xml:space="preserve"> (32.1%)</w:t>
      </w:r>
      <w:r w:rsidR="0036547D" w:rsidRPr="005B61F5">
        <w:t xml:space="preserve">. </w:t>
      </w:r>
      <w:r w:rsidR="003A5AA4" w:rsidRPr="003A5AA4">
        <w:t>Across age groups, influenza vaccine coverage was much higher in those aged 65 years and over (61.1%) than in those aged 5–64 years (22.7%), or &gt;6 months to &lt;5 years (26.1%).</w:t>
      </w:r>
      <w:r w:rsidR="003A5AA4">
        <w:t xml:space="preserve"> </w:t>
      </w:r>
      <w:r w:rsidR="00EF65D0" w:rsidRPr="00EF65D0">
        <w:t>While coverage rates for those aged 65 years and over remain higher compared to other age groups, there has been a decline in coverage rates from 2023 to 2024</w:t>
      </w:r>
      <w:r w:rsidR="00EF65D0">
        <w:t xml:space="preserve">. </w:t>
      </w:r>
      <w:r w:rsidR="00FA1449" w:rsidRPr="005B61F5">
        <w:t>In 2024 (up to 6 October 2024), estimated influenza vaccine coverage</w:t>
      </w:r>
      <w:r w:rsidR="00FA1449">
        <w:t xml:space="preserve"> varied between jurisdictions</w:t>
      </w:r>
      <w:r w:rsidR="00A25FE3">
        <w:t>, ranging from</w:t>
      </w:r>
      <w:r w:rsidR="00FF3B9F">
        <w:t xml:space="preserve"> 24.8%</w:t>
      </w:r>
      <w:r w:rsidR="00713983">
        <w:t xml:space="preserve"> in the </w:t>
      </w:r>
      <w:r w:rsidR="005B1319">
        <w:t>NT</w:t>
      </w:r>
      <w:r w:rsidR="00713983">
        <w:t xml:space="preserve"> to </w:t>
      </w:r>
      <w:r w:rsidR="00A564B7">
        <w:t>38.3%</w:t>
      </w:r>
      <w:r w:rsidR="00713983">
        <w:t xml:space="preserve"> in the </w:t>
      </w:r>
      <w:r w:rsidR="005B1319">
        <w:t>ACT</w:t>
      </w:r>
      <w:r w:rsidR="00A564B7">
        <w:t>.</w:t>
      </w:r>
    </w:p>
    <w:p w14:paraId="2581B8AC" w14:textId="0F310FB4" w:rsidR="00B6189F" w:rsidRPr="002517AA" w:rsidRDefault="009B7B0D" w:rsidP="007C556A">
      <w:r w:rsidRPr="005B61F5">
        <w:t>In 2024 (up to 6 October 2024), estimated</w:t>
      </w:r>
      <w:r w:rsidR="00B6189F" w:rsidRPr="005B61F5">
        <w:t xml:space="preserve"> influenza vaccine coverage for Aboriginal and Torres Strait Islander p</w:t>
      </w:r>
      <w:r w:rsidRPr="005B61F5">
        <w:t>opulations</w:t>
      </w:r>
      <w:r w:rsidR="00F44402" w:rsidRPr="005B61F5">
        <w:t xml:space="preserve"> </w:t>
      </w:r>
      <w:r w:rsidR="00DF267B" w:rsidRPr="005B61F5">
        <w:t xml:space="preserve">(22.6%) </w:t>
      </w:r>
      <w:r w:rsidR="00F44402" w:rsidRPr="005B61F5">
        <w:t>was lower than the total Australian population</w:t>
      </w:r>
      <w:r w:rsidR="00DF267B" w:rsidRPr="005B61F5">
        <w:t xml:space="preserve"> (30.1%). </w:t>
      </w:r>
      <w:r w:rsidR="00305811">
        <w:t>In 202</w:t>
      </w:r>
      <w:r w:rsidR="007E14B7">
        <w:t>4</w:t>
      </w:r>
      <w:r w:rsidR="00305811">
        <w:t xml:space="preserve">, </w:t>
      </w:r>
      <w:r w:rsidR="00305811" w:rsidRPr="003E10E0">
        <w:t xml:space="preserve">estimated influenza vaccine coverage for Aboriginal and Torres Strait Islander populations </w:t>
      </w:r>
      <w:r w:rsidR="00305811">
        <w:t xml:space="preserve">was slightly </w:t>
      </w:r>
      <w:r w:rsidR="007E14B7">
        <w:t xml:space="preserve">lower than in 2023 </w:t>
      </w:r>
      <w:r w:rsidR="001975D7">
        <w:t>(24.5%)</w:t>
      </w:r>
      <w:r w:rsidR="00305811">
        <w:t xml:space="preserve">. </w:t>
      </w:r>
      <w:r w:rsidR="004E5884">
        <w:t>Across age groups</w:t>
      </w:r>
      <w:r w:rsidR="265A5AC4">
        <w:t xml:space="preserve"> for Aboriginal and Torres Strait Islander populations</w:t>
      </w:r>
      <w:r w:rsidR="004E5884" w:rsidRPr="003E10E0">
        <w:t>, influenza vaccine coverage was much higher in those aged 65 years and over (6</w:t>
      </w:r>
      <w:r w:rsidR="00104216">
        <w:t>0</w:t>
      </w:r>
      <w:r w:rsidR="004E5884" w:rsidRPr="003E10E0">
        <w:t>.</w:t>
      </w:r>
      <w:r w:rsidR="00104216">
        <w:t>9</w:t>
      </w:r>
      <w:r w:rsidR="004E5884" w:rsidRPr="003E10E0">
        <w:t>%) than in those aged</w:t>
      </w:r>
      <w:r w:rsidR="004E5884">
        <w:t xml:space="preserve"> 5–64 years (</w:t>
      </w:r>
      <w:r w:rsidR="00136604">
        <w:t>19</w:t>
      </w:r>
      <w:r w:rsidR="004E5884">
        <w:t>.</w:t>
      </w:r>
      <w:r w:rsidR="00136604">
        <w:t>9</w:t>
      </w:r>
      <w:r w:rsidR="004E5884">
        <w:t>%), or</w:t>
      </w:r>
      <w:r w:rsidR="004E5884" w:rsidRPr="003E10E0">
        <w:t xml:space="preserve"> &gt;6 months to &lt;</w:t>
      </w:r>
      <w:r w:rsidR="004E5884">
        <w:t>5</w:t>
      </w:r>
      <w:r w:rsidR="004E5884" w:rsidRPr="003E10E0">
        <w:t xml:space="preserve"> years (</w:t>
      </w:r>
      <w:r w:rsidR="00136604">
        <w:t>19</w:t>
      </w:r>
      <w:r w:rsidR="004E5884" w:rsidRPr="003E10E0">
        <w:t>.</w:t>
      </w:r>
      <w:r w:rsidR="00136604">
        <w:t>3</w:t>
      </w:r>
      <w:r w:rsidR="004E5884" w:rsidRPr="003E10E0">
        <w:t>%)</w:t>
      </w:r>
      <w:r w:rsidR="004E5884">
        <w:t>.</w:t>
      </w:r>
      <w:r w:rsidR="00753FDA">
        <w:t xml:space="preserve"> </w:t>
      </w:r>
      <w:r w:rsidR="00DC517A" w:rsidRPr="00DC517A">
        <w:t xml:space="preserve">While coverage rates for those aged 65 years and over remain higher compared to other age groups, there has been a decline in coverage rates from 2023 to 2024. </w:t>
      </w:r>
      <w:r w:rsidR="00DC458B">
        <w:t>I</w:t>
      </w:r>
      <w:r w:rsidR="00DC458B" w:rsidRPr="005B61F5">
        <w:t>n 2024 (up to 6 October 2024), estimated influenza vaccine coverage</w:t>
      </w:r>
      <w:r w:rsidR="00DC458B">
        <w:t xml:space="preserve"> among Aboriginal and Torres Strait Islander populations varied between jurisdictions, ranging from 18.1%</w:t>
      </w:r>
      <w:r w:rsidR="00713983">
        <w:t xml:space="preserve"> in </w:t>
      </w:r>
      <w:r w:rsidR="005B1319">
        <w:t>WA</w:t>
      </w:r>
      <w:r w:rsidR="00713983">
        <w:t xml:space="preserve"> to </w:t>
      </w:r>
      <w:r w:rsidR="00DC458B">
        <w:t>3</w:t>
      </w:r>
      <w:r w:rsidR="008B78B6">
        <w:t>2</w:t>
      </w:r>
      <w:r w:rsidR="00DC458B">
        <w:t>.</w:t>
      </w:r>
      <w:r w:rsidR="008B78B6">
        <w:t>8</w:t>
      </w:r>
      <w:r w:rsidR="00DC458B">
        <w:t>%</w:t>
      </w:r>
      <w:r w:rsidR="008B78B6">
        <w:t xml:space="preserve"> in the </w:t>
      </w:r>
      <w:r w:rsidR="005B1319">
        <w:t>NT</w:t>
      </w:r>
      <w:r w:rsidR="008B78B6">
        <w:t>.</w:t>
      </w:r>
    </w:p>
    <w:p w14:paraId="16A31B01" w14:textId="0453654B" w:rsidR="00A715E6" w:rsidRDefault="0019761A" w:rsidP="000E02DC">
      <w:pPr>
        <w:pStyle w:val="Heading2"/>
      </w:pPr>
      <w:bookmarkStart w:id="36" w:name="_Toc194074626"/>
      <w:bookmarkStart w:id="37" w:name="vaccine-effectiveness"/>
      <w:bookmarkEnd w:id="35"/>
      <w:r>
        <w:t>Vaccine effectiveness</w:t>
      </w:r>
      <w:bookmarkEnd w:id="36"/>
    </w:p>
    <w:p w14:paraId="16A31B02" w14:textId="3205D19B" w:rsidR="00A715E6" w:rsidRDefault="0019761A" w:rsidP="007C556A">
      <w:r>
        <w:t>Vaccine effectiveness is the reduction in risk of influenza and its complications in those vaccinated, compared to those not vaccinated. Vaccine effectiveness is typically between 40</w:t>
      </w:r>
      <w:r w:rsidR="004F3FA0">
        <w:t>–</w:t>
      </w:r>
      <w:r>
        <w:t>60%,</w:t>
      </w:r>
      <w:r w:rsidR="003F2707">
        <w:fldChar w:fldCharType="begin"/>
      </w:r>
      <w:r w:rsidR="00C364E0">
        <w:instrText xml:space="preserve"> ADDIN EN.CITE &lt;EndNote&gt;&lt;Cite&gt;&lt;Author&gt;Trombetta&lt;/Author&gt;&lt;Year&gt;2022&lt;/Year&gt;&lt;RecNum&gt;2826&lt;/RecNum&gt;&lt;DisplayText&gt;&lt;style face="superscript"&gt;35&lt;/style&gt;&lt;/DisplayText&gt;&lt;record&gt;&lt;rec-number&gt;2826&lt;/rec-number&gt;&lt;foreign-keys&gt;&lt;key app="EN" db-id="ptaw2s0tmse5w0exvrh5d2vpdtxat2eaaazf" timestamp="1742523193"&gt;2826&lt;/key&gt;&lt;/foreign-keys&gt;&lt;ref-type name="Journal Article"&gt;17&lt;/ref-type&gt;&lt;contributors&gt;&lt;authors&gt;&lt;author&gt;Trombetta, Claudia M.&lt;/author&gt;&lt;author&gt;Kistner, Otfried&lt;/author&gt;&lt;author&gt;Montomoli, Emanuele&lt;/author&gt;&lt;author&gt;Viviani, Simonetta&lt;/author&gt;&lt;author&gt;Marchi, Serena&lt;/author&gt;&lt;/authors&gt;&lt;/contributors&gt;&lt;titles&gt;&lt;title&gt;Influenza Viruses and Vaccines: The Role of Vaccine Effectiveness Studies for Evaluation of the Benefits of Influenza Vaccines&lt;/title&gt;&lt;secondary-title&gt;Vaccines&lt;/secondary-title&gt;&lt;/titles&gt;&lt;periodical&gt;&lt;full-title&gt;Vaccines&lt;/full-title&gt;&lt;/periodical&gt;&lt;volume&gt;10&lt;/volume&gt;&lt;number&gt;5&lt;/number&gt;&lt;keywords&gt;&lt;keyword&gt;influenza virus&lt;/keyword&gt;&lt;keyword&gt;vaccine&lt;/keyword&gt;&lt;keyword&gt;effectiveness&lt;/keyword&gt;&lt;/keywords&gt;&lt;dates&gt;&lt;year&gt;2022&lt;/year&gt;&lt;/dates&gt;&lt;isbn&gt;2076-393X&lt;/isbn&gt;&lt;urls&gt;&lt;/urls&gt;&lt;electronic-resource-num&gt;doi: https://doi.org/10.3390/vaccines10050714&lt;/electronic-resource-num&gt;&lt;/record&gt;&lt;/Cite&gt;&lt;/EndNote&gt;</w:instrText>
      </w:r>
      <w:r w:rsidR="003F2707">
        <w:fldChar w:fldCharType="separate"/>
      </w:r>
      <w:r w:rsidR="00E13203" w:rsidRPr="00E13203">
        <w:rPr>
          <w:noProof/>
          <w:vertAlign w:val="superscript"/>
        </w:rPr>
        <w:t>35</w:t>
      </w:r>
      <w:r w:rsidR="003F2707">
        <w:fldChar w:fldCharType="end"/>
      </w:r>
      <w:r>
        <w:t xml:space="preserve"> which means that vaccinated individuals are roughly 40</w:t>
      </w:r>
      <w:r w:rsidR="004F3FA0">
        <w:t>–</w:t>
      </w:r>
      <w:r>
        <w:t xml:space="preserve">60% less likely to get influenza or severe influenza than unvaccinated people. Vaccine effectiveness varies from season to season based on the antigenic similarity </w:t>
      </w:r>
      <w:r w:rsidR="009A227A">
        <w:t xml:space="preserve">(or match) </w:t>
      </w:r>
      <w:r>
        <w:t>between vaccine strains and circulating strains of influenza</w:t>
      </w:r>
      <w:r w:rsidR="00E51118">
        <w:t>, and pre-existing immunity in the population</w:t>
      </w:r>
      <w:r>
        <w:t>.</w:t>
      </w:r>
    </w:p>
    <w:p w14:paraId="16A31B03" w14:textId="5ADD9F5D" w:rsidR="00A715E6" w:rsidRDefault="0019761A" w:rsidP="007C556A">
      <w:r>
        <w:t>In 2024, Australian studies suggest</w:t>
      </w:r>
      <w:r w:rsidR="006B2D13">
        <w:t>ed</w:t>
      </w:r>
      <w:r>
        <w:t xml:space="preserve"> vaccinated people </w:t>
      </w:r>
      <w:r w:rsidR="001D3202">
        <w:t xml:space="preserve">were </w:t>
      </w:r>
      <w:r>
        <w:t>about 55% less likely to attend general practice or be hospitalised with influenza than unvaccinated people.</w:t>
      </w:r>
    </w:p>
    <w:p w14:paraId="16A31B05" w14:textId="53E87F40" w:rsidR="00A715E6" w:rsidRDefault="0019761A" w:rsidP="007C556A">
      <w:r>
        <w:t xml:space="preserve">Final estimated vaccine effectiveness against general practice attendance was 56% (95% Confidence Interval [CI]: 40, 68). </w:t>
      </w:r>
      <w:r w:rsidR="00314A09">
        <w:t>Estimated vaccine effectiveness differed against general practice attendance for those with influenza A(H1N1) (65%; 95% CI: 37, 82) and influenza A(H3N2) (49%; 95% CI: 26, 65)</w:t>
      </w:r>
      <w:r w:rsidR="00AD13B8">
        <w:t>;</w:t>
      </w:r>
      <w:r w:rsidR="00314A09">
        <w:t xml:space="preserve"> </w:t>
      </w:r>
      <w:r w:rsidR="00D511E3">
        <w:t>h</w:t>
      </w:r>
      <w:r w:rsidR="00314A09">
        <w:t xml:space="preserve">owever, for both </w:t>
      </w:r>
      <w:r>
        <w:t xml:space="preserve">influenza A(H1N1) or A(H3N2), vaccine effectiveness appeared to be </w:t>
      </w:r>
      <w:r w:rsidR="00314A09">
        <w:t xml:space="preserve">highest </w:t>
      </w:r>
      <w:r>
        <w:t xml:space="preserve">in adults aged 65 years and </w:t>
      </w:r>
      <w:r>
        <w:lastRenderedPageBreak/>
        <w:t>over.</w:t>
      </w:r>
      <w:r w:rsidR="007C556A">
        <w:t xml:space="preserve"> </w:t>
      </w:r>
      <w:r>
        <w:t>Final estimated vaccine effectiveness against hospitalisation was 55% (95% CI: 50, 60</w:t>
      </w:r>
      <w:r w:rsidR="00693982">
        <w:t>) and</w:t>
      </w:r>
      <w:r w:rsidR="006A7ADF">
        <w:t xml:space="preserve"> was similar </w:t>
      </w:r>
      <w:r w:rsidR="00EE07A6">
        <w:t>for influenza A(H1N1) and influenza A(H3N2)</w:t>
      </w:r>
      <w:r>
        <w:t>.</w:t>
      </w:r>
    </w:p>
    <w:p w14:paraId="16A31B07" w14:textId="643C79AD" w:rsidR="00A715E6" w:rsidRPr="004F3FA0" w:rsidRDefault="0019761A" w:rsidP="007C556A">
      <w:r>
        <w:t xml:space="preserve">Vaccine effectiveness was not able to be estimated against influenza B due to low circulation of influenza B </w:t>
      </w:r>
      <w:r w:rsidR="004E68F4">
        <w:t>during the 2024 season</w:t>
      </w:r>
      <w:r>
        <w:t xml:space="preserve"> (and therefore small numbers of general practice attendance or hospitalisations </w:t>
      </w:r>
      <w:r w:rsidRPr="004F3FA0">
        <w:t>with influenza B).</w:t>
      </w:r>
    </w:p>
    <w:p w14:paraId="16A31B08" w14:textId="409E53AB" w:rsidR="00A715E6" w:rsidRPr="004F3FA0" w:rsidRDefault="0019761A" w:rsidP="007C556A">
      <w:r w:rsidRPr="004F3FA0">
        <w:t xml:space="preserve">The 2024 estimates are higher when compared to </w:t>
      </w:r>
      <w:r w:rsidR="004C0813">
        <w:t xml:space="preserve">interim </w:t>
      </w:r>
      <w:r w:rsidRPr="004F3FA0">
        <w:t>estimates</w:t>
      </w:r>
      <w:r w:rsidR="00496E02" w:rsidRPr="004F3FA0">
        <w:t xml:space="preserve"> </w:t>
      </w:r>
      <w:r w:rsidR="00F76824">
        <w:t>in</w:t>
      </w:r>
      <w:r w:rsidR="00BB2941">
        <w:t xml:space="preserve"> </w:t>
      </w:r>
      <w:r w:rsidR="00EE072A">
        <w:t>2019 and 2022</w:t>
      </w:r>
      <w:r w:rsidR="00971130">
        <w:t>,</w:t>
      </w:r>
      <w:r w:rsidR="006E3996">
        <w:fldChar w:fldCharType="begin"/>
      </w:r>
      <w:r w:rsidR="00E13203">
        <w:instrText xml:space="preserve"> ADDIN EN.CITE &lt;EndNote&gt;&lt;Cite&gt;&lt;Author&gt;Australian Government Department of Health and Aged Care&lt;/Author&gt;&lt;Year&gt;2022&lt;/Year&gt;&lt;RecNum&gt;2828&lt;/RecNum&gt;&lt;DisplayText&gt;&lt;style face="superscript"&gt;36,37&lt;/style&gt;&lt;/DisplayText&gt;&lt;record&gt;&lt;rec-number&gt;2828&lt;/rec-number&gt;&lt;foreign-keys&gt;&lt;key app="EN" db-id="ptaw2s0tmse5w0exvrh5d2vpdtxat2eaaazf" timestamp="1742523802"&gt;2828&lt;/key&gt;&lt;/foreign-keys&gt;&lt;ref-type name="Web Page"&gt;12&lt;/ref-type&gt;&lt;contributors&gt;&lt;authors&gt;&lt;author&gt;Australian Government Department of Health and Aged Care,&lt;/author&gt;&lt;/authors&gt;&lt;/contributors&gt;&lt;titles&gt;&lt;title&gt;National 2022 Influenza Season Summary&lt;/title&gt;&lt;/titles&gt;&lt;dates&gt;&lt;year&gt;2022&lt;/year&gt;&lt;/dates&gt;&lt;pub-location&gt;Canberra&lt;/pub-location&gt;&lt;publisher&gt;Australian Government Department of Health and Aged Care&lt;/publisher&gt;&lt;work-type&gt;Internet&lt;/work-type&gt;&lt;urls&gt;&lt;related-urls&gt;&lt;url&gt;https://www.health.gov.au/resources/publications/aisr-2022-national-influenza-season-summary&lt;/url&gt;&lt;/related-urls&gt;&lt;/urls&gt;&lt;/record&gt;&lt;/Cite&gt;&lt;Cite&gt;&lt;Author&gt;Australian Government Department of Health and Aged Care&lt;/Author&gt;&lt;Year&gt;2021&lt;/Year&gt;&lt;RecNum&gt;2829&lt;/RecNum&gt;&lt;record&gt;&lt;rec-number&gt;2829&lt;/rec-number&gt;&lt;foreign-keys&gt;&lt;key app="EN" db-id="ptaw2s0tmse5w0exvrh5d2vpdtxat2eaaazf" timestamp="1742524112"&gt;2829&lt;/key&gt;&lt;/foreign-keys&gt;&lt;ref-type name="Web Page"&gt;12&lt;/ref-type&gt;&lt;contributors&gt;&lt;authors&gt;&lt;author&gt;Australian Government Department of Health and Aged Care,&lt;/author&gt;&lt;/authors&gt;&lt;/contributors&gt;&lt;titles&gt;&lt;title&gt;2019 Influenza Season in Australia; A summary from the National Influenza Surveillance Committee&lt;/title&gt;&lt;/titles&gt;&lt;dates&gt;&lt;year&gt;2021&lt;/year&gt;&lt;/dates&gt;&lt;pub-location&gt;Canberra&lt;/pub-location&gt;&lt;publisher&gt;Australian Government Department of Health and Aged Care&lt;/publisher&gt;&lt;work-type&gt;Internet&lt;/work-type&gt;&lt;urls&gt;&lt;related-urls&gt;&lt;url&gt;https://www.health.gov.au/resources/publications/aisr-2019-national-influenza-season-summary&lt;/url&gt;&lt;/related-urls&gt;&lt;/urls&gt;&lt;/record&gt;&lt;/Cite&gt;&lt;/EndNote&gt;</w:instrText>
      </w:r>
      <w:r w:rsidR="006E3996">
        <w:fldChar w:fldCharType="separate"/>
      </w:r>
      <w:r w:rsidR="00E13203" w:rsidRPr="00E13203">
        <w:rPr>
          <w:noProof/>
          <w:vertAlign w:val="superscript"/>
        </w:rPr>
        <w:t>36,37</w:t>
      </w:r>
      <w:r w:rsidR="006E3996">
        <w:fldChar w:fldCharType="end"/>
      </w:r>
      <w:r w:rsidR="00971130" w:rsidRPr="00971130">
        <w:t xml:space="preserve"> </w:t>
      </w:r>
      <w:r w:rsidR="00971130" w:rsidRPr="004F3FA0">
        <w:t>but are lower than the interim estimates in 2023</w:t>
      </w:r>
      <w:r w:rsidR="006F54A7">
        <w:t xml:space="preserve"> (64%–68%)</w:t>
      </w:r>
      <w:r w:rsidR="00CB6602">
        <w:t>.</w:t>
      </w:r>
      <w:r w:rsidR="00CB6602">
        <w:fldChar w:fldCharType="begin"/>
      </w:r>
      <w:r w:rsidR="00E13203">
        <w:instrText xml:space="preserve"> ADDIN EN.CITE &lt;EndNote&gt;&lt;Cite&gt;&lt;Author&gt;Australian Government Department of Health and Aged Care&lt;/Author&gt;&lt;Year&gt;2023&lt;/Year&gt;&lt;RecNum&gt;2827&lt;/RecNum&gt;&lt;DisplayText&gt;&lt;style face="superscript"&gt;38&lt;/style&gt;&lt;/DisplayText&gt;&lt;record&gt;&lt;rec-number&gt;2827&lt;/rec-number&gt;&lt;foreign-keys&gt;&lt;key app="EN" db-id="ptaw2s0tmse5w0exvrh5d2vpdtxat2eaaazf" timestamp="1742523609"&gt;2827&lt;/key&gt;&lt;/foreign-keys&gt;&lt;ref-type name="Web Page"&gt;12&lt;/ref-type&gt;&lt;contributors&gt;&lt;authors&gt;&lt;author&gt;Australian Government Department of Health and Aged Care,&lt;/author&gt;&lt;/authors&gt;&lt;/contributors&gt;&lt;titles&gt;&lt;title&gt;Australian Influenza Surveillance Report – 2023 End of Season Summary&lt;/title&gt;&lt;/titles&gt;&lt;dates&gt;&lt;year&gt;2023&lt;/year&gt;&lt;/dates&gt;&lt;pub-location&gt;Canberra&lt;/pub-location&gt;&lt;publisher&gt;Australian Government Department of Health and Aged Care&lt;/publisher&gt;&lt;work-type&gt;Internet&lt;/work-type&gt;&lt;urls&gt;&lt;related-urls&gt;&lt;url&gt;https://www.health.gov.au/resources/publications/aisr-2023-national-influenza-season-summary&lt;/url&gt;&lt;/related-urls&gt;&lt;/urls&gt;&lt;/record&gt;&lt;/Cite&gt;&lt;/EndNote&gt;</w:instrText>
      </w:r>
      <w:r w:rsidR="00CB6602">
        <w:fldChar w:fldCharType="separate"/>
      </w:r>
      <w:r w:rsidR="00E13203" w:rsidRPr="00E13203">
        <w:rPr>
          <w:noProof/>
          <w:vertAlign w:val="superscript"/>
        </w:rPr>
        <w:t>38</w:t>
      </w:r>
      <w:r w:rsidR="00CB6602">
        <w:fldChar w:fldCharType="end"/>
      </w:r>
      <w:r w:rsidR="00CC44C1">
        <w:t xml:space="preserve"> </w:t>
      </w:r>
      <w:r w:rsidRPr="004F3FA0">
        <w:t xml:space="preserve">The </w:t>
      </w:r>
      <w:r w:rsidR="00455500">
        <w:t>relatively high</w:t>
      </w:r>
      <w:r w:rsidRPr="004F3FA0">
        <w:t xml:space="preserve"> vaccine effectiveness in 2024 is likely due to a good match between circulating and vaccine strains and an earlier season with less opportunity for immunological waning after vaccination.</w:t>
      </w:r>
    </w:p>
    <w:p w14:paraId="16A31B09" w14:textId="5E35CF84" w:rsidR="00A715E6" w:rsidRDefault="0019761A" w:rsidP="000E02DC">
      <w:pPr>
        <w:pStyle w:val="Heading2"/>
      </w:pPr>
      <w:bookmarkStart w:id="38" w:name="_Toc194074627"/>
      <w:bookmarkStart w:id="39" w:name="vaccine-match"/>
      <w:bookmarkEnd w:id="37"/>
      <w:r>
        <w:t>Vaccine match</w:t>
      </w:r>
      <w:bookmarkEnd w:id="38"/>
    </w:p>
    <w:p w14:paraId="3F466FD8" w14:textId="3A6207F6" w:rsidR="002A4906" w:rsidRDefault="0019761A" w:rsidP="000E02DC">
      <w:r>
        <w:t xml:space="preserve">In 2024, 98.6% (1,769/1,794) of influenza A(H1N1) isolates, 86.1% (1,583/1,838) of influenza A(H3N2) isolates and 100% (288/288) of influenza B/Victoria lineage isolates characterised </w:t>
      </w:r>
      <w:r w:rsidR="00953B2C">
        <w:t>were</w:t>
      </w:r>
      <w:r>
        <w:t xml:space="preserve"> antigenically </w:t>
      </w:r>
      <w:proofErr w:type="gramStart"/>
      <w:r>
        <w:t>similar to</w:t>
      </w:r>
      <w:proofErr w:type="gramEnd"/>
      <w:r>
        <w:t xml:space="preserve"> the corresponding 2024 vaccine components.</w:t>
      </w:r>
      <w:r w:rsidR="00684E11">
        <w:t xml:space="preserve"> </w:t>
      </w:r>
      <w:r w:rsidR="00453EDB">
        <w:t xml:space="preserve">The </w:t>
      </w:r>
      <w:r w:rsidR="00815AE5">
        <w:t xml:space="preserve">2024 influenza vaccine </w:t>
      </w:r>
      <w:r w:rsidR="00453EDB">
        <w:t xml:space="preserve">match </w:t>
      </w:r>
      <w:r w:rsidR="00283DE5">
        <w:t>was</w:t>
      </w:r>
      <w:r w:rsidR="00815AE5">
        <w:t xml:space="preserve"> </w:t>
      </w:r>
      <w:proofErr w:type="gramStart"/>
      <w:r w:rsidR="00815AE5">
        <w:t>similar to</w:t>
      </w:r>
      <w:proofErr w:type="gramEnd"/>
      <w:r w:rsidR="00815AE5">
        <w:t xml:space="preserve"> t</w:t>
      </w:r>
      <w:r w:rsidR="00AB6AA1">
        <w:t>he match observed in</w:t>
      </w:r>
      <w:r w:rsidR="00815AE5">
        <w:t xml:space="preserve"> 2023</w:t>
      </w:r>
      <w:r w:rsidR="00AB6AA1">
        <w:t>.</w:t>
      </w:r>
    </w:p>
    <w:p w14:paraId="0BE16910" w14:textId="40D17A1D" w:rsidR="00B65642" w:rsidRDefault="006F36C4" w:rsidP="000E02DC">
      <w:r w:rsidRPr="006F36C4">
        <w:t>Th</w:t>
      </w:r>
      <w:r>
        <w:t>e</w:t>
      </w:r>
      <w:r w:rsidRPr="006F36C4">
        <w:t xml:space="preserve"> high level of </w:t>
      </w:r>
      <w:r w:rsidR="004845A8">
        <w:t xml:space="preserve">antigenic </w:t>
      </w:r>
      <w:r w:rsidRPr="006F36C4">
        <w:t>similarity</w:t>
      </w:r>
      <w:r>
        <w:t xml:space="preserve"> between </w:t>
      </w:r>
      <w:r w:rsidR="0052685C">
        <w:t xml:space="preserve">influenza virus </w:t>
      </w:r>
      <w:r w:rsidR="00FC2C8A">
        <w:t xml:space="preserve">isolates and </w:t>
      </w:r>
      <w:r w:rsidR="0052685C">
        <w:t xml:space="preserve">influenza </w:t>
      </w:r>
      <w:r w:rsidR="00FC2C8A">
        <w:t>vaccine components</w:t>
      </w:r>
      <w:r w:rsidRPr="006F36C4">
        <w:t xml:space="preserve"> indicates that the 2024 </w:t>
      </w:r>
      <w:r w:rsidR="00FC2C8A">
        <w:t>in</w:t>
      </w:r>
      <w:r w:rsidRPr="006F36C4">
        <w:t>flu</w:t>
      </w:r>
      <w:r w:rsidR="00FC2C8A">
        <w:t>enza</w:t>
      </w:r>
      <w:r w:rsidRPr="006F36C4">
        <w:t xml:space="preserve"> vaccine was well-matched to the circulating strains of the influenza virus</w:t>
      </w:r>
      <w:r w:rsidR="009D758D">
        <w:t xml:space="preserve">, which is important for the effectiveness of the influenza vaccine in preventing influenza infections and severity of infection. </w:t>
      </w:r>
      <w:r w:rsidR="0052685C">
        <w:t xml:space="preserve"> </w:t>
      </w:r>
      <w:r w:rsidR="00526667">
        <w:t xml:space="preserve"> </w:t>
      </w:r>
    </w:p>
    <w:p w14:paraId="16A31B0B" w14:textId="77777777" w:rsidR="00A715E6" w:rsidRPr="00B65642" w:rsidRDefault="0019761A" w:rsidP="000E02DC">
      <w:pPr>
        <w:pStyle w:val="Heading3"/>
      </w:pPr>
      <w:bookmarkStart w:id="40" w:name="X11e183019b6c97a8a483303dcdc96288654cacf"/>
      <w:r w:rsidRPr="00B65642">
        <w:t>2024 Australian Influenza Vaccines Composition</w:t>
      </w:r>
    </w:p>
    <w:p w14:paraId="16A31B0D" w14:textId="109422CB" w:rsidR="00A715E6" w:rsidRDefault="0019761A" w:rsidP="003761CA">
      <w:r>
        <w:t xml:space="preserve">In 2024, all </w:t>
      </w:r>
      <w:r w:rsidRPr="002F564E">
        <w:t xml:space="preserve">southern hemisphere seasonal influenza </w:t>
      </w:r>
      <w:r w:rsidR="00644617" w:rsidRPr="002F564E">
        <w:t>vacc</w:t>
      </w:r>
      <w:r w:rsidR="00644617">
        <w:t>ines</w:t>
      </w:r>
      <w:r w:rsidR="00644617" w:rsidRPr="002F564E">
        <w:t xml:space="preserve"> </w:t>
      </w:r>
      <w:r w:rsidRPr="002F564E">
        <w:t>registered for use in Australia</w:t>
      </w:r>
      <w:r>
        <w:t xml:space="preserve"> were quadrivalent influenza vaccines.</w:t>
      </w:r>
      <w:r w:rsidR="003761CA">
        <w:t xml:space="preserve"> </w:t>
      </w:r>
      <w:r>
        <w:t>In 2024, the influenza virus strains included in egg-based quadrivalent influenza vaccines in Australia were:</w:t>
      </w:r>
    </w:p>
    <w:p w14:paraId="16A31B0E" w14:textId="77777777" w:rsidR="00A715E6" w:rsidRDefault="0019761A" w:rsidP="001D2466">
      <w:pPr>
        <w:pStyle w:val="ListBullet"/>
      </w:pPr>
      <w:r>
        <w:t>A/Victoria/4897/2022 (H1N</w:t>
      </w:r>
      <w:proofErr w:type="gramStart"/>
      <w:r>
        <w:t>1)pdm</w:t>
      </w:r>
      <w:proofErr w:type="gramEnd"/>
      <w:r>
        <w:t>09-like virus</w:t>
      </w:r>
    </w:p>
    <w:p w14:paraId="16A31B0F" w14:textId="77777777" w:rsidR="00A715E6" w:rsidRDefault="0019761A" w:rsidP="001D2466">
      <w:pPr>
        <w:pStyle w:val="ListBullet"/>
      </w:pPr>
      <w:r>
        <w:t>A/Thailand/8/2022 (H3N2)-like virus</w:t>
      </w:r>
    </w:p>
    <w:p w14:paraId="16A31B10" w14:textId="77777777" w:rsidR="00A715E6" w:rsidRDefault="0019761A" w:rsidP="001D2466">
      <w:pPr>
        <w:pStyle w:val="ListBullet"/>
      </w:pPr>
      <w:r>
        <w:t>B/Austria/1359417/2021 (B/Victoria lineage)-like virus</w:t>
      </w:r>
    </w:p>
    <w:p w14:paraId="16A31B11" w14:textId="77777777" w:rsidR="00A715E6" w:rsidRDefault="0019761A" w:rsidP="001D2466">
      <w:pPr>
        <w:pStyle w:val="ListBullet"/>
      </w:pPr>
      <w:r>
        <w:t>B/Phuket/3073/2013 (B/Yamagata lineage)-like virus.</w:t>
      </w:r>
    </w:p>
    <w:p w14:paraId="16A31B12" w14:textId="77777777" w:rsidR="00A715E6" w:rsidRDefault="0019761A" w:rsidP="003761CA">
      <w:r>
        <w:t>In 2024, the influenza virus strains included in cell-based quadrivalent influenza vaccines in Australia were:</w:t>
      </w:r>
    </w:p>
    <w:p w14:paraId="16A31B13" w14:textId="77777777" w:rsidR="00A715E6" w:rsidRDefault="0019761A" w:rsidP="001D2466">
      <w:pPr>
        <w:pStyle w:val="ListBullet"/>
      </w:pPr>
      <w:r>
        <w:t>A/Wisconsin/67/2022 (H1N</w:t>
      </w:r>
      <w:proofErr w:type="gramStart"/>
      <w:r>
        <w:t>1)pdm</w:t>
      </w:r>
      <w:proofErr w:type="gramEnd"/>
      <w:r>
        <w:t>09-like virus</w:t>
      </w:r>
    </w:p>
    <w:p w14:paraId="16A31B14" w14:textId="77777777" w:rsidR="00A715E6" w:rsidRDefault="0019761A" w:rsidP="001D2466">
      <w:pPr>
        <w:pStyle w:val="ListBullet"/>
      </w:pPr>
      <w:r>
        <w:t>A/Massachusetts/18/2022 (H3N2)-like virus</w:t>
      </w:r>
    </w:p>
    <w:p w14:paraId="16A31B15" w14:textId="77777777" w:rsidR="00A715E6" w:rsidRDefault="0019761A" w:rsidP="001D2466">
      <w:pPr>
        <w:pStyle w:val="ListBullet"/>
      </w:pPr>
      <w:r>
        <w:t>B/Austria/1359417/2021 (B/Victoria lineage)-like virus</w:t>
      </w:r>
    </w:p>
    <w:p w14:paraId="16A31B16" w14:textId="77777777" w:rsidR="00A715E6" w:rsidRDefault="0019761A" w:rsidP="001D2466">
      <w:pPr>
        <w:pStyle w:val="ListBullet"/>
      </w:pPr>
      <w:r>
        <w:t>B/Phuket/3073/2013 (B/Yamagata lineage)-like virus.</w:t>
      </w:r>
    </w:p>
    <w:p w14:paraId="16A31B17" w14:textId="77777777" w:rsidR="00A715E6" w:rsidRDefault="0019761A">
      <w:r>
        <w:br w:type="page"/>
      </w:r>
    </w:p>
    <w:p w14:paraId="16A31B18" w14:textId="77777777" w:rsidR="00A715E6" w:rsidRDefault="0019761A">
      <w:pPr>
        <w:pStyle w:val="Heading1"/>
      </w:pPr>
      <w:bookmarkStart w:id="41" w:name="_Toc194074628"/>
      <w:bookmarkStart w:id="42" w:name="future-directions"/>
      <w:bookmarkEnd w:id="33"/>
      <w:bookmarkEnd w:id="39"/>
      <w:bookmarkEnd w:id="40"/>
      <w:r>
        <w:lastRenderedPageBreak/>
        <w:t>Future directions</w:t>
      </w:r>
      <w:bookmarkEnd w:id="41"/>
    </w:p>
    <w:p w14:paraId="0C1F020A" w14:textId="2409469F" w:rsidR="004F10E2" w:rsidRDefault="004F10E2" w:rsidP="000E02DC">
      <w:pPr>
        <w:pStyle w:val="Heading2"/>
      </w:pPr>
      <w:bookmarkStart w:id="43" w:name="_Toc194074629"/>
      <w:bookmarkStart w:id="44" w:name="use-this-text-for-a-heading"/>
      <w:r>
        <w:t>Healthdirect</w:t>
      </w:r>
      <w:bookmarkEnd w:id="43"/>
    </w:p>
    <w:p w14:paraId="4F1BCA1B" w14:textId="06FFE674" w:rsidR="004F10E2" w:rsidRPr="001A3FE4" w:rsidRDefault="0038004B" w:rsidP="0010540D">
      <w:r>
        <w:t>The interim Australian CDC are working with partners Healthdirect</w:t>
      </w:r>
      <w:r w:rsidR="00B13D0A">
        <w:t xml:space="preserve"> to </w:t>
      </w:r>
      <w:r w:rsidR="0076755D">
        <w:t>expand</w:t>
      </w:r>
      <w:r w:rsidR="00B13D0A">
        <w:t xml:space="preserve"> the </w:t>
      </w:r>
      <w:r w:rsidR="006C2D9E">
        <w:t xml:space="preserve">reporting </w:t>
      </w:r>
      <w:r w:rsidR="00B13D0A">
        <w:t xml:space="preserve">of </w:t>
      </w:r>
      <w:r w:rsidR="00E94346">
        <w:t>health interactions</w:t>
      </w:r>
      <w:r w:rsidR="006C2D9E">
        <w:t xml:space="preserve"> that represents</w:t>
      </w:r>
      <w:r w:rsidR="00256A2D">
        <w:t xml:space="preserve"> trends in acute respiratory illness in the community and how this influences healthcare utilisation</w:t>
      </w:r>
      <w:r w:rsidR="00A80880" w:rsidRPr="00A80880">
        <w:t xml:space="preserve"> </w:t>
      </w:r>
      <w:r w:rsidR="00A80880">
        <w:t>from 2025 onwards.</w:t>
      </w:r>
      <w:r w:rsidR="00B13D0A">
        <w:t xml:space="preserve"> </w:t>
      </w:r>
      <w:r w:rsidR="002C5507">
        <w:t xml:space="preserve">Including additional data from Healthdirect </w:t>
      </w:r>
      <w:r w:rsidR="005C2644">
        <w:t xml:space="preserve">in the </w:t>
      </w:r>
      <w:r w:rsidR="005C2644" w:rsidRPr="00DF55F9">
        <w:t>Australian Respiratory Surveillance Reports</w:t>
      </w:r>
      <w:r w:rsidR="005C2644">
        <w:t xml:space="preserve"> </w:t>
      </w:r>
      <w:r w:rsidR="002C5507">
        <w:t xml:space="preserve">will </w:t>
      </w:r>
      <w:r w:rsidR="00450A10">
        <w:t xml:space="preserve">provide </w:t>
      </w:r>
      <w:r w:rsidR="00205160">
        <w:t xml:space="preserve">an </w:t>
      </w:r>
      <w:r w:rsidR="00A347DC">
        <w:t>enhanced</w:t>
      </w:r>
      <w:r w:rsidR="00450A10">
        <w:t xml:space="preserve"> </w:t>
      </w:r>
      <w:r w:rsidR="00FB7C08">
        <w:t xml:space="preserve">picture </w:t>
      </w:r>
      <w:r w:rsidR="001D60C8">
        <w:t xml:space="preserve">of acute respiratory illness trends and healthcare </w:t>
      </w:r>
      <w:r w:rsidR="00A67F41">
        <w:t>utilisation in the community</w:t>
      </w:r>
      <w:r w:rsidR="0022777D">
        <w:t>.</w:t>
      </w:r>
    </w:p>
    <w:p w14:paraId="05F9E9D1" w14:textId="06621DFF" w:rsidR="001D73C6" w:rsidRDefault="001D73C6" w:rsidP="000E02DC">
      <w:pPr>
        <w:pStyle w:val="Heading2"/>
      </w:pPr>
      <w:bookmarkStart w:id="45" w:name="_Toc194074630"/>
      <w:r>
        <w:t>Mortality surveillance</w:t>
      </w:r>
      <w:bookmarkEnd w:id="45"/>
    </w:p>
    <w:p w14:paraId="5F8BB783" w14:textId="29C739E2" w:rsidR="001D73C6" w:rsidRDefault="001D73C6" w:rsidP="001D73C6">
      <w:r>
        <w:t>The interim Australian CDC has previously reported on deaths associated with COVID-19, influenza and RSV notified to the NNDSS. Over time, the completeness, representativeness and timeliness of the NNDSS notification data for deaths associated with these acute respiratory infections has decreased</w:t>
      </w:r>
      <w:r w:rsidR="00EF039A">
        <w:t xml:space="preserve"> </w:t>
      </w:r>
      <w:r w:rsidRPr="00A40511">
        <w:t>making it difficult to accurately report mortality trends over time.</w:t>
      </w:r>
      <w:r>
        <w:t xml:space="preserve"> As the NNDSS notification data </w:t>
      </w:r>
      <w:r w:rsidR="00AE5276">
        <w:t>are</w:t>
      </w:r>
      <w:r>
        <w:t xml:space="preserve"> likely to be an underestimate and d</w:t>
      </w:r>
      <w:r w:rsidR="00AE5276">
        <w:t>o</w:t>
      </w:r>
      <w:r>
        <w:t xml:space="preserve"> not represent the true mortality associated with these acute respiratory infections</w:t>
      </w:r>
      <w:r w:rsidR="00AE5276">
        <w:t>,</w:t>
      </w:r>
      <w:r>
        <w:t xml:space="preserve"> the interim Australian CDC </w:t>
      </w:r>
      <w:r w:rsidR="000B66B4">
        <w:t>has transitioned</w:t>
      </w:r>
      <w:r>
        <w:t xml:space="preserve"> to </w:t>
      </w:r>
      <w:r w:rsidRPr="005C49DE">
        <w:t>ABS Provisional Mortality Statistics</w:t>
      </w:r>
      <w:r>
        <w:t xml:space="preserve"> for surveillance of </w:t>
      </w:r>
      <w:r w:rsidRPr="000F6616">
        <w:t xml:space="preserve">deaths involving acute respiratory infections </w:t>
      </w:r>
      <w:r>
        <w:t xml:space="preserve">from 2025 onwards. </w:t>
      </w:r>
      <w:r w:rsidRPr="003B043F">
        <w:t>The ABS Provisional Mortality Statistics are national</w:t>
      </w:r>
      <w:r w:rsidR="003D2EE8">
        <w:t>ly</w:t>
      </w:r>
      <w:r w:rsidRPr="003B043F">
        <w:t xml:space="preserve"> representative, and there is standardisation in the collection, processing, classification, and presentation of causes of death statistics.</w:t>
      </w:r>
      <w:r w:rsidRPr="00804530">
        <w:t xml:space="preserve"> </w:t>
      </w:r>
      <w:r>
        <w:t>Mortality surveillance</w:t>
      </w:r>
      <w:r w:rsidRPr="00804530">
        <w:t xml:space="preserve"> using the ABS Provisional Mortality Statistics is consistent with our Australian National Surveillance Plan for COVID-19, Influenza and RSV.</w:t>
      </w:r>
      <w:r w:rsidR="00EF5E80">
        <w:fldChar w:fldCharType="begin"/>
      </w:r>
      <w:r w:rsidR="00EF5E80">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EF5E80">
        <w:fldChar w:fldCharType="separate"/>
      </w:r>
      <w:r w:rsidR="00EF5E80" w:rsidRPr="00EF5E80">
        <w:rPr>
          <w:noProof/>
          <w:vertAlign w:val="superscript"/>
        </w:rPr>
        <w:t>1</w:t>
      </w:r>
      <w:r w:rsidR="00EF5E80">
        <w:fldChar w:fldCharType="end"/>
      </w:r>
    </w:p>
    <w:p w14:paraId="39A25DD6" w14:textId="488153F2" w:rsidR="0070221D" w:rsidRDefault="0070221D" w:rsidP="000E02DC">
      <w:pPr>
        <w:pStyle w:val="Heading2"/>
      </w:pPr>
      <w:r>
        <w:t>Priority populations</w:t>
      </w:r>
    </w:p>
    <w:p w14:paraId="2B915BC5" w14:textId="53B95722" w:rsidR="0070221D" w:rsidRDefault="0070221D" w:rsidP="00DF1AF0">
      <w:r>
        <w:t xml:space="preserve">The interim Australian CDC, in collaboration with the National Respiratory Infections Surveillance Committee is aiming to enhance </w:t>
      </w:r>
      <w:r w:rsidR="00B30C63">
        <w:t xml:space="preserve">surveillance and </w:t>
      </w:r>
      <w:r w:rsidR="00717223">
        <w:t>r</w:t>
      </w:r>
      <w:r>
        <w:t>eporting</w:t>
      </w:r>
      <w:r w:rsidR="001334CE">
        <w:t xml:space="preserve"> </w:t>
      </w:r>
      <w:r w:rsidR="00B30C63">
        <w:t>for</w:t>
      </w:r>
      <w:r w:rsidR="001334CE">
        <w:t xml:space="preserve"> priority populations</w:t>
      </w:r>
      <w:r>
        <w:t xml:space="preserve"> </w:t>
      </w:r>
      <w:r w:rsidR="00DF1AF0">
        <w:t xml:space="preserve">including Aboriginal and Torres Strait Islander people, infants and young children, older Australians and aged care facility residents, people with serious health conditions, people from culturally and linguistically diverse backgrounds, and people with a disability. These groups are a priority for surveillance and response as they may be at higher risk of COVID-19, influenza, or RSV infection and/or </w:t>
      </w:r>
      <w:r w:rsidR="00B30C63">
        <w:t>severe disease</w:t>
      </w:r>
      <w:r>
        <w:t>.</w:t>
      </w:r>
      <w:r w:rsidR="00EF5E80">
        <w:fldChar w:fldCharType="begin"/>
      </w:r>
      <w:r w:rsidR="00EF5E80">
        <w:instrText xml:space="preserve"> ADDIN EN.CITE &lt;EndNote&gt;&lt;Cite&gt;&lt;Author&gt;Australian Government Department of Health and Aged Care and interim Australian Centre for Disease Control&lt;/Author&gt;&lt;Year&gt;2024&lt;/Year&gt;&lt;RecNum&gt;2809&lt;/RecNum&gt;&lt;DisplayText&gt;&lt;style face="superscript"&gt;1&lt;/style&gt;&lt;/DisplayText&gt;&lt;record&gt;&lt;rec-number&gt;2809&lt;/rec-number&gt;&lt;foreign-keys&gt;&lt;key app="EN" db-id="ptaw2s0tmse5w0exvrh5d2vpdtxat2eaaazf" timestamp="1742516858"&gt;2809&lt;/key&gt;&lt;/foreign-keys&gt;&lt;ref-type name="Web Page"&gt;12&lt;/ref-type&gt;&lt;contributors&gt;&lt;authors&gt;&lt;author&gt;Australian Government Department of Health and Aged Care and interim Australian Centre for Disease Control,&lt;/author&gt;&lt;/authors&gt;&lt;/contributors&gt;&lt;titles&gt;&lt;title&gt;Australian National Surveillance Plan for COVID-19, Influenza, and RSV&lt;/title&gt;&lt;/titles&gt;&lt;dates&gt;&lt;year&gt;2024&lt;/year&gt;&lt;/dates&gt;&lt;pub-location&gt;Canberra&lt;/pub-location&gt;&lt;publisher&gt;Australian Government Department of Health and Aged Care and interim Australian Centre for Disease Control&lt;/publisher&gt;&lt;work-type&gt;Internet&lt;/work-type&gt;&lt;urls&gt;&lt;related-urls&gt;&lt;url&gt;https://www.health.gov.au/resources/publications/australian-national-disease-surveillance-plan-for-covid-19-influenza-and-rsv&lt;/url&gt;&lt;/related-urls&gt;&lt;/urls&gt;&lt;/record&gt;&lt;/Cite&gt;&lt;/EndNote&gt;</w:instrText>
      </w:r>
      <w:r w:rsidR="00EF5E80">
        <w:fldChar w:fldCharType="separate"/>
      </w:r>
      <w:r w:rsidR="00EF5E80" w:rsidRPr="00EF5E80">
        <w:rPr>
          <w:noProof/>
          <w:vertAlign w:val="superscript"/>
        </w:rPr>
        <w:t>1</w:t>
      </w:r>
      <w:r w:rsidR="00EF5E80">
        <w:fldChar w:fldCharType="end"/>
      </w:r>
    </w:p>
    <w:p w14:paraId="68CCD9CA" w14:textId="5E672042" w:rsidR="00774E4A" w:rsidRDefault="00437BAA" w:rsidP="000E02DC">
      <w:pPr>
        <w:pStyle w:val="Heading2"/>
      </w:pPr>
      <w:bookmarkStart w:id="46" w:name="_Toc194074631"/>
      <w:r>
        <w:t xml:space="preserve">Vaccine </w:t>
      </w:r>
      <w:r w:rsidR="0096206E">
        <w:t>coverage and effectiveness</w:t>
      </w:r>
      <w:bookmarkEnd w:id="46"/>
      <w:r>
        <w:t xml:space="preserve"> </w:t>
      </w:r>
    </w:p>
    <w:p w14:paraId="02CF6DD9" w14:textId="0D5261D2" w:rsidR="00774E4A" w:rsidRDefault="007442DE">
      <w:r>
        <w:t>The interim Australian CDC</w:t>
      </w:r>
      <w:r w:rsidR="0088696D">
        <w:t xml:space="preserve">, in collaboration with </w:t>
      </w:r>
      <w:r w:rsidR="002A533A">
        <w:t xml:space="preserve">the </w:t>
      </w:r>
      <w:r w:rsidR="00B72D3A">
        <w:t xml:space="preserve">National Immunisation Division of the </w:t>
      </w:r>
      <w:r w:rsidR="002A533A">
        <w:t>Department of Health and Aged Care</w:t>
      </w:r>
      <w:r w:rsidR="0088696D">
        <w:t>,</w:t>
      </w:r>
      <w:r w:rsidR="002A533A">
        <w:t xml:space="preserve"> </w:t>
      </w:r>
      <w:r w:rsidR="00B72D3A">
        <w:t xml:space="preserve">and the National </w:t>
      </w:r>
      <w:r w:rsidR="000E6E48">
        <w:t xml:space="preserve">Centre for Immunisation Research and Surveillance </w:t>
      </w:r>
      <w:r w:rsidR="00027197">
        <w:t xml:space="preserve">is aiming to </w:t>
      </w:r>
      <w:r w:rsidR="00381E10">
        <w:t xml:space="preserve">enhance vaccine </w:t>
      </w:r>
      <w:r w:rsidR="004E7DAF">
        <w:t xml:space="preserve">reporting </w:t>
      </w:r>
      <w:r w:rsidR="00BD7979">
        <w:t xml:space="preserve">in the Australian Respiratory Surveillance </w:t>
      </w:r>
      <w:r w:rsidR="00C029ED">
        <w:t>Reports</w:t>
      </w:r>
      <w:r w:rsidR="004E7DAF">
        <w:t>.</w:t>
      </w:r>
      <w:r w:rsidR="004113EA">
        <w:t xml:space="preserve"> </w:t>
      </w:r>
      <w:r w:rsidR="00E433A3">
        <w:t>Starting in</w:t>
      </w:r>
      <w:r w:rsidR="00B17272">
        <w:t xml:space="preserve"> 2025</w:t>
      </w:r>
      <w:r w:rsidR="00B150C1">
        <w:t xml:space="preserve">, these reports </w:t>
      </w:r>
      <w:r w:rsidR="00817CE8">
        <w:t xml:space="preserve">will include </w:t>
      </w:r>
      <w:r w:rsidR="00A54654">
        <w:t xml:space="preserve">vaccine coverage </w:t>
      </w:r>
      <w:r w:rsidR="00027197">
        <w:t>data</w:t>
      </w:r>
      <w:r w:rsidR="00A54654">
        <w:t xml:space="preserve"> </w:t>
      </w:r>
      <w:r w:rsidR="00814CA0">
        <w:t>for</w:t>
      </w:r>
      <w:r w:rsidR="00627B17">
        <w:t xml:space="preserve"> COVID-19 and influenza, </w:t>
      </w:r>
      <w:r w:rsidR="009231C5">
        <w:t>RSV immunisation</w:t>
      </w:r>
      <w:r w:rsidR="00E433A3">
        <w:t xml:space="preserve"> dose</w:t>
      </w:r>
      <w:r w:rsidR="009231C5">
        <w:t>s</w:t>
      </w:r>
      <w:r w:rsidR="00E37251">
        <w:t xml:space="preserve"> for monoclonal antibodies and vaccines</w:t>
      </w:r>
      <w:r w:rsidR="009C26EB">
        <w:t xml:space="preserve">, and </w:t>
      </w:r>
      <w:r w:rsidR="00AF3315">
        <w:t xml:space="preserve">work towards </w:t>
      </w:r>
      <w:r w:rsidR="00883099">
        <w:t>rep</w:t>
      </w:r>
      <w:r w:rsidR="00D92AE9">
        <w:t xml:space="preserve">orting vaccine effectiveness estimates for COVID-19 and RSV. </w:t>
      </w:r>
      <w:r w:rsidR="007D49B0" w:rsidRPr="007D49B0">
        <w:t xml:space="preserve">Improved vaccine reporting is essential for making informed decisions on resource allocation, planning vaccination campaigns, and ultimately reducing the incidence and severity of </w:t>
      </w:r>
      <w:r w:rsidR="00663703">
        <w:t xml:space="preserve">acute </w:t>
      </w:r>
      <w:r w:rsidR="007D49B0" w:rsidRPr="007D49B0">
        <w:t>respiratory infections in the population.</w:t>
      </w:r>
    </w:p>
    <w:p w14:paraId="3D406D62" w14:textId="77777777" w:rsidR="00437BAA" w:rsidRDefault="00437BAA" w:rsidP="000E02DC">
      <w:pPr>
        <w:pStyle w:val="Heading2"/>
      </w:pPr>
      <w:bookmarkStart w:id="47" w:name="_Toc194074632"/>
      <w:r>
        <w:t>Wastewater surveillance</w:t>
      </w:r>
      <w:bookmarkEnd w:id="47"/>
    </w:p>
    <w:p w14:paraId="16A31B1B" w14:textId="0E4DB2CD" w:rsidR="00A715E6" w:rsidRDefault="00D64928">
      <w:r w:rsidRPr="00D64928">
        <w:t>The interim Australian CDC is in the process of establishing a National Wastewater Surveillance Program as a key recommendation of the COVID-19 Response Inquiry. The program will be governed by the i</w:t>
      </w:r>
      <w:r>
        <w:t xml:space="preserve">nterim </w:t>
      </w:r>
      <w:r w:rsidR="00422EC9">
        <w:t xml:space="preserve">Australia </w:t>
      </w:r>
      <w:r w:rsidRPr="00D64928">
        <w:t xml:space="preserve">CDC in consultation with jurisdictions and will be piloted for three years with ongoing evaluation. The program is planned to include sentinel surveillance of current national priority pathogens of pandemic or epidemic potential </w:t>
      </w:r>
      <w:r w:rsidR="00C86EE7">
        <w:t>such as</w:t>
      </w:r>
      <w:r w:rsidRPr="00D64928">
        <w:t xml:space="preserve"> SARS-CoV-2, influenza, RSV</w:t>
      </w:r>
      <w:r w:rsidR="006D2114">
        <w:t>,</w:t>
      </w:r>
      <w:r w:rsidRPr="00D64928">
        <w:t xml:space="preserve"> and polio</w:t>
      </w:r>
      <w:r w:rsidR="00822E3D">
        <w:t>virus</w:t>
      </w:r>
      <w:r w:rsidRPr="00D64928">
        <w:t>.</w:t>
      </w:r>
      <w:r w:rsidR="00B74084">
        <w:t xml:space="preserve"> Once the </w:t>
      </w:r>
      <w:r w:rsidR="00F34B7A">
        <w:t xml:space="preserve">program is established </w:t>
      </w:r>
      <w:r w:rsidR="00C52695">
        <w:t>surveillance data</w:t>
      </w:r>
      <w:r w:rsidR="00A01A83">
        <w:t xml:space="preserve"> for acute respiratory infections</w:t>
      </w:r>
      <w:r w:rsidR="00C52695">
        <w:t xml:space="preserve"> could be included in the Australian Respiratory Surveillance Reports</w:t>
      </w:r>
      <w:r w:rsidR="00AF2D08">
        <w:t>.</w:t>
      </w:r>
      <w:r w:rsidR="0019761A">
        <w:br w:type="page"/>
      </w:r>
    </w:p>
    <w:p w14:paraId="19DD0A1B" w14:textId="6E9BB955" w:rsidR="002A5C82" w:rsidRDefault="002A5C82">
      <w:pPr>
        <w:pStyle w:val="Heading1"/>
      </w:pPr>
      <w:bookmarkStart w:id="48" w:name="_Toc194074633"/>
      <w:bookmarkStart w:id="49" w:name="supplementary-tables"/>
      <w:bookmarkEnd w:id="42"/>
      <w:bookmarkEnd w:id="44"/>
      <w:r>
        <w:lastRenderedPageBreak/>
        <w:t>References</w:t>
      </w:r>
      <w:bookmarkEnd w:id="48"/>
      <w:r>
        <w:t xml:space="preserve"> </w:t>
      </w:r>
    </w:p>
    <w:bookmarkEnd w:id="49"/>
    <w:p w14:paraId="252381B7" w14:textId="015ECE43" w:rsidR="00EF5E80" w:rsidRPr="00EF5E80" w:rsidRDefault="008742D9" w:rsidP="00EF5E80">
      <w:pPr>
        <w:pStyle w:val="EndNoteBibliography"/>
        <w:spacing w:after="0"/>
      </w:pPr>
      <w:r>
        <w:fldChar w:fldCharType="begin"/>
      </w:r>
      <w:r>
        <w:instrText xml:space="preserve"> ADDIN EN.REFLIST </w:instrText>
      </w:r>
      <w:r>
        <w:fldChar w:fldCharType="separate"/>
      </w:r>
      <w:r w:rsidR="00EF5E80" w:rsidRPr="00EF5E80">
        <w:t>1.</w:t>
      </w:r>
      <w:r w:rsidR="00EF5E80" w:rsidRPr="00EF5E80">
        <w:tab/>
        <w:t xml:space="preserve">Australian Government Department of Health and Aged Care and interim Australian Centre for Disease Control. Australian National Surveillance Plan for COVID-19, Influenza, and RSV [Internet]. Canberra: Australian Government Department of Health and Aged Care and interim Australian Centre for Disease Control; 2024. Available from: </w:t>
      </w:r>
      <w:hyperlink r:id="rId59" w:history="1">
        <w:r w:rsidR="00EF5E80" w:rsidRPr="00EF5E80">
          <w:rPr>
            <w:rStyle w:val="Hyperlink"/>
          </w:rPr>
          <w:t>https://www.health.gov.au/resources/publications/australian-national-disease-surveillance-plan-for-covid-19-influenza-and-rsv</w:t>
        </w:r>
      </w:hyperlink>
      <w:r w:rsidR="00EF5E80" w:rsidRPr="00EF5E80">
        <w:t>.</w:t>
      </w:r>
    </w:p>
    <w:p w14:paraId="376A4201" w14:textId="47809457" w:rsidR="00EF5E80" w:rsidRPr="00EF5E80" w:rsidRDefault="00EF5E80" w:rsidP="00EF5E80">
      <w:pPr>
        <w:pStyle w:val="EndNoteBibliography"/>
        <w:spacing w:after="0"/>
      </w:pPr>
      <w:r w:rsidRPr="00EF5E80">
        <w:t>2.</w:t>
      </w:r>
      <w:r w:rsidRPr="00EF5E80">
        <w:tab/>
        <w:t xml:space="preserve">Australian Government Department of Health and Aged Care. National Health Security Act, 2007 Canberra: Australian Government Department of Health and Aged Care; 2007. Available from: </w:t>
      </w:r>
      <w:hyperlink r:id="rId60" w:history="1">
        <w:r w:rsidRPr="00EF5E80">
          <w:rPr>
            <w:rStyle w:val="Hyperlink"/>
          </w:rPr>
          <w:t>https://www.legislation.gov.au/C2007A00174</w:t>
        </w:r>
      </w:hyperlink>
      <w:r w:rsidRPr="00EF5E80">
        <w:t>.</w:t>
      </w:r>
    </w:p>
    <w:p w14:paraId="77C73D64" w14:textId="6537E426" w:rsidR="00EF5E80" w:rsidRPr="00EF5E80" w:rsidRDefault="00EF5E80" w:rsidP="00EF5E80">
      <w:pPr>
        <w:pStyle w:val="EndNoteBibliography"/>
        <w:spacing w:after="0"/>
      </w:pPr>
      <w:r w:rsidRPr="00EF5E80">
        <w:t>3.</w:t>
      </w:r>
      <w:r w:rsidRPr="00EF5E80">
        <w:tab/>
        <w:t xml:space="preserve">Australian Government Department of Health and Aged Care. National Health Security (National Notifiable Disease List) Instrument 2018 Canberra: Australian Government Department of Health and Aged Care; 2018. Available from: </w:t>
      </w:r>
      <w:hyperlink r:id="rId61" w:history="1">
        <w:r w:rsidRPr="00EF5E80">
          <w:rPr>
            <w:rStyle w:val="Hyperlink"/>
          </w:rPr>
          <w:t>https://www.legislation.gov.au/F2018L00450</w:t>
        </w:r>
      </w:hyperlink>
      <w:r w:rsidRPr="00EF5E80">
        <w:t>.</w:t>
      </w:r>
    </w:p>
    <w:p w14:paraId="5C8FC318" w14:textId="05D5B8C6" w:rsidR="00EF5E80" w:rsidRPr="00EF5E80" w:rsidRDefault="00EF5E80" w:rsidP="00EF5E80">
      <w:pPr>
        <w:pStyle w:val="EndNoteBibliography"/>
        <w:spacing w:after="0"/>
      </w:pPr>
      <w:r w:rsidRPr="00EF5E80">
        <w:t>4.</w:t>
      </w:r>
      <w:r w:rsidRPr="00EF5E80">
        <w:tab/>
        <w:t xml:space="preserve">Australian Government Department of Health. National Health Security Agreement [Internet]. Canberra: Australian Government Department of Health; 2011. Available from: </w:t>
      </w:r>
      <w:hyperlink r:id="rId62" w:history="1">
        <w:r w:rsidRPr="00EF5E80">
          <w:rPr>
            <w:rStyle w:val="Hyperlink"/>
          </w:rPr>
          <w:t>https://www.health.gov.au/resources/publications/national-health-security-agreement</w:t>
        </w:r>
      </w:hyperlink>
      <w:r w:rsidRPr="00EF5E80">
        <w:t>.</w:t>
      </w:r>
    </w:p>
    <w:p w14:paraId="4C2AF867" w14:textId="07D5C2FA" w:rsidR="00EF5E80" w:rsidRPr="00EF5E80" w:rsidRDefault="00EF5E80" w:rsidP="00EF5E80">
      <w:pPr>
        <w:pStyle w:val="EndNoteBibliography"/>
        <w:spacing w:after="0"/>
      </w:pPr>
      <w:r w:rsidRPr="00EF5E80">
        <w:t>5.</w:t>
      </w:r>
      <w:r w:rsidRPr="00EF5E80">
        <w:tab/>
        <w:t xml:space="preserve">Australian Bureau of Statistics. National, state and territory population [Internet]. Canberra: Australian Bureau of Statistics; 2024. Available from: </w:t>
      </w:r>
      <w:hyperlink r:id="rId63" w:history="1">
        <w:r w:rsidRPr="00EF5E80">
          <w:rPr>
            <w:rStyle w:val="Hyperlink"/>
          </w:rPr>
          <w:t>https://www.abs.gov.au/statistics/people/population/national-state-and-territory-population/jun-2024</w:t>
        </w:r>
      </w:hyperlink>
      <w:r w:rsidRPr="00EF5E80">
        <w:t>.</w:t>
      </w:r>
    </w:p>
    <w:p w14:paraId="7357FAE7" w14:textId="17EFE23F" w:rsidR="00EF5E80" w:rsidRPr="00EF5E80" w:rsidRDefault="00EF5E80" w:rsidP="00EF5E80">
      <w:pPr>
        <w:pStyle w:val="EndNoteBibliography"/>
        <w:spacing w:after="0"/>
      </w:pPr>
      <w:r w:rsidRPr="00EF5E80">
        <w:t>6.</w:t>
      </w:r>
      <w:r w:rsidRPr="00EF5E80">
        <w:tab/>
        <w:t xml:space="preserve">Australian Institute of Health and Welfare. Person—Indigenous status, code N; Identifying and definitional attributes [Internet]. Canberra: Australian Institute of Health and Welfare. Available from: </w:t>
      </w:r>
      <w:hyperlink r:id="rId64" w:history="1">
        <w:r w:rsidRPr="00EF5E80">
          <w:rPr>
            <w:rStyle w:val="Hyperlink"/>
          </w:rPr>
          <w:t>https://meteor.aihw.gov.au/content/602543</w:t>
        </w:r>
      </w:hyperlink>
      <w:r w:rsidRPr="00EF5E80">
        <w:t>.</w:t>
      </w:r>
    </w:p>
    <w:p w14:paraId="2F96776D" w14:textId="06B26025" w:rsidR="00EF5E80" w:rsidRPr="00EF5E80" w:rsidRDefault="00EF5E80" w:rsidP="00EF5E80">
      <w:pPr>
        <w:pStyle w:val="EndNoteBibliography"/>
        <w:spacing w:after="0"/>
      </w:pPr>
      <w:r w:rsidRPr="00EF5E80">
        <w:t>7.</w:t>
      </w:r>
      <w:r w:rsidRPr="00EF5E80">
        <w:tab/>
        <w:t xml:space="preserve">Fogarty W, Lovell, M., Langenberg, J. &amp; Heron, M-J. Deficit Discourse and Strengths-based Approaches: Changing the Narrative of Aboriginal and Torres Strait Islander Health and Wellbeing [Internet]. Melbourne: The Lowitja Institute; 2018. Available from: </w:t>
      </w:r>
      <w:hyperlink r:id="rId65" w:history="1">
        <w:r w:rsidRPr="00EF5E80">
          <w:rPr>
            <w:rStyle w:val="Hyperlink"/>
          </w:rPr>
          <w:t>https://www.lowitja.org.au/resource/deficit-discourse-strengths-based/</w:t>
        </w:r>
      </w:hyperlink>
      <w:r w:rsidRPr="00EF5E80">
        <w:t>.</w:t>
      </w:r>
    </w:p>
    <w:p w14:paraId="608BF548" w14:textId="443FC735" w:rsidR="00EF5E80" w:rsidRPr="00EF5E80" w:rsidRDefault="00EF5E80" w:rsidP="00EF5E80">
      <w:pPr>
        <w:pStyle w:val="EndNoteBibliography"/>
        <w:spacing w:after="0"/>
      </w:pPr>
      <w:r w:rsidRPr="00EF5E80">
        <w:t>8.</w:t>
      </w:r>
      <w:r w:rsidRPr="00EF5E80">
        <w:tab/>
        <w:t xml:space="preserve">Australian Government Department of Health and Aged Care. CDNA surveillance case definitions [Internet]. Canberra: Australian Government Department of Health and Aged Care; 2022. Available from: </w:t>
      </w:r>
      <w:hyperlink r:id="rId66" w:history="1">
        <w:r w:rsidRPr="00EF5E80">
          <w:rPr>
            <w:rStyle w:val="Hyperlink"/>
          </w:rPr>
          <w:t>https://www.health.gov.au/resources/collections/cdna-surveillance-case-definitions</w:t>
        </w:r>
      </w:hyperlink>
      <w:r w:rsidRPr="00EF5E80">
        <w:t>.</w:t>
      </w:r>
    </w:p>
    <w:p w14:paraId="528797DA" w14:textId="171A5F2F" w:rsidR="00EF5E80" w:rsidRPr="00EF5E80" w:rsidRDefault="00EF5E80" w:rsidP="00EF5E80">
      <w:pPr>
        <w:pStyle w:val="EndNoteBibliography"/>
        <w:spacing w:after="0"/>
      </w:pPr>
      <w:r w:rsidRPr="00EF5E80">
        <w:t>9.</w:t>
      </w:r>
      <w:r w:rsidRPr="00EF5E80">
        <w:tab/>
        <w:t xml:space="preserve">Australian Bureau of Statistics. Deaths due to COVID-19, influenza and RSV in Australia - 2022 - January 2025; Acute respiratory disease mortality in Australia [Internet]. Canberra: Australian Bureau of Statistics; 2025. Available from: </w:t>
      </w:r>
      <w:hyperlink r:id="rId67" w:history="1">
        <w:r w:rsidRPr="00EF5E80">
          <w:rPr>
            <w:rStyle w:val="Hyperlink"/>
          </w:rPr>
          <w:t>https://www.abs.gov.au/articles/deaths-due-covid-19-influenza-and-rsv-australia-2022-january-2025</w:t>
        </w:r>
      </w:hyperlink>
      <w:r w:rsidRPr="00EF5E80">
        <w:t>.</w:t>
      </w:r>
    </w:p>
    <w:p w14:paraId="4BE43164" w14:textId="395925DB" w:rsidR="00EF5E80" w:rsidRPr="00EF5E80" w:rsidRDefault="00EF5E80" w:rsidP="00EF5E80">
      <w:pPr>
        <w:pStyle w:val="EndNoteBibliography"/>
        <w:spacing w:after="0"/>
      </w:pPr>
      <w:r w:rsidRPr="00EF5E80">
        <w:t>10.</w:t>
      </w:r>
      <w:r w:rsidRPr="00EF5E80">
        <w:tab/>
        <w:t xml:space="preserve">Australian Bureau of Statistics. Provisional Mortality Statistics methodology [Internet]. Canberra: Australian Bureau of Statistics; 2024. Available from: </w:t>
      </w:r>
      <w:hyperlink r:id="rId68" w:history="1">
        <w:r w:rsidRPr="00EF5E80">
          <w:rPr>
            <w:rStyle w:val="Hyperlink"/>
          </w:rPr>
          <w:t>https://www.abs.gov.au/methodologies/provisional-mortality-statistics-methodology</w:t>
        </w:r>
      </w:hyperlink>
      <w:r w:rsidRPr="00EF5E80">
        <w:t>.</w:t>
      </w:r>
    </w:p>
    <w:p w14:paraId="26AD0DDC" w14:textId="667CD86B" w:rsidR="00EF5E80" w:rsidRPr="00EF5E80" w:rsidRDefault="00EF5E80" w:rsidP="00EF5E80">
      <w:pPr>
        <w:pStyle w:val="EndNoteBibliography"/>
        <w:spacing w:after="0"/>
      </w:pPr>
      <w:r w:rsidRPr="00EF5E80">
        <w:t>11.</w:t>
      </w:r>
      <w:r w:rsidRPr="00EF5E80">
        <w:tab/>
        <w:t xml:space="preserve">National Centre for Immunisation Research and Surveillance. History of immunisation in Australia; Immunisation policy history [Internet]. Westmead: National Centre for Immunisation Research and Surveillance; 2024. Available from: </w:t>
      </w:r>
      <w:hyperlink r:id="rId69" w:history="1">
        <w:r w:rsidRPr="00EF5E80">
          <w:rPr>
            <w:rStyle w:val="Hyperlink"/>
          </w:rPr>
          <w:t>https://ncirs.org.au/health-professionals/history-immunisation-australia</w:t>
        </w:r>
      </w:hyperlink>
      <w:r w:rsidRPr="00EF5E80">
        <w:t>.</w:t>
      </w:r>
    </w:p>
    <w:p w14:paraId="327FCC04" w14:textId="5D412908" w:rsidR="00EF5E80" w:rsidRPr="00EF5E80" w:rsidRDefault="00EF5E80" w:rsidP="00EF5E80">
      <w:pPr>
        <w:pStyle w:val="EndNoteBibliography"/>
        <w:spacing w:after="0"/>
      </w:pPr>
      <w:r w:rsidRPr="00EF5E80">
        <w:t>12.</w:t>
      </w:r>
      <w:r w:rsidRPr="00EF5E80">
        <w:tab/>
        <w:t xml:space="preserve">Carlson SJ, Innes RJI, Howard ZL, Baldwin Z, Butler M, Dalton CB. FluTracking: Weekly online community-based surveillance of influenza-like illness in Australia, 2019 Annual Report. </w:t>
      </w:r>
      <w:r w:rsidRPr="00EF5E80">
        <w:rPr>
          <w:i/>
        </w:rPr>
        <w:t>Commun Dis Intell</w:t>
      </w:r>
      <w:r w:rsidRPr="00EF5E80">
        <w:t xml:space="preserve">. 2023;47. [doi: </w:t>
      </w:r>
      <w:hyperlink r:id="rId70" w:history="1">
        <w:r w:rsidRPr="00EF5E80">
          <w:rPr>
            <w:rStyle w:val="Hyperlink"/>
          </w:rPr>
          <w:t>https://doi.org/10.33321/cdi.2023.47.14</w:t>
        </w:r>
      </w:hyperlink>
      <w:r w:rsidRPr="00EF5E80">
        <w:t>]</w:t>
      </w:r>
    </w:p>
    <w:p w14:paraId="6E375214" w14:textId="2279E9A3" w:rsidR="00EF5E80" w:rsidRPr="00EF5E80" w:rsidRDefault="00EF5E80" w:rsidP="00EF5E80">
      <w:pPr>
        <w:pStyle w:val="EndNoteBibliography"/>
        <w:spacing w:after="0"/>
      </w:pPr>
      <w:r w:rsidRPr="00EF5E80">
        <w:t>13.</w:t>
      </w:r>
      <w:r w:rsidRPr="00EF5E80">
        <w:tab/>
        <w:t xml:space="preserve">FluTracking. Methods for calculating Fever and Cough Incidence [Internet]. Wallsend: FluTracking. Available from: </w:t>
      </w:r>
      <w:hyperlink r:id="rId71" w:history="1">
        <w:r w:rsidRPr="00EF5E80">
          <w:rPr>
            <w:rStyle w:val="Hyperlink"/>
          </w:rPr>
          <w:t>https://info.flutracking.net/methods/</w:t>
        </w:r>
      </w:hyperlink>
      <w:r w:rsidRPr="00EF5E80">
        <w:t>.</w:t>
      </w:r>
    </w:p>
    <w:p w14:paraId="36EC7B62" w14:textId="4178529D" w:rsidR="00EF5E80" w:rsidRPr="00EF5E80" w:rsidRDefault="00EF5E80" w:rsidP="00EF5E80">
      <w:pPr>
        <w:pStyle w:val="EndNoteBibliography"/>
        <w:spacing w:after="0"/>
      </w:pPr>
      <w:r w:rsidRPr="00EF5E80">
        <w:t>14.</w:t>
      </w:r>
      <w:r w:rsidRPr="00EF5E80">
        <w:tab/>
        <w:t xml:space="preserve">Global Influenza Programme. WHO surveillance case definitions for ILI and SARI [Internet]. Geneva: World Health Organization; 2025. Available from: </w:t>
      </w:r>
      <w:hyperlink r:id="rId72" w:history="1">
        <w:r w:rsidRPr="00EF5E80">
          <w:rPr>
            <w:rStyle w:val="Hyperlink"/>
          </w:rPr>
          <w:t>https://www.who.int/teams/global-influenza-programme/surveillance-and-monitoring/case-definitions-for-ili-and-sari</w:t>
        </w:r>
      </w:hyperlink>
      <w:r w:rsidRPr="00EF5E80">
        <w:t>.</w:t>
      </w:r>
    </w:p>
    <w:p w14:paraId="5331B351" w14:textId="18C067BF" w:rsidR="00EF5E80" w:rsidRPr="00EF5E80" w:rsidRDefault="00EF5E80" w:rsidP="00EF5E80">
      <w:pPr>
        <w:pStyle w:val="EndNoteBibliography"/>
        <w:spacing w:after="0"/>
      </w:pPr>
      <w:r w:rsidRPr="00EF5E80">
        <w:t>15.</w:t>
      </w:r>
      <w:r w:rsidRPr="00EF5E80">
        <w:tab/>
        <w:t xml:space="preserve">Australian and New Zealand Intensive Care Research Centre (ANZIC-RC). SPRINT-SARI (Australia) [Internet]. Melbourne: Monash University; 2025. Available from: </w:t>
      </w:r>
      <w:hyperlink r:id="rId73" w:history="1">
        <w:r w:rsidRPr="00EF5E80">
          <w:rPr>
            <w:rStyle w:val="Hyperlink"/>
          </w:rPr>
          <w:t>https://www.monash.edu/medicine/sphpm/anzicrc/research/sprint-sari</w:t>
        </w:r>
      </w:hyperlink>
      <w:r w:rsidRPr="00EF5E80">
        <w:t>.</w:t>
      </w:r>
    </w:p>
    <w:p w14:paraId="2E9B08D0" w14:textId="0B59B65B" w:rsidR="00EF5E80" w:rsidRPr="00EF5E80" w:rsidRDefault="00EF5E80" w:rsidP="00EF5E80">
      <w:pPr>
        <w:pStyle w:val="EndNoteBibliography"/>
        <w:spacing w:after="0"/>
      </w:pPr>
      <w:r w:rsidRPr="00EF5E80">
        <w:t>16.</w:t>
      </w:r>
      <w:r w:rsidRPr="00EF5E80">
        <w:tab/>
        <w:t xml:space="preserve">Pilcher D, Coatsworth NR, Rosenow M, McClure J. A national system for monitoring intensive care unit demand and capacity: the Critical Health Resources Information System (CHRIS). </w:t>
      </w:r>
      <w:r w:rsidRPr="00EF5E80">
        <w:rPr>
          <w:i/>
        </w:rPr>
        <w:t>Med J Aust</w:t>
      </w:r>
      <w:r w:rsidRPr="00EF5E80">
        <w:t xml:space="preserve">. 2021;214(7):297-8.e1. [doi: </w:t>
      </w:r>
      <w:hyperlink r:id="rId74" w:history="1">
        <w:r w:rsidRPr="00EF5E80">
          <w:rPr>
            <w:rStyle w:val="Hyperlink"/>
          </w:rPr>
          <w:t>https://doi.org/10.5694/mja2.50988</w:t>
        </w:r>
      </w:hyperlink>
      <w:r w:rsidRPr="00EF5E80">
        <w:t>]</w:t>
      </w:r>
    </w:p>
    <w:p w14:paraId="4BFF896D" w14:textId="5DFB7A4C" w:rsidR="00EF5E80" w:rsidRPr="00EF5E80" w:rsidRDefault="00EF5E80" w:rsidP="00EF5E80">
      <w:pPr>
        <w:pStyle w:val="EndNoteBibliography"/>
        <w:spacing w:after="0"/>
      </w:pPr>
      <w:r w:rsidRPr="00EF5E80">
        <w:lastRenderedPageBreak/>
        <w:t>17.</w:t>
      </w:r>
      <w:r w:rsidRPr="00EF5E80">
        <w:tab/>
        <w:t xml:space="preserve">Global Influenza Programme. National Influenza Centres [Internet]. Geneva: World Health Organization; 2025. Available from: </w:t>
      </w:r>
      <w:hyperlink r:id="rId75" w:history="1">
        <w:r w:rsidRPr="00EF5E80">
          <w:rPr>
            <w:rStyle w:val="Hyperlink"/>
          </w:rPr>
          <w:t>https://www.who.int/initiatives/global-influenza-surveillance-and-response-system/national-influenza-centres</w:t>
        </w:r>
      </w:hyperlink>
      <w:r w:rsidRPr="00EF5E80">
        <w:t>.</w:t>
      </w:r>
    </w:p>
    <w:p w14:paraId="5420225E" w14:textId="159A7591" w:rsidR="00EF5E80" w:rsidRPr="00EF5E80" w:rsidRDefault="00EF5E80" w:rsidP="00EF5E80">
      <w:pPr>
        <w:pStyle w:val="EndNoteBibliography"/>
        <w:spacing w:after="0"/>
      </w:pPr>
      <w:r w:rsidRPr="00EF5E80">
        <w:t>18.</w:t>
      </w:r>
      <w:r w:rsidRPr="00EF5E80">
        <w:tab/>
        <w:t xml:space="preserve">Communicable Diseases Genomics Network. AUSTRAKKA; Overview [Internet]. Melbourne: Communicable Diseases Genomics Network; 2024. Available from: </w:t>
      </w:r>
      <w:hyperlink r:id="rId76" w:history="1">
        <w:r w:rsidRPr="00EF5E80">
          <w:rPr>
            <w:rStyle w:val="Hyperlink"/>
          </w:rPr>
          <w:t>https://www.cdgn.org.au/austrakka</w:t>
        </w:r>
      </w:hyperlink>
      <w:r w:rsidRPr="00EF5E80">
        <w:t>.</w:t>
      </w:r>
    </w:p>
    <w:p w14:paraId="7BF1D9C5" w14:textId="07082897" w:rsidR="00EF5E80" w:rsidRPr="00EF5E80" w:rsidRDefault="00EF5E80" w:rsidP="00EF5E80">
      <w:pPr>
        <w:pStyle w:val="EndNoteBibliography"/>
        <w:spacing w:after="0"/>
      </w:pPr>
      <w:r w:rsidRPr="00EF5E80">
        <w:t>19.</w:t>
      </w:r>
      <w:r w:rsidRPr="00EF5E80">
        <w:tab/>
        <w:t xml:space="preserve">Rambaut A, Holmes EC, O’Toole Á, Hill V, McCrone JT, Ruis C, et al. A dynamic nomenclature proposal for SARS-CoV-2 lineages to assist genomic epidemiology. </w:t>
      </w:r>
      <w:r w:rsidRPr="00EF5E80">
        <w:rPr>
          <w:i/>
        </w:rPr>
        <w:t>Nat Microbiol</w:t>
      </w:r>
      <w:r w:rsidRPr="00EF5E80">
        <w:t xml:space="preserve">. 2020;5(11):1403-7. [doi: </w:t>
      </w:r>
      <w:hyperlink r:id="rId77" w:history="1">
        <w:r w:rsidRPr="00EF5E80">
          <w:rPr>
            <w:rStyle w:val="Hyperlink"/>
          </w:rPr>
          <w:t>https://doi.org/10.1038/s41564-020-0770-5</w:t>
        </w:r>
      </w:hyperlink>
      <w:r w:rsidRPr="00EF5E80">
        <w:t>]</w:t>
      </w:r>
    </w:p>
    <w:p w14:paraId="31AC2A2E" w14:textId="32FFBCF1" w:rsidR="00EF5E80" w:rsidRPr="00EF5E80" w:rsidRDefault="00EF5E80" w:rsidP="00EF5E80">
      <w:pPr>
        <w:pStyle w:val="EndNoteBibliography"/>
        <w:spacing w:after="0"/>
      </w:pPr>
      <w:r w:rsidRPr="00EF5E80">
        <w:t>20.</w:t>
      </w:r>
      <w:r w:rsidRPr="00EF5E80">
        <w:tab/>
        <w:t xml:space="preserve">World Health Organization. Tracking SARS-CoV-2 variants [Internet]. Geneva: World Health Organization; 2025. Available from: </w:t>
      </w:r>
      <w:hyperlink r:id="rId78" w:history="1">
        <w:r w:rsidRPr="00EF5E80">
          <w:rPr>
            <w:rStyle w:val="Hyperlink"/>
          </w:rPr>
          <w:t>https://www.who.int/activities/tracking-SARS-CoV-2-variants</w:t>
        </w:r>
      </w:hyperlink>
      <w:r w:rsidRPr="00EF5E80">
        <w:t>.</w:t>
      </w:r>
    </w:p>
    <w:p w14:paraId="6289D5BC" w14:textId="128DE61E" w:rsidR="00EF5E80" w:rsidRPr="00EF5E80" w:rsidRDefault="00EF5E80" w:rsidP="00EF5E80">
      <w:pPr>
        <w:pStyle w:val="EndNoteBibliography"/>
        <w:spacing w:after="0"/>
      </w:pPr>
      <w:r w:rsidRPr="00EF5E80">
        <w:t>21.</w:t>
      </w:r>
      <w:r w:rsidRPr="00EF5E80">
        <w:tab/>
        <w:t xml:space="preserve">Global Influenza Programme. WHO Collaborating Centres [Internet]. Geneva: World Health Organization; 2025. Available from: </w:t>
      </w:r>
      <w:hyperlink r:id="rId79" w:history="1">
        <w:r w:rsidRPr="00EF5E80">
          <w:rPr>
            <w:rStyle w:val="Hyperlink"/>
          </w:rPr>
          <w:t>https://www.who.int/initiatives/global-influenza-surveillance-and-response-system/who-collaboration-center-erl</w:t>
        </w:r>
      </w:hyperlink>
      <w:r w:rsidRPr="00EF5E80">
        <w:t>.</w:t>
      </w:r>
    </w:p>
    <w:p w14:paraId="27BBCF1C" w14:textId="6C070E55" w:rsidR="00EF5E80" w:rsidRPr="00EF5E80" w:rsidRDefault="00EF5E80" w:rsidP="00EF5E80">
      <w:pPr>
        <w:pStyle w:val="EndNoteBibliography"/>
        <w:spacing w:after="0"/>
      </w:pPr>
      <w:r w:rsidRPr="00EF5E80">
        <w:t>22.</w:t>
      </w:r>
      <w:r w:rsidRPr="00EF5E80">
        <w:tab/>
        <w:t xml:space="preserve">Townsend JP, Hassler HB, Lamb AD, Sah P, Alvarez Nishio A, Nguyen C, et al. Seasonality of endemic COVID-19. </w:t>
      </w:r>
      <w:r w:rsidRPr="00EF5E80">
        <w:rPr>
          <w:i/>
        </w:rPr>
        <w:t>mBio</w:t>
      </w:r>
      <w:r w:rsidRPr="00EF5E80">
        <w:t xml:space="preserve">. 2023;14(6):e0142623. [doi: </w:t>
      </w:r>
      <w:hyperlink r:id="rId80" w:history="1">
        <w:r w:rsidRPr="00EF5E80">
          <w:rPr>
            <w:rStyle w:val="Hyperlink"/>
          </w:rPr>
          <w:t>https://doi.org/10.1128/mbio.01426-23</w:t>
        </w:r>
      </w:hyperlink>
      <w:r w:rsidRPr="00EF5E80">
        <w:t>]</w:t>
      </w:r>
    </w:p>
    <w:p w14:paraId="31B16BFF" w14:textId="32B0AAD0" w:rsidR="00EF5E80" w:rsidRPr="00EF5E80" w:rsidRDefault="00EF5E80" w:rsidP="00EF5E80">
      <w:pPr>
        <w:pStyle w:val="EndNoteBibliography"/>
        <w:spacing w:after="0"/>
      </w:pPr>
      <w:r w:rsidRPr="00EF5E80">
        <w:t>23.</w:t>
      </w:r>
      <w:r w:rsidRPr="00EF5E80">
        <w:tab/>
        <w:t xml:space="preserve">Australian Government Department of Health and Aged Care. National Notifiable Diseases Surveillance System (NNDSS) data visualisation tool [Internet]. Canberra: Australian Government Department of Health and Aged Care. Available from: </w:t>
      </w:r>
      <w:hyperlink r:id="rId81" w:history="1">
        <w:r w:rsidRPr="00EF5E80">
          <w:rPr>
            <w:rStyle w:val="Hyperlink"/>
          </w:rPr>
          <w:t>https://nindss.health.gov.au/pbi-dashboard/</w:t>
        </w:r>
      </w:hyperlink>
      <w:r w:rsidRPr="00EF5E80">
        <w:t>.</w:t>
      </w:r>
    </w:p>
    <w:p w14:paraId="3946F176" w14:textId="6B13EF86" w:rsidR="00EF5E80" w:rsidRPr="00EF5E80" w:rsidRDefault="00EF5E80" w:rsidP="00EF5E80">
      <w:pPr>
        <w:pStyle w:val="EndNoteBibliography"/>
        <w:spacing w:after="0"/>
      </w:pPr>
      <w:r w:rsidRPr="00EF5E80">
        <w:t>24.</w:t>
      </w:r>
      <w:r w:rsidRPr="00EF5E80">
        <w:tab/>
        <w:t xml:space="preserve">Lu C, Barr IG, Lambert S, Mengersen K, Wang L, Yang W, et al. Shifts in seasonal influenza patterns in Australia during and after COVID-19: A comprehensive analysis. </w:t>
      </w:r>
      <w:r w:rsidRPr="00EF5E80">
        <w:rPr>
          <w:i/>
        </w:rPr>
        <w:t>J Infect Public Health</w:t>
      </w:r>
      <w:r w:rsidRPr="00EF5E80">
        <w:t xml:space="preserve">. 2025;18(1):102620. [doi: </w:t>
      </w:r>
      <w:hyperlink r:id="rId82" w:history="1">
        <w:r w:rsidRPr="00EF5E80">
          <w:rPr>
            <w:rStyle w:val="Hyperlink"/>
          </w:rPr>
          <w:t>https://doi.org/10.1016/j.jiph.2024.102620</w:t>
        </w:r>
      </w:hyperlink>
      <w:r w:rsidRPr="00EF5E80">
        <w:t>]</w:t>
      </w:r>
    </w:p>
    <w:p w14:paraId="42676681" w14:textId="144837ED" w:rsidR="00EF5E80" w:rsidRPr="00EF5E80" w:rsidRDefault="00EF5E80" w:rsidP="00EF5E80">
      <w:pPr>
        <w:pStyle w:val="EndNoteBibliography"/>
        <w:spacing w:after="0"/>
      </w:pPr>
      <w:r w:rsidRPr="00EF5E80">
        <w:t>25.</w:t>
      </w:r>
      <w:r w:rsidRPr="00EF5E80">
        <w:tab/>
        <w:t xml:space="preserve">Australian Bureau of Statistics. Deaths due to COVID-19, influenza and RSV in Australia - 2022 - November 2024 [Internet]. Canberra: Australian Bureau of Statistics; 2025. Available from: </w:t>
      </w:r>
      <w:hyperlink r:id="rId83" w:history="1">
        <w:r w:rsidRPr="00EF5E80">
          <w:rPr>
            <w:rStyle w:val="Hyperlink"/>
          </w:rPr>
          <w:t>https://www.abs.gov.au/articles/deaths-due-covid-19-influenza-and-rsv-australia-2022-november-2024</w:t>
        </w:r>
      </w:hyperlink>
      <w:r w:rsidRPr="00EF5E80">
        <w:t>.</w:t>
      </w:r>
    </w:p>
    <w:p w14:paraId="3CD1B042" w14:textId="5E0D135D" w:rsidR="00EF5E80" w:rsidRPr="00EF5E80" w:rsidRDefault="00EF5E80" w:rsidP="00EF5E80">
      <w:pPr>
        <w:pStyle w:val="EndNoteBibliography"/>
        <w:spacing w:after="0"/>
      </w:pPr>
      <w:r w:rsidRPr="00EF5E80">
        <w:t>26.</w:t>
      </w:r>
      <w:r w:rsidRPr="00EF5E80">
        <w:tab/>
        <w:t xml:space="preserve">Kaku Y, Yo MS, Tolentino JE, Uriu K, Okumura K, Ito J, et al. Virological characteristics of the SARS-CoV-2 KP.3, LB.1, and KP.2.3 variants. </w:t>
      </w:r>
      <w:r w:rsidRPr="00EF5E80">
        <w:rPr>
          <w:i/>
        </w:rPr>
        <w:t>Lancet Infect Dis</w:t>
      </w:r>
      <w:r w:rsidRPr="00EF5E80">
        <w:t xml:space="preserve">. 2024;24(8):e482-e3. [doi: </w:t>
      </w:r>
      <w:hyperlink r:id="rId84" w:history="1">
        <w:r w:rsidRPr="00EF5E80">
          <w:rPr>
            <w:rStyle w:val="Hyperlink"/>
          </w:rPr>
          <w:t>https://doi.org/10.1016/S1473-3099(24)00415-8</w:t>
        </w:r>
      </w:hyperlink>
      <w:r w:rsidRPr="00EF5E80">
        <w:t>]</w:t>
      </w:r>
    </w:p>
    <w:p w14:paraId="7B3F9427" w14:textId="40A70EA8" w:rsidR="00EF5E80" w:rsidRPr="00EF5E80" w:rsidRDefault="00EF5E80" w:rsidP="00EF5E80">
      <w:pPr>
        <w:pStyle w:val="EndNoteBibliography"/>
        <w:spacing w:after="0"/>
      </w:pPr>
      <w:r w:rsidRPr="00EF5E80">
        <w:t>27.</w:t>
      </w:r>
      <w:r w:rsidRPr="00EF5E80">
        <w:tab/>
        <w:t xml:space="preserve">Kaku Y, Uriu K, Okumura K, Ito J, Sato K. Virological characteristics of the SARS-CoV-2 KP.3.1.1 variant. </w:t>
      </w:r>
      <w:r w:rsidRPr="00EF5E80">
        <w:rPr>
          <w:i/>
        </w:rPr>
        <w:t>Lancet Infect Dis</w:t>
      </w:r>
      <w:r w:rsidRPr="00EF5E80">
        <w:t xml:space="preserve">. 2024;24(10):e609. [doi: </w:t>
      </w:r>
      <w:hyperlink r:id="rId85" w:history="1">
        <w:r w:rsidRPr="00EF5E80">
          <w:rPr>
            <w:rStyle w:val="Hyperlink"/>
          </w:rPr>
          <w:t>https://doi.org/10.1016/S1473-3099(24)00505-X</w:t>
        </w:r>
      </w:hyperlink>
      <w:r w:rsidRPr="00EF5E80">
        <w:t>]</w:t>
      </w:r>
    </w:p>
    <w:p w14:paraId="37C9675A" w14:textId="0ADADF4A" w:rsidR="00EF5E80" w:rsidRPr="00EF5E80" w:rsidRDefault="00EF5E80" w:rsidP="00EF5E80">
      <w:pPr>
        <w:pStyle w:val="EndNoteBibliography"/>
        <w:spacing w:after="0"/>
      </w:pPr>
      <w:r w:rsidRPr="00EF5E80">
        <w:t>28.</w:t>
      </w:r>
      <w:r w:rsidRPr="00EF5E80">
        <w:tab/>
        <w:t xml:space="preserve">World Health Organization Technical Advisory Group on Virus Evolution. Risk evaluation of for SARS-CoV-2 Variant Under Monitoring: XEC [Internet]. Geneva: World Health Organization; 2024. Available from: </w:t>
      </w:r>
      <w:hyperlink r:id="rId86" w:history="1">
        <w:r w:rsidRPr="00EF5E80">
          <w:rPr>
            <w:rStyle w:val="Hyperlink"/>
          </w:rPr>
          <w:t>https://www.who.int/docs/default-source/coronaviruse/09122024_xec_ire.pdf</w:t>
        </w:r>
      </w:hyperlink>
      <w:r w:rsidRPr="00EF5E80">
        <w:t>.</w:t>
      </w:r>
    </w:p>
    <w:p w14:paraId="389105D9" w14:textId="537B7030" w:rsidR="00EF5E80" w:rsidRPr="00EF5E80" w:rsidRDefault="00EF5E80" w:rsidP="00EF5E80">
      <w:pPr>
        <w:pStyle w:val="EndNoteBibliography"/>
        <w:spacing w:after="0"/>
      </w:pPr>
      <w:r w:rsidRPr="00EF5E80">
        <w:t>29.</w:t>
      </w:r>
      <w:r w:rsidRPr="00EF5E80">
        <w:tab/>
        <w:t xml:space="preserve">Australian Government Department of Health. National 2020 Influenza Season Summary [Internet]. Canberra: Australian Government Department of Health; 2020. Available from: </w:t>
      </w:r>
      <w:hyperlink r:id="rId87" w:history="1">
        <w:r w:rsidRPr="00EF5E80">
          <w:rPr>
            <w:rStyle w:val="Hyperlink"/>
          </w:rPr>
          <w:t>https://www.health.gov.au/resources/publications/aisr-2020-national-influenza-season-summary</w:t>
        </w:r>
      </w:hyperlink>
      <w:r w:rsidRPr="00EF5E80">
        <w:t>.</w:t>
      </w:r>
    </w:p>
    <w:p w14:paraId="608AB6E8" w14:textId="090038B0" w:rsidR="00EF5E80" w:rsidRPr="00EF5E80" w:rsidRDefault="00EF5E80" w:rsidP="00EF5E80">
      <w:pPr>
        <w:pStyle w:val="EndNoteBibliography"/>
        <w:spacing w:after="0"/>
      </w:pPr>
      <w:r w:rsidRPr="00EF5E80">
        <w:t>30.</w:t>
      </w:r>
      <w:r w:rsidRPr="00EF5E80">
        <w:tab/>
        <w:t xml:space="preserve">Barr IG, Subbarao K. Implications of the apparent extinction of B/Yamagata-lineage human influenza viruses. </w:t>
      </w:r>
      <w:r w:rsidRPr="00EF5E80">
        <w:rPr>
          <w:i/>
        </w:rPr>
        <w:t>npj Vaccines</w:t>
      </w:r>
      <w:r w:rsidRPr="00EF5E80">
        <w:t xml:space="preserve">. 2024;9(1):219. [doi: </w:t>
      </w:r>
      <w:hyperlink r:id="rId88" w:history="1">
        <w:r w:rsidRPr="00EF5E80">
          <w:rPr>
            <w:rStyle w:val="Hyperlink"/>
          </w:rPr>
          <w:t>https://doi.org/10.1038/s41541-024-01010-y</w:t>
        </w:r>
      </w:hyperlink>
      <w:r w:rsidRPr="00EF5E80">
        <w:t>]</w:t>
      </w:r>
    </w:p>
    <w:p w14:paraId="5DFCC717" w14:textId="4A5A0880" w:rsidR="00EF5E80" w:rsidRPr="00EF5E80" w:rsidRDefault="00EF5E80" w:rsidP="00EF5E80">
      <w:pPr>
        <w:pStyle w:val="EndNoteBibliography"/>
        <w:spacing w:after="0"/>
      </w:pPr>
      <w:r w:rsidRPr="00EF5E80">
        <w:t>31.</w:t>
      </w:r>
      <w:r w:rsidRPr="00EF5E80">
        <w:tab/>
        <w:t xml:space="preserve">Caini S, Meijer A, Nunes MC, Henaff L, Zounon M, Boudewijns B, et al. Probable extinction of influenza B/Yamagata and its public health implications: a systematic literature review and assessment of global surveillance databases. </w:t>
      </w:r>
      <w:r w:rsidRPr="00EF5E80">
        <w:rPr>
          <w:i/>
        </w:rPr>
        <w:t>Lancet Microbe</w:t>
      </w:r>
      <w:r w:rsidRPr="00EF5E80">
        <w:t xml:space="preserve">. 2024;5(8). [doi: </w:t>
      </w:r>
      <w:hyperlink r:id="rId89" w:history="1">
        <w:r w:rsidRPr="00EF5E80">
          <w:rPr>
            <w:rStyle w:val="Hyperlink"/>
          </w:rPr>
          <w:t>https://doi.org/10.1016/S2666-5247(24)00066-1</w:t>
        </w:r>
      </w:hyperlink>
      <w:r w:rsidRPr="00EF5E80">
        <w:t>]</w:t>
      </w:r>
    </w:p>
    <w:p w14:paraId="77FD3E79" w14:textId="59524EFD" w:rsidR="00EF5E80" w:rsidRPr="00EF5E80" w:rsidRDefault="00EF5E80" w:rsidP="00EF5E80">
      <w:pPr>
        <w:pStyle w:val="EndNoteBibliography"/>
        <w:spacing w:after="0"/>
      </w:pPr>
      <w:r w:rsidRPr="00EF5E80">
        <w:t>32.</w:t>
      </w:r>
      <w:r w:rsidRPr="00EF5E80">
        <w:tab/>
        <w:t xml:space="preserve">Australian Government Department of Health and Aged Care. COVID-19 vaccines [Internet]. Canberra: Australian Government Department of Health and Aged Care; 2025. Available from: </w:t>
      </w:r>
      <w:hyperlink r:id="rId90" w:history="1">
        <w:r w:rsidRPr="00EF5E80">
          <w:rPr>
            <w:rStyle w:val="Hyperlink"/>
          </w:rPr>
          <w:t>https://www.health.gov.au/our-work/covid-19-vaccines</w:t>
        </w:r>
      </w:hyperlink>
      <w:r w:rsidRPr="00EF5E80">
        <w:t>.</w:t>
      </w:r>
    </w:p>
    <w:p w14:paraId="2B87D388" w14:textId="257E2C73" w:rsidR="00EF5E80" w:rsidRPr="00EF5E80" w:rsidRDefault="00EF5E80" w:rsidP="00EF5E80">
      <w:pPr>
        <w:pStyle w:val="EndNoteBibliography"/>
        <w:spacing w:after="0"/>
      </w:pPr>
      <w:r w:rsidRPr="00EF5E80">
        <w:t>33.</w:t>
      </w:r>
      <w:r w:rsidRPr="00EF5E80">
        <w:tab/>
        <w:t xml:space="preserve">Australian Government Department of Health and Aged Care. Influenza (flu) vaccine [Internet ]. Canberra: Australian Government Department of Health and Aged Care; 2025. Available from: </w:t>
      </w:r>
      <w:hyperlink r:id="rId91" w:history="1">
        <w:r w:rsidRPr="00EF5E80">
          <w:rPr>
            <w:rStyle w:val="Hyperlink"/>
          </w:rPr>
          <w:t>https://www.health.gov.au/topics/immunisation/vaccines/influenza-flu-vaccine</w:t>
        </w:r>
      </w:hyperlink>
      <w:r w:rsidRPr="00EF5E80">
        <w:t>.</w:t>
      </w:r>
    </w:p>
    <w:p w14:paraId="6A1ACE91" w14:textId="45BD77EC" w:rsidR="00EF5E80" w:rsidRPr="00EF5E80" w:rsidRDefault="00EF5E80" w:rsidP="00EF5E80">
      <w:pPr>
        <w:pStyle w:val="EndNoteBibliography"/>
        <w:spacing w:after="0"/>
      </w:pPr>
      <w:r w:rsidRPr="00EF5E80">
        <w:t>34.</w:t>
      </w:r>
      <w:r w:rsidRPr="00EF5E80">
        <w:tab/>
        <w:t xml:space="preserve">Australian Government Department of Health and Aged Care. Respiratory syncytial virus (RSV) vaccine [Internet]. Canberra: Australian Government Department of Health and Aged Care; 2025. Available from: </w:t>
      </w:r>
      <w:hyperlink r:id="rId92" w:history="1">
        <w:r w:rsidRPr="00EF5E80">
          <w:rPr>
            <w:rStyle w:val="Hyperlink"/>
          </w:rPr>
          <w:t>https://www.health.gov.au/topics/immunisation/vaccines/respiratory-syncytial-virus-rsv-vaccine</w:t>
        </w:r>
      </w:hyperlink>
      <w:r w:rsidRPr="00EF5E80">
        <w:t>.</w:t>
      </w:r>
    </w:p>
    <w:p w14:paraId="0C17D0F8" w14:textId="6542F7EF" w:rsidR="00EF5E80" w:rsidRPr="00EF5E80" w:rsidRDefault="00EF5E80" w:rsidP="00EF5E80">
      <w:pPr>
        <w:pStyle w:val="EndNoteBibliography"/>
        <w:spacing w:after="0"/>
      </w:pPr>
      <w:r w:rsidRPr="00EF5E80">
        <w:t>35.</w:t>
      </w:r>
      <w:r w:rsidRPr="00EF5E80">
        <w:tab/>
        <w:t xml:space="preserve">Trombetta CM, Kistner O, Montomoli E, Viviani S, Marchi S. Influenza Viruses and Vaccines: The Role of Vaccine Effectiveness Studies for Evaluation of the Benefits of Influenza Vaccines. </w:t>
      </w:r>
      <w:r w:rsidRPr="00EF5E80">
        <w:rPr>
          <w:i/>
        </w:rPr>
        <w:t>Vaccines</w:t>
      </w:r>
      <w:r w:rsidRPr="00EF5E80">
        <w:t xml:space="preserve">. 2022;10(5). [doi: </w:t>
      </w:r>
      <w:hyperlink r:id="rId93" w:history="1">
        <w:r w:rsidRPr="00EF5E80">
          <w:rPr>
            <w:rStyle w:val="Hyperlink"/>
          </w:rPr>
          <w:t>https://doi.org/10.3390/vaccines10050714</w:t>
        </w:r>
      </w:hyperlink>
      <w:r w:rsidRPr="00EF5E80">
        <w:t>]</w:t>
      </w:r>
    </w:p>
    <w:p w14:paraId="78F1D1A7" w14:textId="25169D14" w:rsidR="00EF5E80" w:rsidRPr="00EF5E80" w:rsidRDefault="00EF5E80" w:rsidP="00EF5E80">
      <w:pPr>
        <w:pStyle w:val="EndNoteBibliography"/>
        <w:spacing w:after="0"/>
      </w:pPr>
      <w:r w:rsidRPr="00EF5E80">
        <w:lastRenderedPageBreak/>
        <w:t>36.</w:t>
      </w:r>
      <w:r w:rsidRPr="00EF5E80">
        <w:tab/>
        <w:t xml:space="preserve">Australian Government Department of Health and Aged Care. National 2022 Influenza Season Summary [Internet]. Canberra: Australian Government Department of Health and Aged Care; 2022. Available from: </w:t>
      </w:r>
      <w:hyperlink r:id="rId94" w:history="1">
        <w:r w:rsidRPr="00EF5E80">
          <w:rPr>
            <w:rStyle w:val="Hyperlink"/>
          </w:rPr>
          <w:t>https://www.health.gov.au/resources/publications/aisr-2022-national-influenza-season-summary</w:t>
        </w:r>
      </w:hyperlink>
      <w:r w:rsidRPr="00EF5E80">
        <w:t>.</w:t>
      </w:r>
    </w:p>
    <w:p w14:paraId="0DF0858D" w14:textId="4078E58F" w:rsidR="00EF5E80" w:rsidRPr="00EF5E80" w:rsidRDefault="00EF5E80" w:rsidP="00EF5E80">
      <w:pPr>
        <w:pStyle w:val="EndNoteBibliography"/>
        <w:spacing w:after="0"/>
      </w:pPr>
      <w:r w:rsidRPr="00EF5E80">
        <w:t>37.</w:t>
      </w:r>
      <w:r w:rsidRPr="00EF5E80">
        <w:tab/>
        <w:t xml:space="preserve">Australian Government Department of Health and Aged Care. 2019 Influenza Season in Australia; A summary from the National Influenza Surveillance Committee [Internet]. Canberra: Australian Government Department of Health and Aged Care; 2021. Available from: </w:t>
      </w:r>
      <w:hyperlink r:id="rId95" w:history="1">
        <w:r w:rsidRPr="00EF5E80">
          <w:rPr>
            <w:rStyle w:val="Hyperlink"/>
          </w:rPr>
          <w:t>https://www.health.gov.au/resources/publications/aisr-2019-national-influenza-season-summary</w:t>
        </w:r>
      </w:hyperlink>
      <w:r w:rsidRPr="00EF5E80">
        <w:t>.</w:t>
      </w:r>
    </w:p>
    <w:p w14:paraId="6B798E99" w14:textId="1DE0D825" w:rsidR="00EF5E80" w:rsidRPr="00EF5E80" w:rsidRDefault="00EF5E80" w:rsidP="00EF5E80">
      <w:pPr>
        <w:pStyle w:val="EndNoteBibliography"/>
      </w:pPr>
      <w:r w:rsidRPr="00EF5E80">
        <w:t>38.</w:t>
      </w:r>
      <w:r w:rsidRPr="00EF5E80">
        <w:tab/>
        <w:t xml:space="preserve">Australian Government Department of Health and Aged Care. Australian Influenza Surveillance Report – 2023 End of Season Summary [Internet]. Canberra: Australian Government Department of Health and Aged Care; 2023. Available from: </w:t>
      </w:r>
      <w:hyperlink r:id="rId96" w:history="1">
        <w:r w:rsidRPr="00EF5E80">
          <w:rPr>
            <w:rStyle w:val="Hyperlink"/>
          </w:rPr>
          <w:t>https://www.health.gov.au/resources/publications/aisr-2023-national-influenza-season-summary</w:t>
        </w:r>
      </w:hyperlink>
      <w:r w:rsidRPr="00EF5E80">
        <w:t>.</w:t>
      </w:r>
    </w:p>
    <w:p w14:paraId="16A31CC3" w14:textId="3A01A090" w:rsidR="00A715E6" w:rsidRDefault="008742D9">
      <w:r>
        <w:fldChar w:fldCharType="end"/>
      </w:r>
    </w:p>
    <w:p w14:paraId="4000181B" w14:textId="3CFE77AD" w:rsidR="008742D9" w:rsidRDefault="008742D9">
      <w:pPr>
        <w:spacing w:before="0" w:after="0" w:line="240" w:lineRule="auto"/>
      </w:pPr>
      <w:r>
        <w:br w:type="page"/>
      </w:r>
    </w:p>
    <w:p w14:paraId="7533CAA7" w14:textId="77777777" w:rsidR="008742D9" w:rsidRDefault="008742D9" w:rsidP="008742D9">
      <w:pPr>
        <w:pStyle w:val="Heading1"/>
      </w:pPr>
      <w:bookmarkStart w:id="50" w:name="_Toc194074634"/>
      <w:r>
        <w:lastRenderedPageBreak/>
        <w:t>Supplementary tables</w:t>
      </w:r>
      <w:bookmarkEnd w:id="50"/>
    </w:p>
    <w:p w14:paraId="5EF26EDD" w14:textId="5C149AE2" w:rsidR="008742D9" w:rsidRDefault="008742D9" w:rsidP="008742D9">
      <w:r>
        <w:rPr>
          <w:b/>
          <w:bCs/>
        </w:rPr>
        <w:br/>
        <w:t>Table S1: Notified cases and notification rate per 100,000 population by disease, five-year age group, and jurisdiction*</w:t>
      </w:r>
      <w:r>
        <w:rPr>
          <w:b/>
          <w:bCs/>
          <w:vertAlign w:val="superscript"/>
        </w:rPr>
        <w:t>†</w:t>
      </w:r>
      <w:r>
        <w:rPr>
          <w:b/>
          <w:bCs/>
        </w:rPr>
        <w:t>, Australia, 1 January to 31 December 2023</w:t>
      </w:r>
    </w:p>
    <w:tbl>
      <w:tblPr>
        <w:tblW w:w="5000" w:type="pct"/>
        <w:jc w:val="center"/>
        <w:tblLook w:val="0420" w:firstRow="1" w:lastRow="0" w:firstColumn="0" w:lastColumn="0" w:noHBand="0" w:noVBand="1"/>
      </w:tblPr>
      <w:tblGrid>
        <w:gridCol w:w="728"/>
        <w:gridCol w:w="1429"/>
        <w:gridCol w:w="1579"/>
        <w:gridCol w:w="1429"/>
        <w:gridCol w:w="1579"/>
        <w:gridCol w:w="1429"/>
        <w:gridCol w:w="1579"/>
      </w:tblGrid>
      <w:tr w:rsidR="008C5398" w:rsidRPr="008C5398" w14:paraId="030B136B" w14:textId="77777777" w:rsidTr="00A7551D">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0A5DFC"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C435C3"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 xml:space="preserve">COVID-19 </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4F2992"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COVID-19</w:t>
            </w:r>
            <w:r w:rsidRPr="008C5398">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FA9490"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Influenza</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223FEF"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Influenza</w:t>
            </w:r>
            <w:r w:rsidRPr="008C5398">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FBBC0B"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RSV</w:t>
            </w:r>
            <w:r w:rsidRPr="008C5398">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69D486" w14:textId="77777777" w:rsidR="008C5398" w:rsidRPr="008C5398" w:rsidRDefault="008C5398"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RSV</w:t>
            </w:r>
            <w:r w:rsidRPr="008C5398">
              <w:rPr>
                <w:rFonts w:eastAsia="Arial" w:cs="Arial"/>
                <w:b/>
                <w:color w:val="033636"/>
                <w:sz w:val="16"/>
                <w:szCs w:val="16"/>
              </w:rPr>
              <w:br/>
              <w:t>notification rate</w:t>
            </w:r>
          </w:p>
        </w:tc>
      </w:tr>
      <w:tr w:rsidR="008742D9" w:rsidRPr="008C5398" w14:paraId="5DD55DDC"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61B7C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Age group (years)</w:t>
            </w:r>
          </w:p>
        </w:tc>
      </w:tr>
      <w:tr w:rsidR="008742D9" w:rsidRPr="008C5398" w14:paraId="532C9C7A"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7E9CB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EB92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C82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7BEA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AFC7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53B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9194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4,298</w:t>
            </w:r>
          </w:p>
        </w:tc>
      </w:tr>
      <w:tr w:rsidR="008742D9" w:rsidRPr="008C5398" w14:paraId="1BD9B9BE"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BD7B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0BC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9A23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124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2A02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8016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5A3C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420</w:t>
            </w:r>
          </w:p>
        </w:tc>
      </w:tr>
      <w:tr w:rsidR="008742D9" w:rsidRPr="008C5398" w14:paraId="5E22B5EE"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76AA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2ED6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A110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CC5BD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C0B5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CDAD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3F45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189</w:t>
            </w:r>
          </w:p>
        </w:tc>
      </w:tr>
      <w:tr w:rsidR="008742D9" w:rsidRPr="008C5398" w14:paraId="11CB76C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AA47F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8E7F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8B38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CC52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21,010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3FAA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2B25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2,739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0111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165</w:t>
            </w:r>
          </w:p>
        </w:tc>
      </w:tr>
      <w:tr w:rsidR="008742D9" w:rsidRPr="008C5398" w14:paraId="21540788"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9822E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EFE3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C1E3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0C6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C57D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3134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820E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123</w:t>
            </w:r>
          </w:p>
        </w:tc>
      </w:tr>
      <w:tr w:rsidR="008742D9" w:rsidRPr="008C5398" w14:paraId="4902DE7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1A14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6105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CB3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DDED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DBC03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69E87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7883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131</w:t>
            </w:r>
          </w:p>
        </w:tc>
      </w:tr>
      <w:tr w:rsidR="008742D9" w:rsidRPr="008C5398" w14:paraId="2730024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E0FC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0A2E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7698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8AE4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17B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C398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777E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159</w:t>
            </w:r>
          </w:p>
        </w:tc>
      </w:tr>
      <w:tr w:rsidR="008742D9" w:rsidRPr="008C5398" w14:paraId="05B96E2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64E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3FF3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1B0A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A75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70A4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1E13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9E74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151</w:t>
            </w:r>
          </w:p>
        </w:tc>
      </w:tr>
      <w:tr w:rsidR="008742D9" w:rsidRPr="008C5398" w14:paraId="29C46C2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370D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D859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A80E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07E6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E16C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B9BB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19E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w:t>
            </w:r>
          </w:p>
        </w:tc>
      </w:tr>
      <w:tr w:rsidR="008742D9" w:rsidRPr="008C5398" w14:paraId="2B1E178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6727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2AFC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D354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217D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A4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577D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3A64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159</w:t>
            </w:r>
          </w:p>
        </w:tc>
      </w:tr>
      <w:tr w:rsidR="008742D9" w:rsidRPr="008C5398" w14:paraId="05BA674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88E6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CA7E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29E5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048E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26E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617E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FC4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197</w:t>
            </w:r>
          </w:p>
        </w:tc>
      </w:tr>
      <w:tr w:rsidR="008742D9" w:rsidRPr="008C5398" w14:paraId="2135C4E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82C0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E460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1AF4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DC86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E53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E779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FDB1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246</w:t>
            </w:r>
          </w:p>
        </w:tc>
      </w:tr>
      <w:tr w:rsidR="008742D9" w:rsidRPr="008C5398" w14:paraId="77A423C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F6B7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AB21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BC0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C587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BA36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97BB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C03A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282</w:t>
            </w:r>
          </w:p>
        </w:tc>
      </w:tr>
      <w:tr w:rsidR="008742D9" w:rsidRPr="008C5398" w14:paraId="4B7CE3DF"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FCB57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9CCE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58DF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3CF1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C6C1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B73D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6DB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306</w:t>
            </w:r>
          </w:p>
        </w:tc>
      </w:tr>
      <w:tr w:rsidR="008742D9" w:rsidRPr="008C5398" w14:paraId="210ED7E4"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3EBD6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5C92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2ACB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9CB1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20C6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372D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18,910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A4F3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566</w:t>
            </w:r>
          </w:p>
        </w:tc>
      </w:tr>
      <w:tr w:rsidR="008742D9" w:rsidRPr="008C5398" w14:paraId="42CB3321"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7CFB8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 xml:space="preserve">Jurisdiction </w:t>
            </w:r>
          </w:p>
        </w:tc>
      </w:tr>
      <w:tr w:rsidR="008742D9" w:rsidRPr="008C5398" w14:paraId="6EC6560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549D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E703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3767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3E16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B457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F5F6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FE4C6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433</w:t>
            </w:r>
          </w:p>
        </w:tc>
      </w:tr>
      <w:tr w:rsidR="008742D9" w:rsidRPr="008C5398" w14:paraId="791C38B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F04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9CD38"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165,369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2A6E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A93D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104,648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5518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48B8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46,584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9361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549</w:t>
            </w:r>
          </w:p>
        </w:tc>
      </w:tr>
      <w:tr w:rsidR="008742D9" w:rsidRPr="008C5398" w14:paraId="7424A53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B7A43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3713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B8E1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7084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2,776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4BF2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5A8E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5CDA0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235</w:t>
            </w:r>
          </w:p>
        </w:tc>
      </w:tr>
      <w:tr w:rsidR="008742D9" w:rsidRPr="008C5398" w14:paraId="44EE74F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3200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149F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57,548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E9DB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6007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74,346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C1CC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A13B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28,792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13C16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515</w:t>
            </w:r>
          </w:p>
        </w:tc>
      </w:tr>
      <w:tr w:rsidR="008742D9" w:rsidRPr="008C5398" w14:paraId="3DE62AB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AE41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CA8C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32,884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2FDF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6869"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22,366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895F"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2B37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12,175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CA22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648</w:t>
            </w:r>
          </w:p>
        </w:tc>
      </w:tr>
      <w:tr w:rsidR="008742D9" w:rsidRPr="008C5398" w14:paraId="774E6C9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1341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894D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4,987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2322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AD1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BFCE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19E1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A4AA5"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371</w:t>
            </w:r>
          </w:p>
        </w:tc>
      </w:tr>
      <w:tr w:rsidR="008742D9" w:rsidRPr="008C5398" w14:paraId="1AC0CE1A"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A7BB3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6CE6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53,225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A1F7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4DE7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56,154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809D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BF8D27"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25,239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6BC40"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362</w:t>
            </w:r>
          </w:p>
        </w:tc>
      </w:tr>
      <w:tr w:rsidR="008742D9" w:rsidRPr="008C5398" w14:paraId="2EB8930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F6FD1"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8C5398">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1A3D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19,083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7D70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0487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21,190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89D7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D22AA"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10,542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379E16"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8C5398">
              <w:rPr>
                <w:rFonts w:eastAsia="Arial" w:cs="Arial"/>
                <w:color w:val="033636"/>
                <w:sz w:val="16"/>
                <w:szCs w:val="16"/>
              </w:rPr>
              <w:t>356</w:t>
            </w:r>
          </w:p>
        </w:tc>
      </w:tr>
      <w:tr w:rsidR="008742D9" w:rsidRPr="008C5398" w14:paraId="595FDCE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ED2FA2"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8C5398">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494D9E"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341,646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3724C"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4CDE3"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289,154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B561B"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31F14"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128,123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3C10DD" w14:textId="77777777" w:rsidR="008742D9" w:rsidRPr="008C5398"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8C5398">
              <w:rPr>
                <w:rFonts w:eastAsia="Arial" w:cs="Arial"/>
                <w:b/>
                <w:color w:val="033636"/>
                <w:sz w:val="16"/>
                <w:szCs w:val="16"/>
              </w:rPr>
              <w:t>471</w:t>
            </w:r>
          </w:p>
        </w:tc>
      </w:tr>
    </w:tbl>
    <w:p w14:paraId="4DA98179" w14:textId="1ED1EF83" w:rsidR="008742D9" w:rsidRDefault="00106431" w:rsidP="008742D9">
      <w:r w:rsidRPr="001A4DB7">
        <w:rPr>
          <w:sz w:val="14"/>
        </w:rPr>
        <w:t xml:space="preserve">Source: </w:t>
      </w:r>
      <w:r w:rsidRPr="00132D56">
        <w:rPr>
          <w:sz w:val="14"/>
          <w:szCs w:val="18"/>
        </w:rPr>
        <w:t>National Notifiable Diseases Surveillance System (NNDSS)</w:t>
      </w:r>
      <w:r w:rsidRPr="00C23A60">
        <w:rPr>
          <w:sz w:val="14"/>
          <w:szCs w:val="18"/>
        </w:rPr>
        <w:t>, extracted 5 March 2025</w:t>
      </w:r>
      <w:r>
        <w:rPr>
          <w:sz w:val="14"/>
          <w:szCs w:val="18"/>
        </w:rPr>
        <w:t>.</w:t>
      </w:r>
      <w:r w:rsidRPr="001A4DB7">
        <w:rPr>
          <w:sz w:val="14"/>
        </w:rPr>
        <w:br/>
      </w:r>
      <w:r w:rsidR="008742D9">
        <w:br w:type="page"/>
      </w:r>
    </w:p>
    <w:p w14:paraId="7AD8E1B6" w14:textId="2650A9E2" w:rsidR="008742D9" w:rsidRDefault="008742D9" w:rsidP="008742D9">
      <w:pPr>
        <w:pStyle w:val="BodyText"/>
      </w:pPr>
      <w:r>
        <w:rPr>
          <w:b/>
          <w:bCs/>
        </w:rPr>
        <w:lastRenderedPageBreak/>
        <w:t>Table S2: Notified cases and notification rate per 100,000 population by disease, five-year age group, and jurisdiction*</w:t>
      </w:r>
      <w:r>
        <w:rPr>
          <w:b/>
          <w:bCs/>
          <w:vertAlign w:val="superscript"/>
        </w:rPr>
        <w:t>†</w:t>
      </w:r>
      <w:r>
        <w:rPr>
          <w:b/>
          <w:bCs/>
        </w:rPr>
        <w:t>, Australia, 1 January to 31 December 2022</w:t>
      </w:r>
    </w:p>
    <w:tbl>
      <w:tblPr>
        <w:tblW w:w="5000" w:type="pct"/>
        <w:jc w:val="center"/>
        <w:tblLook w:val="0420" w:firstRow="1" w:lastRow="0" w:firstColumn="0" w:lastColumn="0" w:noHBand="0" w:noVBand="1"/>
      </w:tblPr>
      <w:tblGrid>
        <w:gridCol w:w="728"/>
        <w:gridCol w:w="1429"/>
        <w:gridCol w:w="1579"/>
        <w:gridCol w:w="1429"/>
        <w:gridCol w:w="1579"/>
        <w:gridCol w:w="1429"/>
        <w:gridCol w:w="1579"/>
      </w:tblGrid>
      <w:tr w:rsidR="0025527B" w:rsidRPr="0025527B" w14:paraId="4F746FF3" w14:textId="77777777" w:rsidTr="00A7551D">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5A3B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C65B9A"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 xml:space="preserve">COVID-19 </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B4FEA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COVID-19</w:t>
            </w:r>
            <w:r w:rsidRPr="0025527B">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9A5976"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Influenza</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66C309"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Influenza</w:t>
            </w:r>
            <w:r w:rsidRPr="0025527B">
              <w:rPr>
                <w:rFonts w:eastAsia="Arial" w:cs="Arial"/>
                <w:b/>
                <w:color w:val="033636"/>
                <w:sz w:val="16"/>
                <w:szCs w:val="16"/>
              </w:rPr>
              <w:br/>
              <w:t>notification 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54E877"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RSV</w:t>
            </w:r>
            <w:r w:rsidRPr="0025527B">
              <w:rPr>
                <w:rFonts w:eastAsia="Arial" w:cs="Arial"/>
                <w:b/>
                <w:color w:val="033636"/>
                <w:sz w:val="16"/>
                <w:szCs w:val="16"/>
              </w:rPr>
              <w:br/>
              <w:t>notified cases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66FFEA" w14:textId="77777777" w:rsidR="0025527B" w:rsidRPr="0025527B" w:rsidRDefault="0025527B" w:rsidP="00A7551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RSV</w:t>
            </w:r>
            <w:r w:rsidRPr="0025527B">
              <w:rPr>
                <w:rFonts w:eastAsia="Arial" w:cs="Arial"/>
                <w:b/>
                <w:color w:val="033636"/>
                <w:sz w:val="16"/>
                <w:szCs w:val="16"/>
              </w:rPr>
              <w:br/>
              <w:t>notification rate</w:t>
            </w:r>
          </w:p>
        </w:tc>
      </w:tr>
      <w:tr w:rsidR="008742D9" w:rsidRPr="0025527B" w14:paraId="01E39DCF"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C20FC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Age group (years)</w:t>
            </w:r>
          </w:p>
        </w:tc>
      </w:tr>
      <w:tr w:rsidR="008742D9" w:rsidRPr="0025527B" w14:paraId="64F59AF4"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9CC5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009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204,948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C2A3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B211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07A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2992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48,147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95E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3,191</w:t>
            </w:r>
          </w:p>
        </w:tc>
      </w:tr>
      <w:tr w:rsidR="008742D9" w:rsidRPr="0025527B" w14:paraId="16E998C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670F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7690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223,101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5E49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8FA95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0F7D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1405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DE016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403</w:t>
            </w:r>
          </w:p>
        </w:tc>
      </w:tr>
      <w:tr w:rsidR="008742D9" w:rsidRPr="0025527B" w14:paraId="7C3AB38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7C10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4C0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244,506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42B3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BD60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24,397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E584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C98A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9B6E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186</w:t>
            </w:r>
          </w:p>
        </w:tc>
      </w:tr>
      <w:tr w:rsidR="008742D9" w:rsidRPr="0025527B" w14:paraId="173C043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531C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492D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277,795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2F8D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0E7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78D8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E6D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B991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169</w:t>
            </w:r>
          </w:p>
        </w:tc>
      </w:tr>
      <w:tr w:rsidR="008742D9" w:rsidRPr="0025527B" w14:paraId="1B956B1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B2A3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F779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395,778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ACB9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2535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15,681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46D3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E1EA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DA164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132</w:t>
            </w:r>
          </w:p>
        </w:tc>
      </w:tr>
      <w:tr w:rsidR="008742D9" w:rsidRPr="0025527B" w14:paraId="0E9D2DE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9844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38EF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428,054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0CC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B1FD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04E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C5EB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B880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131</w:t>
            </w:r>
          </w:p>
        </w:tc>
      </w:tr>
      <w:tr w:rsidR="008742D9" w:rsidRPr="0025527B" w14:paraId="6AB9AE4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7092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7F2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412,697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926D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4C81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C47E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07D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3,077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E3F9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151</w:t>
            </w:r>
          </w:p>
        </w:tc>
      </w:tr>
      <w:tr w:rsidR="008742D9" w:rsidRPr="0025527B" w14:paraId="4A9A5C50"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0163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1F55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391,873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D895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A585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C19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4CB4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6AD1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146</w:t>
            </w:r>
          </w:p>
        </w:tc>
      </w:tr>
      <w:tr w:rsidR="008742D9" w:rsidRPr="0025527B" w14:paraId="0D5DCB3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43B9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DB64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341,967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615F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54E3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76C4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1ABD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A655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120</w:t>
            </w:r>
          </w:p>
        </w:tc>
      </w:tr>
      <w:tr w:rsidR="008742D9" w:rsidRPr="0025527B" w14:paraId="6EB53B26"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8C67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23E1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311,066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3B13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1ACA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91BD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E088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9314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136</w:t>
            </w:r>
          </w:p>
        </w:tc>
      </w:tr>
      <w:tr w:rsidR="008742D9" w:rsidRPr="0025527B" w14:paraId="236339B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B1B6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851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296,914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CEBA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17,567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8F19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B6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A35C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EEF6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156</w:t>
            </w:r>
          </w:p>
        </w:tc>
      </w:tr>
      <w:tr w:rsidR="008742D9" w:rsidRPr="0025527B" w14:paraId="28059F55"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A73F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F3A4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259,156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DA5E3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D9AA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6,598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2F2B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69F4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B9ABE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180</w:t>
            </w:r>
          </w:p>
        </w:tc>
      </w:tr>
      <w:tr w:rsidR="008742D9" w:rsidRPr="0025527B" w14:paraId="51D54621"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E397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0C82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230,384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A71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15,014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9E16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84D4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8C2F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BECB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192</w:t>
            </w:r>
          </w:p>
        </w:tc>
      </w:tr>
      <w:tr w:rsidR="008742D9" w:rsidRPr="0025527B" w14:paraId="0CAD4EE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0406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4405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173,506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3DED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94E5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EAD0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0CE7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CAA4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202</w:t>
            </w:r>
          </w:p>
        </w:tc>
      </w:tr>
      <w:tr w:rsidR="008742D9" w:rsidRPr="0025527B" w14:paraId="062C34B2"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9613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35EA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431,961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25D2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D1F2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1D20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3E1F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07E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267</w:t>
            </w:r>
          </w:p>
        </w:tc>
      </w:tr>
      <w:tr w:rsidR="008742D9" w:rsidRPr="0025527B" w14:paraId="16D2F519" w14:textId="77777777" w:rsidTr="00DF709A">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EE3E2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 xml:space="preserve">Jurisdiction </w:t>
            </w:r>
          </w:p>
        </w:tc>
      </w:tr>
      <w:tr w:rsidR="008742D9" w:rsidRPr="0025527B" w14:paraId="3AC7143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189E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3A01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124,029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11E9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26,159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E91D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CE36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9CD68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E2F3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300</w:t>
            </w:r>
          </w:p>
        </w:tc>
      </w:tr>
      <w:tr w:rsidR="008742D9" w:rsidRPr="0025527B" w14:paraId="4F115503"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F991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1AF2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1,827,548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A095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21,540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4739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116,371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2674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0F45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9CC5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w:t>
            </w:r>
          </w:p>
        </w:tc>
      </w:tr>
      <w:tr w:rsidR="008742D9" w:rsidRPr="0025527B" w14:paraId="4A4EB83D"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7366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EA68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22,448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7106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8,800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C78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AA0B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3CAC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6B5F0"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508</w:t>
            </w:r>
          </w:p>
        </w:tc>
      </w:tr>
      <w:tr w:rsidR="008742D9" w:rsidRPr="0025527B" w14:paraId="2BB94EA9"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EE64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4539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628,541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85525"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0765C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44,436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7539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E7D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BDA0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532</w:t>
            </w:r>
          </w:p>
        </w:tc>
      </w:tr>
      <w:tr w:rsidR="008742D9" w:rsidRPr="0025527B" w14:paraId="47982FEB"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B81B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CE90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487,574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59D5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25,962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1278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12,092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676F4"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E53B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E950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508</w:t>
            </w:r>
          </w:p>
        </w:tc>
      </w:tr>
      <w:tr w:rsidR="008742D9" w:rsidRPr="0025527B" w14:paraId="2645B9AF"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3264F"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179A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62,017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56E3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10,779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1E656"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2,986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E271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F7461"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075D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701</w:t>
            </w:r>
          </w:p>
        </w:tc>
      </w:tr>
      <w:tr w:rsidR="008742D9" w:rsidRPr="0025527B" w14:paraId="4B8C33D7"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13CB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370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989,752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A232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3960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36,599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AFD5A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511BC"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32,342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622A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463</w:t>
            </w:r>
          </w:p>
        </w:tc>
      </w:tr>
      <w:tr w:rsidR="008742D9" w:rsidRPr="0025527B" w14:paraId="5F7F5C2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D8A6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sidRPr="0025527B">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3A6A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490,647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E0E19"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16,547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F80F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14,063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454AE"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19132"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11,655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BF9E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sidRPr="0025527B">
              <w:rPr>
                <w:rFonts w:eastAsia="Arial" w:cs="Arial"/>
                <w:color w:val="033636"/>
                <w:sz w:val="16"/>
                <w:szCs w:val="16"/>
              </w:rPr>
              <w:t>393</w:t>
            </w:r>
          </w:p>
        </w:tc>
      </w:tr>
      <w:tr w:rsidR="008742D9" w:rsidRPr="0025527B" w14:paraId="6C4EFF2C" w14:textId="77777777" w:rsidTr="00DF709A">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FFFD8"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25527B">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6BE9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4,632,556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CB48E7"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17,028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8A4DA"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233,455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91E5B"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E56C3"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95,960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3382D" w14:textId="77777777" w:rsidR="008742D9" w:rsidRPr="0025527B" w:rsidRDefault="008742D9" w:rsidP="00DF709A">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sidRPr="0025527B">
              <w:rPr>
                <w:rFonts w:eastAsia="Arial" w:cs="Arial"/>
                <w:b/>
                <w:color w:val="033636"/>
                <w:sz w:val="16"/>
                <w:szCs w:val="16"/>
              </w:rPr>
              <w:t>353</w:t>
            </w:r>
          </w:p>
        </w:tc>
      </w:tr>
    </w:tbl>
    <w:p w14:paraId="0941F387" w14:textId="3FF26BBF" w:rsidR="008742D9" w:rsidRDefault="00106431" w:rsidP="000E02DC">
      <w:r w:rsidRPr="001A4DB7">
        <w:rPr>
          <w:sz w:val="14"/>
        </w:rPr>
        <w:t xml:space="preserve">Source: </w:t>
      </w:r>
      <w:r w:rsidRPr="00132D56">
        <w:rPr>
          <w:sz w:val="14"/>
          <w:szCs w:val="18"/>
        </w:rPr>
        <w:t>National Notifiable Diseases Surveillance System (NNDSS)</w:t>
      </w:r>
      <w:r w:rsidRPr="00C23A60">
        <w:rPr>
          <w:sz w:val="14"/>
          <w:szCs w:val="18"/>
        </w:rPr>
        <w:t>, extracted 5 March 2025</w:t>
      </w:r>
      <w:r>
        <w:rPr>
          <w:sz w:val="14"/>
          <w:szCs w:val="18"/>
        </w:rPr>
        <w:t>.</w:t>
      </w:r>
    </w:p>
    <w:sectPr w:rsidR="008742D9">
      <w:footerReference w:type="default" r:id="rId97"/>
      <w:headerReference w:type="first" r:id="rId98"/>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FC4A2" w14:textId="77777777" w:rsidR="00D84300" w:rsidRDefault="00D84300">
      <w:pPr>
        <w:spacing w:before="0" w:after="0" w:line="240" w:lineRule="auto"/>
      </w:pPr>
      <w:r>
        <w:separator/>
      </w:r>
    </w:p>
  </w:endnote>
  <w:endnote w:type="continuationSeparator" w:id="0">
    <w:p w14:paraId="6E1FE116" w14:textId="77777777" w:rsidR="00D84300" w:rsidRDefault="00D84300">
      <w:pPr>
        <w:spacing w:before="0" w:after="0" w:line="240" w:lineRule="auto"/>
      </w:pPr>
      <w:r>
        <w:continuationSeparator/>
      </w:r>
    </w:p>
  </w:endnote>
  <w:endnote w:type="continuationNotice" w:id="1">
    <w:p w14:paraId="39614104" w14:textId="77777777" w:rsidR="00D84300" w:rsidRDefault="00D843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sz w:val="16"/>
        <w:szCs w:val="16"/>
      </w:rPr>
      <w:id w:val="-215809206"/>
      <w:docPartObj>
        <w:docPartGallery w:val="Page Numbers (Bottom of Page)"/>
        <w:docPartUnique/>
      </w:docPartObj>
    </w:sdtPr>
    <w:sdtEndPr>
      <w:rPr>
        <w:sz w:val="20"/>
        <w:szCs w:val="20"/>
      </w:rPr>
    </w:sdtEndPr>
    <w:sdtContent>
      <w:p w14:paraId="16A3200B" w14:textId="0EA84C06" w:rsidR="003C2CDA" w:rsidRPr="005816BB" w:rsidRDefault="00E718A2" w:rsidP="005A5B54">
        <w:pPr>
          <w:pStyle w:val="Footer"/>
          <w:tabs>
            <w:tab w:val="left" w:pos="7620"/>
          </w:tabs>
          <w:jc w:val="center"/>
          <w:rPr>
            <w:b/>
            <w:color w:val="FFFFFF"/>
            <w:sz w:val="24"/>
            <w:szCs w:val="32"/>
          </w:rPr>
        </w:pPr>
        <w:r w:rsidRPr="005816BB">
          <w:rPr>
            <w:b/>
            <w:bCs/>
            <w:noProof/>
            <w:color w:val="FFFFFF"/>
            <w:sz w:val="24"/>
            <w:szCs w:val="32"/>
          </w:rPr>
          <w:drawing>
            <wp:anchor distT="0" distB="0" distL="114300" distR="114300" simplePos="0" relativeHeight="251658241" behindDoc="1" locked="1" layoutInCell="1" allowOverlap="1" wp14:anchorId="784B728D" wp14:editId="65B0197E">
              <wp:simplePos x="0" y="0"/>
              <wp:positionH relativeFrom="page">
                <wp:posOffset>-106680</wp:posOffset>
              </wp:positionH>
              <wp:positionV relativeFrom="page">
                <wp:posOffset>10001250</wp:posOffset>
              </wp:positionV>
              <wp:extent cx="7667625" cy="859790"/>
              <wp:effectExtent l="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25" cy="859790"/>
                      </a:xfrm>
                      <a:prstGeom prst="rect">
                        <a:avLst/>
                      </a:prstGeom>
                    </pic:spPr>
                  </pic:pic>
                </a:graphicData>
              </a:graphic>
              <wp14:sizeRelH relativeFrom="margin">
                <wp14:pctWidth>0</wp14:pctWidth>
              </wp14:sizeRelH>
              <wp14:sizeRelV relativeFrom="margin">
                <wp14:pctHeight>0</wp14:pctHeight>
              </wp14:sizeRelV>
            </wp:anchor>
          </w:drawing>
        </w:r>
        <w:r w:rsidR="0019761A" w:rsidRPr="005816BB">
          <w:rPr>
            <w:b/>
            <w:color w:val="FFFFFF"/>
          </w:rPr>
          <w:t>Interim Australian Centre for Disease Control ​</w:t>
        </w:r>
        <w:r w:rsidR="0019761A" w:rsidRPr="005816BB">
          <w:rPr>
            <w:b/>
            <w:color w:val="FFFFFF"/>
          </w:rPr>
          <w:tab/>
        </w:r>
        <w:r w:rsidR="005A5B54" w:rsidRPr="005816BB">
          <w:rPr>
            <w:b/>
            <w:bCs/>
            <w:color w:val="FFFFFF"/>
          </w:rPr>
          <w:tab/>
        </w:r>
        <w:r w:rsidR="005A5B54" w:rsidRPr="005816BB">
          <w:rPr>
            <w:b/>
            <w:bCs/>
            <w:color w:val="FFFFFF"/>
          </w:rPr>
          <w:tab/>
        </w:r>
        <w:r w:rsidR="0019761A" w:rsidRPr="005816BB">
          <w:rPr>
            <w:b/>
            <w:bCs/>
            <w:color w:val="FFFFFF"/>
          </w:rPr>
          <w:t>​ </w:t>
        </w:r>
        <w:r w:rsidR="005816BB">
          <w:rPr>
            <w:b/>
            <w:bCs/>
            <w:color w:val="FFFFFF"/>
          </w:rPr>
          <w:t xml:space="preserve">  </w:t>
        </w:r>
        <w:r w:rsidR="0019761A" w:rsidRPr="005816BB">
          <w:rPr>
            <w:b/>
            <w:color w:val="FFFFFF"/>
          </w:rPr>
          <w:fldChar w:fldCharType="begin"/>
        </w:r>
        <w:r w:rsidR="0019761A" w:rsidRPr="005816BB">
          <w:rPr>
            <w:b/>
            <w:color w:val="FFFFFF"/>
          </w:rPr>
          <w:instrText xml:space="preserve"> PAGE   \* MERGEFORMAT </w:instrText>
        </w:r>
        <w:r w:rsidR="0019761A" w:rsidRPr="005816BB">
          <w:rPr>
            <w:b/>
            <w:color w:val="FFFFFF"/>
          </w:rPr>
          <w:fldChar w:fldCharType="separate"/>
        </w:r>
        <w:r w:rsidR="0019761A" w:rsidRPr="005816BB">
          <w:rPr>
            <w:b/>
            <w:color w:val="FFFFFF"/>
          </w:rPr>
          <w:t>1</w:t>
        </w:r>
        <w:r w:rsidR="0019761A" w:rsidRPr="005816BB">
          <w:rPr>
            <w:b/>
            <w:color w:val="FFFFF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E4BA" w14:textId="77777777" w:rsidR="00D84300" w:rsidRDefault="00D84300">
      <w:r>
        <w:separator/>
      </w:r>
    </w:p>
  </w:footnote>
  <w:footnote w:type="continuationSeparator" w:id="0">
    <w:p w14:paraId="76AB8891" w14:textId="77777777" w:rsidR="00D84300" w:rsidRDefault="00D84300">
      <w:r>
        <w:continuationSeparator/>
      </w:r>
    </w:p>
  </w:footnote>
  <w:footnote w:type="continuationNotice" w:id="1">
    <w:p w14:paraId="66A341BA" w14:textId="77777777" w:rsidR="00D84300" w:rsidRDefault="00D843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200C" w14:textId="77777777" w:rsidR="003C2CDA" w:rsidRDefault="0019761A">
    <w:pPr>
      <w:pStyle w:val="Header"/>
    </w:pPr>
    <w:r>
      <w:rPr>
        <w:noProof/>
        <w:lang w:eastAsia="en-AU"/>
      </w:rPr>
      <w:drawing>
        <wp:anchor distT="0" distB="0" distL="114300" distR="114300" simplePos="0" relativeHeight="251658240" behindDoc="1" locked="1" layoutInCell="1" allowOverlap="1" wp14:anchorId="16A3200D" wp14:editId="16A3200E">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600254"/>
    <w:multiLevelType w:val="hybridMultilevel"/>
    <w:tmpl w:val="BCCC8438"/>
    <w:lvl w:ilvl="0" w:tplc="4F083940">
      <w:start w:val="1"/>
      <w:numFmt w:val="decimal"/>
      <w:lvlText w:val="%1."/>
      <w:lvlJc w:val="left"/>
      <w:pPr>
        <w:ind w:left="720" w:hanging="360"/>
      </w:pPr>
      <w:rPr>
        <w:rFonts w:ascii="Verdana" w:hAnsi="Verdana" w:hint="default"/>
        <w:color w:val="000000"/>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6B92250C"/>
    <w:lvl w:ilvl="0" w:tplc="38E4F190">
      <w:start w:val="1"/>
      <w:numFmt w:val="bullet"/>
      <w:lvlText w:val=""/>
      <w:lvlJc w:val="left"/>
      <w:pPr>
        <w:ind w:left="360" w:hanging="360"/>
      </w:pPr>
      <w:rPr>
        <w:rFonts w:ascii="Symbol" w:hAnsi="Symbol" w:cs="Symbol" w:hint="default"/>
        <w:b w:val="0"/>
        <w:i w:val="0"/>
        <w:color w:val="033636"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DC250B"/>
    <w:multiLevelType w:val="hybridMultilevel"/>
    <w:tmpl w:val="8C5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00771"/>
    <w:multiLevelType w:val="hybridMultilevel"/>
    <w:tmpl w:val="438A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B27B9F"/>
    <w:multiLevelType w:val="hybridMultilevel"/>
    <w:tmpl w:val="CA04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5C56486"/>
    <w:multiLevelType w:val="hybridMultilevel"/>
    <w:tmpl w:val="5E22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064E0"/>
    <w:multiLevelType w:val="hybridMultilevel"/>
    <w:tmpl w:val="13FC0F52"/>
    <w:lvl w:ilvl="0" w:tplc="3B00CCF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61762A"/>
    <w:multiLevelType w:val="multilevel"/>
    <w:tmpl w:val="D652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925F39"/>
    <w:multiLevelType w:val="hybridMultilevel"/>
    <w:tmpl w:val="F8961F8C"/>
    <w:lvl w:ilvl="0" w:tplc="FFFFFFFF">
      <w:start w:val="1"/>
      <w:numFmt w:val="decimal"/>
      <w:lvlText w:val="•"/>
      <w:lvlJc w:val="left"/>
      <w:pPr>
        <w:ind w:left="720" w:hanging="480"/>
      </w:pPr>
    </w:lvl>
    <w:lvl w:ilvl="1" w:tplc="FFFFFFFF">
      <w:start w:val="1"/>
      <w:numFmt w:val="decimal"/>
      <w:lvlText w:val="–"/>
      <w:lvlJc w:val="left"/>
      <w:pPr>
        <w:ind w:left="1440" w:hanging="480"/>
      </w:pPr>
    </w:lvl>
    <w:lvl w:ilvl="2" w:tplc="FFFFFFFF">
      <w:numFmt w:val="bullet"/>
      <w:lvlText w:val="•"/>
      <w:lvlJc w:val="left"/>
      <w:pPr>
        <w:ind w:left="2160" w:hanging="480"/>
      </w:pPr>
    </w:lvl>
    <w:lvl w:ilvl="3" w:tplc="FFFFFFFF">
      <w:numFmt w:val="bullet"/>
      <w:lvlText w:val="–"/>
      <w:lvlJc w:val="left"/>
      <w:pPr>
        <w:ind w:left="2880" w:hanging="480"/>
      </w:pPr>
    </w:lvl>
    <w:lvl w:ilvl="4" w:tplc="FFFFFFFF">
      <w:numFmt w:val="bullet"/>
      <w:lvlText w:val="•"/>
      <w:lvlJc w:val="left"/>
      <w:pPr>
        <w:ind w:left="3600" w:hanging="480"/>
      </w:pPr>
    </w:lvl>
    <w:lvl w:ilvl="5" w:tplc="FFFFFFFF">
      <w:numFmt w:val="bullet"/>
      <w:lvlText w:val="–"/>
      <w:lvlJc w:val="left"/>
      <w:pPr>
        <w:ind w:left="4320" w:hanging="480"/>
      </w:pPr>
    </w:lvl>
    <w:lvl w:ilvl="6" w:tplc="FFFFFFFF">
      <w:numFmt w:val="bullet"/>
      <w:lvlText w:val="•"/>
      <w:lvlJc w:val="left"/>
      <w:pPr>
        <w:ind w:left="5040" w:hanging="480"/>
      </w:pPr>
    </w:lvl>
    <w:lvl w:ilvl="7" w:tplc="FFFFFFFF">
      <w:numFmt w:val="bullet"/>
      <w:lvlText w:val="–"/>
      <w:lvlJc w:val="left"/>
      <w:pPr>
        <w:ind w:left="5760" w:hanging="480"/>
      </w:pPr>
    </w:lvl>
    <w:lvl w:ilvl="8" w:tplc="FFFFFFFF">
      <w:numFmt w:val="bullet"/>
      <w:lvlText w:val="•"/>
      <w:lvlJc w:val="left"/>
      <w:pPr>
        <w:ind w:left="6480" w:hanging="480"/>
      </w:pPr>
    </w:lvl>
  </w:abstractNum>
  <w:abstractNum w:abstractNumId="1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8"/>
  </w:num>
  <w:num w:numId="3" w16cid:durableId="1504319644">
    <w:abstractNumId w:val="16"/>
  </w:num>
  <w:num w:numId="4" w16cid:durableId="1823959635">
    <w:abstractNumId w:val="11"/>
  </w:num>
  <w:num w:numId="5" w16cid:durableId="1449813617">
    <w:abstractNumId w:val="14"/>
  </w:num>
  <w:num w:numId="6" w16cid:durableId="1444181194">
    <w:abstractNumId w:val="1"/>
  </w:num>
  <w:num w:numId="7" w16cid:durableId="464591575">
    <w:abstractNumId w:val="0"/>
  </w:num>
  <w:num w:numId="8" w16cid:durableId="1169717549">
    <w:abstractNumId w:val="0"/>
  </w:num>
  <w:num w:numId="9" w16cid:durableId="116460633">
    <w:abstractNumId w:val="0"/>
  </w:num>
  <w:num w:numId="10" w16cid:durableId="1643805397">
    <w:abstractNumId w:val="0"/>
  </w:num>
  <w:num w:numId="11" w16cid:durableId="956720664">
    <w:abstractNumId w:val="0"/>
  </w:num>
  <w:num w:numId="12" w16cid:durableId="1275014547">
    <w:abstractNumId w:val="0"/>
  </w:num>
  <w:num w:numId="13" w16cid:durableId="240022177">
    <w:abstractNumId w:val="0"/>
  </w:num>
  <w:num w:numId="14" w16cid:durableId="1260869624">
    <w:abstractNumId w:val="0"/>
  </w:num>
  <w:num w:numId="15" w16cid:durableId="246884534">
    <w:abstractNumId w:val="0"/>
  </w:num>
  <w:num w:numId="16" w16cid:durableId="179509675">
    <w:abstractNumId w:val="0"/>
  </w:num>
  <w:num w:numId="17" w16cid:durableId="992105336">
    <w:abstractNumId w:val="0"/>
  </w:num>
  <w:num w:numId="18" w16cid:durableId="2046056513">
    <w:abstractNumId w:val="0"/>
  </w:num>
  <w:num w:numId="19" w16cid:durableId="357581007">
    <w:abstractNumId w:val="0"/>
  </w:num>
  <w:num w:numId="20" w16cid:durableId="1157108461">
    <w:abstractNumId w:val="0"/>
  </w:num>
  <w:num w:numId="21" w16cid:durableId="779105951">
    <w:abstractNumId w:val="0"/>
  </w:num>
  <w:num w:numId="22" w16cid:durableId="420301233">
    <w:abstractNumId w:val="0"/>
  </w:num>
  <w:num w:numId="23" w16cid:durableId="1053044565">
    <w:abstractNumId w:val="0"/>
  </w:num>
  <w:num w:numId="24" w16cid:durableId="1695032543">
    <w:abstractNumId w:val="0"/>
  </w:num>
  <w:num w:numId="25" w16cid:durableId="388655431">
    <w:abstractNumId w:val="0"/>
  </w:num>
  <w:num w:numId="26" w16cid:durableId="1046874819">
    <w:abstractNumId w:val="0"/>
  </w:num>
  <w:num w:numId="27" w16cid:durableId="1835607393">
    <w:abstractNumId w:val="0"/>
  </w:num>
  <w:num w:numId="28" w16cid:durableId="2102607857">
    <w:abstractNumId w:val="0"/>
  </w:num>
  <w:num w:numId="29" w16cid:durableId="179858887">
    <w:abstractNumId w:val="0"/>
  </w:num>
  <w:num w:numId="30" w16cid:durableId="1641424743">
    <w:abstractNumId w:val="0"/>
  </w:num>
  <w:num w:numId="31" w16cid:durableId="1849174465">
    <w:abstractNumId w:val="0"/>
  </w:num>
  <w:num w:numId="32" w16cid:durableId="278493910">
    <w:abstractNumId w:val="0"/>
  </w:num>
  <w:num w:numId="33" w16cid:durableId="128401471">
    <w:abstractNumId w:val="0"/>
  </w:num>
  <w:num w:numId="34" w16cid:durableId="1508860718">
    <w:abstractNumId w:val="0"/>
  </w:num>
  <w:num w:numId="35" w16cid:durableId="8333337">
    <w:abstractNumId w:val="0"/>
  </w:num>
  <w:num w:numId="36" w16cid:durableId="1682506627">
    <w:abstractNumId w:val="0"/>
  </w:num>
  <w:num w:numId="37" w16cid:durableId="2066952389">
    <w:abstractNumId w:val="0"/>
  </w:num>
  <w:num w:numId="38" w16cid:durableId="1309438782">
    <w:abstractNumId w:val="0"/>
  </w:num>
  <w:num w:numId="39" w16cid:durableId="1102262901">
    <w:abstractNumId w:val="0"/>
  </w:num>
  <w:num w:numId="40" w16cid:durableId="1817451088">
    <w:abstractNumId w:val="0"/>
  </w:num>
  <w:num w:numId="41" w16cid:durableId="153691934">
    <w:abstractNumId w:val="0"/>
  </w:num>
  <w:num w:numId="42" w16cid:durableId="1124427879">
    <w:abstractNumId w:val="0"/>
  </w:num>
  <w:num w:numId="43" w16cid:durableId="726031829">
    <w:abstractNumId w:val="0"/>
  </w:num>
  <w:num w:numId="44" w16cid:durableId="674380429">
    <w:abstractNumId w:val="0"/>
  </w:num>
  <w:num w:numId="45" w16cid:durableId="574898966">
    <w:abstractNumId w:val="0"/>
  </w:num>
  <w:num w:numId="46" w16cid:durableId="455179187">
    <w:abstractNumId w:val="0"/>
  </w:num>
  <w:num w:numId="47" w16cid:durableId="1490290978">
    <w:abstractNumId w:val="0"/>
  </w:num>
  <w:num w:numId="48" w16cid:durableId="1714426523">
    <w:abstractNumId w:val="0"/>
  </w:num>
  <w:num w:numId="49" w16cid:durableId="427232568">
    <w:abstractNumId w:val="0"/>
  </w:num>
  <w:num w:numId="50" w16cid:durableId="388308801">
    <w:abstractNumId w:val="0"/>
  </w:num>
  <w:num w:numId="51" w16cid:durableId="1587494202">
    <w:abstractNumId w:val="0"/>
  </w:num>
  <w:num w:numId="52" w16cid:durableId="1542396320">
    <w:abstractNumId w:val="0"/>
  </w:num>
  <w:num w:numId="53" w16cid:durableId="935089952">
    <w:abstractNumId w:val="0"/>
  </w:num>
  <w:num w:numId="54" w16cid:durableId="1222985836">
    <w:abstractNumId w:val="13"/>
  </w:num>
  <w:num w:numId="55" w16cid:durableId="2117600464">
    <w:abstractNumId w:val="9"/>
  </w:num>
  <w:num w:numId="56" w16cid:durableId="749739437">
    <w:abstractNumId w:val="5"/>
  </w:num>
  <w:num w:numId="57" w16cid:durableId="604701375">
    <w:abstractNumId w:val="12"/>
  </w:num>
  <w:num w:numId="58" w16cid:durableId="1779328738">
    <w:abstractNumId w:val="10"/>
  </w:num>
  <w:num w:numId="59" w16cid:durableId="1601134077">
    <w:abstractNumId w:val="6"/>
  </w:num>
  <w:num w:numId="60" w16cid:durableId="561913990">
    <w:abstractNumId w:val="15"/>
  </w:num>
  <w:num w:numId="61" w16cid:durableId="1986205280">
    <w:abstractNumId w:val="4"/>
  </w:num>
  <w:num w:numId="62" w16cid:durableId="195630780">
    <w:abstractNumId w:val="2"/>
  </w:num>
  <w:num w:numId="63" w16cid:durableId="719326286">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DOI&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w2s0tmse5w0exvrh5d2vpdtxat2eaaazf&quot;&gt;My EndNote Library&lt;record-ids&gt;&lt;item&gt;2809&lt;/item&gt;&lt;item&gt;2810&lt;/item&gt;&lt;item&gt;2811&lt;/item&gt;&lt;item&gt;2812&lt;/item&gt;&lt;item&gt;2813&lt;/item&gt;&lt;item&gt;2814&lt;/item&gt;&lt;item&gt;2815&lt;/item&gt;&lt;item&gt;2816&lt;/item&gt;&lt;item&gt;2817&lt;/item&gt;&lt;item&gt;2818&lt;/item&gt;&lt;item&gt;2819&lt;/item&gt;&lt;item&gt;2820&lt;/item&gt;&lt;item&gt;2822&lt;/item&gt;&lt;item&gt;2823&lt;/item&gt;&lt;item&gt;2824&lt;/item&gt;&lt;item&gt;2825&lt;/item&gt;&lt;item&gt;2826&lt;/item&gt;&lt;item&gt;2827&lt;/item&gt;&lt;item&gt;2828&lt;/item&gt;&lt;item&gt;2829&lt;/item&gt;&lt;item&gt;2830&lt;/item&gt;&lt;item&gt;2831&lt;/item&gt;&lt;item&gt;2832&lt;/item&gt;&lt;item&gt;2833&lt;/item&gt;&lt;item&gt;2834&lt;/item&gt;&lt;item&gt;2835&lt;/item&gt;&lt;item&gt;2836&lt;/item&gt;&lt;item&gt;2837&lt;/item&gt;&lt;item&gt;2838&lt;/item&gt;&lt;item&gt;2839&lt;/item&gt;&lt;item&gt;2840&lt;/item&gt;&lt;item&gt;2841&lt;/item&gt;&lt;item&gt;2842&lt;/item&gt;&lt;item&gt;2843&lt;/item&gt;&lt;item&gt;2844&lt;/item&gt;&lt;item&gt;2845&lt;/item&gt;&lt;item&gt;2846&lt;/item&gt;&lt;item&gt;2847&lt;/item&gt;&lt;/record-ids&gt;&lt;/item&gt;&lt;/Libraries&gt;"/>
  </w:docVars>
  <w:rsids>
    <w:rsidRoot w:val="00A715E6"/>
    <w:rsid w:val="000001BF"/>
    <w:rsid w:val="00000357"/>
    <w:rsid w:val="00000B85"/>
    <w:rsid w:val="00001B35"/>
    <w:rsid w:val="00001F7C"/>
    <w:rsid w:val="0000216F"/>
    <w:rsid w:val="000021AC"/>
    <w:rsid w:val="000021CB"/>
    <w:rsid w:val="00002885"/>
    <w:rsid w:val="000034C8"/>
    <w:rsid w:val="0000356A"/>
    <w:rsid w:val="0000369A"/>
    <w:rsid w:val="0000420E"/>
    <w:rsid w:val="000048B6"/>
    <w:rsid w:val="00004B6E"/>
    <w:rsid w:val="00004BA9"/>
    <w:rsid w:val="0000716E"/>
    <w:rsid w:val="0000750E"/>
    <w:rsid w:val="00007A9A"/>
    <w:rsid w:val="0001106D"/>
    <w:rsid w:val="000112D8"/>
    <w:rsid w:val="000116EF"/>
    <w:rsid w:val="00012474"/>
    <w:rsid w:val="00012611"/>
    <w:rsid w:val="00012A42"/>
    <w:rsid w:val="00012DAB"/>
    <w:rsid w:val="00013588"/>
    <w:rsid w:val="00014737"/>
    <w:rsid w:val="00014C39"/>
    <w:rsid w:val="00014D6F"/>
    <w:rsid w:val="00014E88"/>
    <w:rsid w:val="0001516F"/>
    <w:rsid w:val="00015569"/>
    <w:rsid w:val="0001567A"/>
    <w:rsid w:val="00015CEF"/>
    <w:rsid w:val="000168F2"/>
    <w:rsid w:val="000169A0"/>
    <w:rsid w:val="00017170"/>
    <w:rsid w:val="00017E32"/>
    <w:rsid w:val="00020C4E"/>
    <w:rsid w:val="000214B3"/>
    <w:rsid w:val="0002233E"/>
    <w:rsid w:val="00022405"/>
    <w:rsid w:val="0002286B"/>
    <w:rsid w:val="00022A5A"/>
    <w:rsid w:val="00023844"/>
    <w:rsid w:val="000238C6"/>
    <w:rsid w:val="000238D5"/>
    <w:rsid w:val="0002420A"/>
    <w:rsid w:val="00024B22"/>
    <w:rsid w:val="000252A0"/>
    <w:rsid w:val="00025DE0"/>
    <w:rsid w:val="0002605C"/>
    <w:rsid w:val="0002615E"/>
    <w:rsid w:val="0002643A"/>
    <w:rsid w:val="00026FB9"/>
    <w:rsid w:val="00027197"/>
    <w:rsid w:val="0002720D"/>
    <w:rsid w:val="000279D5"/>
    <w:rsid w:val="000306B6"/>
    <w:rsid w:val="000308DC"/>
    <w:rsid w:val="000316B3"/>
    <w:rsid w:val="00031C04"/>
    <w:rsid w:val="00031DA7"/>
    <w:rsid w:val="00033126"/>
    <w:rsid w:val="0003326E"/>
    <w:rsid w:val="00033607"/>
    <w:rsid w:val="00033A2E"/>
    <w:rsid w:val="00033A5D"/>
    <w:rsid w:val="00033B4F"/>
    <w:rsid w:val="000343F9"/>
    <w:rsid w:val="00034BEA"/>
    <w:rsid w:val="000352BD"/>
    <w:rsid w:val="00035DDD"/>
    <w:rsid w:val="000362FD"/>
    <w:rsid w:val="00036398"/>
    <w:rsid w:val="00036BB4"/>
    <w:rsid w:val="00037315"/>
    <w:rsid w:val="000375B9"/>
    <w:rsid w:val="00037787"/>
    <w:rsid w:val="000403F7"/>
    <w:rsid w:val="000403FF"/>
    <w:rsid w:val="00040698"/>
    <w:rsid w:val="000407C3"/>
    <w:rsid w:val="00040E14"/>
    <w:rsid w:val="00040F21"/>
    <w:rsid w:val="00041828"/>
    <w:rsid w:val="00041974"/>
    <w:rsid w:val="000430E8"/>
    <w:rsid w:val="0004361C"/>
    <w:rsid w:val="000439BE"/>
    <w:rsid w:val="00043A76"/>
    <w:rsid w:val="00043DCD"/>
    <w:rsid w:val="00044B05"/>
    <w:rsid w:val="0004545E"/>
    <w:rsid w:val="0004617F"/>
    <w:rsid w:val="000466DF"/>
    <w:rsid w:val="0004701B"/>
    <w:rsid w:val="00047606"/>
    <w:rsid w:val="000477C2"/>
    <w:rsid w:val="0005056B"/>
    <w:rsid w:val="0005116B"/>
    <w:rsid w:val="00051F94"/>
    <w:rsid w:val="000522FE"/>
    <w:rsid w:val="00052898"/>
    <w:rsid w:val="00052A6F"/>
    <w:rsid w:val="0005331D"/>
    <w:rsid w:val="00053915"/>
    <w:rsid w:val="00053AEF"/>
    <w:rsid w:val="000556BA"/>
    <w:rsid w:val="00055B72"/>
    <w:rsid w:val="00056963"/>
    <w:rsid w:val="000570FA"/>
    <w:rsid w:val="00057146"/>
    <w:rsid w:val="000576E0"/>
    <w:rsid w:val="00057734"/>
    <w:rsid w:val="00057FA2"/>
    <w:rsid w:val="00060069"/>
    <w:rsid w:val="00060092"/>
    <w:rsid w:val="000600DE"/>
    <w:rsid w:val="000600E1"/>
    <w:rsid w:val="000609A2"/>
    <w:rsid w:val="00060EE9"/>
    <w:rsid w:val="00061B79"/>
    <w:rsid w:val="00061E82"/>
    <w:rsid w:val="0006209B"/>
    <w:rsid w:val="000625BB"/>
    <w:rsid w:val="000630BC"/>
    <w:rsid w:val="0006358F"/>
    <w:rsid w:val="00063716"/>
    <w:rsid w:val="00063AEA"/>
    <w:rsid w:val="00063D88"/>
    <w:rsid w:val="00064667"/>
    <w:rsid w:val="000648D0"/>
    <w:rsid w:val="0006513F"/>
    <w:rsid w:val="00065AEC"/>
    <w:rsid w:val="00065C96"/>
    <w:rsid w:val="00066801"/>
    <w:rsid w:val="00066843"/>
    <w:rsid w:val="000668DF"/>
    <w:rsid w:val="00066C27"/>
    <w:rsid w:val="00066C8B"/>
    <w:rsid w:val="00067929"/>
    <w:rsid w:val="00067D3F"/>
    <w:rsid w:val="00070500"/>
    <w:rsid w:val="0007086B"/>
    <w:rsid w:val="00070A61"/>
    <w:rsid w:val="00072B62"/>
    <w:rsid w:val="00072C35"/>
    <w:rsid w:val="0007336D"/>
    <w:rsid w:val="000733BF"/>
    <w:rsid w:val="00073683"/>
    <w:rsid w:val="00073909"/>
    <w:rsid w:val="00073977"/>
    <w:rsid w:val="00073E15"/>
    <w:rsid w:val="000743FE"/>
    <w:rsid w:val="000745AD"/>
    <w:rsid w:val="00074B2D"/>
    <w:rsid w:val="0007530D"/>
    <w:rsid w:val="000754F1"/>
    <w:rsid w:val="0007561F"/>
    <w:rsid w:val="00075B63"/>
    <w:rsid w:val="00075DC5"/>
    <w:rsid w:val="00075E7D"/>
    <w:rsid w:val="000764B2"/>
    <w:rsid w:val="00076DD0"/>
    <w:rsid w:val="000770E0"/>
    <w:rsid w:val="00077225"/>
    <w:rsid w:val="00081133"/>
    <w:rsid w:val="000812A1"/>
    <w:rsid w:val="00081355"/>
    <w:rsid w:val="000813A1"/>
    <w:rsid w:val="000820BB"/>
    <w:rsid w:val="0008266F"/>
    <w:rsid w:val="0008273C"/>
    <w:rsid w:val="00082DE4"/>
    <w:rsid w:val="00083FD1"/>
    <w:rsid w:val="00084229"/>
    <w:rsid w:val="000845C0"/>
    <w:rsid w:val="00084719"/>
    <w:rsid w:val="00084A7A"/>
    <w:rsid w:val="0008532A"/>
    <w:rsid w:val="0008548A"/>
    <w:rsid w:val="00085B40"/>
    <w:rsid w:val="00086C00"/>
    <w:rsid w:val="000871C6"/>
    <w:rsid w:val="0008799A"/>
    <w:rsid w:val="0009029C"/>
    <w:rsid w:val="0009076B"/>
    <w:rsid w:val="00090BB9"/>
    <w:rsid w:val="0009116C"/>
    <w:rsid w:val="000915C2"/>
    <w:rsid w:val="00091C20"/>
    <w:rsid w:val="00091D0B"/>
    <w:rsid w:val="000923D9"/>
    <w:rsid w:val="00092BB7"/>
    <w:rsid w:val="00093472"/>
    <w:rsid w:val="00093496"/>
    <w:rsid w:val="000934B2"/>
    <w:rsid w:val="00093A5C"/>
    <w:rsid w:val="000949B9"/>
    <w:rsid w:val="00094E1D"/>
    <w:rsid w:val="000953F0"/>
    <w:rsid w:val="000957D0"/>
    <w:rsid w:val="00095B7B"/>
    <w:rsid w:val="00095CB7"/>
    <w:rsid w:val="00096826"/>
    <w:rsid w:val="0009723C"/>
    <w:rsid w:val="000A004A"/>
    <w:rsid w:val="000A00A1"/>
    <w:rsid w:val="000A0260"/>
    <w:rsid w:val="000A040D"/>
    <w:rsid w:val="000A04D4"/>
    <w:rsid w:val="000A1069"/>
    <w:rsid w:val="000A16A3"/>
    <w:rsid w:val="000A25C7"/>
    <w:rsid w:val="000A2A94"/>
    <w:rsid w:val="000A2F51"/>
    <w:rsid w:val="000A358A"/>
    <w:rsid w:val="000A3D53"/>
    <w:rsid w:val="000A408E"/>
    <w:rsid w:val="000A4139"/>
    <w:rsid w:val="000A4431"/>
    <w:rsid w:val="000A4519"/>
    <w:rsid w:val="000A4580"/>
    <w:rsid w:val="000A4990"/>
    <w:rsid w:val="000A51BF"/>
    <w:rsid w:val="000A5D4B"/>
    <w:rsid w:val="000A5E02"/>
    <w:rsid w:val="000A6464"/>
    <w:rsid w:val="000A6D04"/>
    <w:rsid w:val="000A6E67"/>
    <w:rsid w:val="000A736E"/>
    <w:rsid w:val="000A7926"/>
    <w:rsid w:val="000A7DC1"/>
    <w:rsid w:val="000B00BE"/>
    <w:rsid w:val="000B0CB6"/>
    <w:rsid w:val="000B167E"/>
    <w:rsid w:val="000B1697"/>
    <w:rsid w:val="000B17C5"/>
    <w:rsid w:val="000B2207"/>
    <w:rsid w:val="000B29C0"/>
    <w:rsid w:val="000B312A"/>
    <w:rsid w:val="000B3712"/>
    <w:rsid w:val="000B37FB"/>
    <w:rsid w:val="000B3F17"/>
    <w:rsid w:val="000B4504"/>
    <w:rsid w:val="000B48D8"/>
    <w:rsid w:val="000B4981"/>
    <w:rsid w:val="000B5069"/>
    <w:rsid w:val="000B53F2"/>
    <w:rsid w:val="000B577C"/>
    <w:rsid w:val="000B5945"/>
    <w:rsid w:val="000B5DAC"/>
    <w:rsid w:val="000B6598"/>
    <w:rsid w:val="000B66B4"/>
    <w:rsid w:val="000B716E"/>
    <w:rsid w:val="000B798D"/>
    <w:rsid w:val="000B7D8F"/>
    <w:rsid w:val="000C0A65"/>
    <w:rsid w:val="000C10BF"/>
    <w:rsid w:val="000C1294"/>
    <w:rsid w:val="000C1492"/>
    <w:rsid w:val="000C16E3"/>
    <w:rsid w:val="000C1C56"/>
    <w:rsid w:val="000C2C30"/>
    <w:rsid w:val="000C3122"/>
    <w:rsid w:val="000C35E9"/>
    <w:rsid w:val="000C3B92"/>
    <w:rsid w:val="000C3C60"/>
    <w:rsid w:val="000C4962"/>
    <w:rsid w:val="000C54EB"/>
    <w:rsid w:val="000C5A5C"/>
    <w:rsid w:val="000C5C51"/>
    <w:rsid w:val="000C5C7C"/>
    <w:rsid w:val="000C6579"/>
    <w:rsid w:val="000C6B4F"/>
    <w:rsid w:val="000D1AFF"/>
    <w:rsid w:val="000D1E52"/>
    <w:rsid w:val="000D1E57"/>
    <w:rsid w:val="000D2714"/>
    <w:rsid w:val="000D3A6C"/>
    <w:rsid w:val="000D3F54"/>
    <w:rsid w:val="000D41D0"/>
    <w:rsid w:val="000D4248"/>
    <w:rsid w:val="000D4486"/>
    <w:rsid w:val="000D462D"/>
    <w:rsid w:val="000D5189"/>
    <w:rsid w:val="000D55EC"/>
    <w:rsid w:val="000D55F8"/>
    <w:rsid w:val="000D594B"/>
    <w:rsid w:val="000D5A90"/>
    <w:rsid w:val="000D69D0"/>
    <w:rsid w:val="000D6DBE"/>
    <w:rsid w:val="000D6FF1"/>
    <w:rsid w:val="000D70E6"/>
    <w:rsid w:val="000D7350"/>
    <w:rsid w:val="000D74BB"/>
    <w:rsid w:val="000D7541"/>
    <w:rsid w:val="000E02DC"/>
    <w:rsid w:val="000E03B4"/>
    <w:rsid w:val="000E0588"/>
    <w:rsid w:val="000E06E6"/>
    <w:rsid w:val="000E12FF"/>
    <w:rsid w:val="000E1623"/>
    <w:rsid w:val="000E16FD"/>
    <w:rsid w:val="000E17A2"/>
    <w:rsid w:val="000E17A9"/>
    <w:rsid w:val="000E1BA7"/>
    <w:rsid w:val="000E2A78"/>
    <w:rsid w:val="000E386F"/>
    <w:rsid w:val="000E4F48"/>
    <w:rsid w:val="000E5C49"/>
    <w:rsid w:val="000E6E48"/>
    <w:rsid w:val="000E6EA3"/>
    <w:rsid w:val="000E74D1"/>
    <w:rsid w:val="000E7AC1"/>
    <w:rsid w:val="000F00B4"/>
    <w:rsid w:val="000F04AD"/>
    <w:rsid w:val="000F0D0B"/>
    <w:rsid w:val="000F1279"/>
    <w:rsid w:val="000F147C"/>
    <w:rsid w:val="000F16C5"/>
    <w:rsid w:val="000F187A"/>
    <w:rsid w:val="000F1FD2"/>
    <w:rsid w:val="000F2353"/>
    <w:rsid w:val="000F2695"/>
    <w:rsid w:val="000F289E"/>
    <w:rsid w:val="000F33DA"/>
    <w:rsid w:val="000F3EAA"/>
    <w:rsid w:val="000F3F79"/>
    <w:rsid w:val="000F4ACE"/>
    <w:rsid w:val="000F4D99"/>
    <w:rsid w:val="000F5005"/>
    <w:rsid w:val="000F5106"/>
    <w:rsid w:val="000F58C8"/>
    <w:rsid w:val="000F59E6"/>
    <w:rsid w:val="000F5A22"/>
    <w:rsid w:val="000F5C17"/>
    <w:rsid w:val="000F5E8F"/>
    <w:rsid w:val="000F6616"/>
    <w:rsid w:val="000F6841"/>
    <w:rsid w:val="000F6917"/>
    <w:rsid w:val="000F75D1"/>
    <w:rsid w:val="000F7AFF"/>
    <w:rsid w:val="00100DFF"/>
    <w:rsid w:val="00101B06"/>
    <w:rsid w:val="00101E8D"/>
    <w:rsid w:val="001020E1"/>
    <w:rsid w:val="001021E1"/>
    <w:rsid w:val="00102A7B"/>
    <w:rsid w:val="00102AFD"/>
    <w:rsid w:val="00102F99"/>
    <w:rsid w:val="001039CA"/>
    <w:rsid w:val="00103B06"/>
    <w:rsid w:val="00104216"/>
    <w:rsid w:val="001042D1"/>
    <w:rsid w:val="00104E5E"/>
    <w:rsid w:val="00104E8D"/>
    <w:rsid w:val="00105032"/>
    <w:rsid w:val="00105169"/>
    <w:rsid w:val="0010540D"/>
    <w:rsid w:val="00105C2A"/>
    <w:rsid w:val="00106082"/>
    <w:rsid w:val="001060E3"/>
    <w:rsid w:val="0010617D"/>
    <w:rsid w:val="00106431"/>
    <w:rsid w:val="00106905"/>
    <w:rsid w:val="00106DE7"/>
    <w:rsid w:val="001074B0"/>
    <w:rsid w:val="00107731"/>
    <w:rsid w:val="001102FF"/>
    <w:rsid w:val="0011067B"/>
    <w:rsid w:val="0011098F"/>
    <w:rsid w:val="00110EEB"/>
    <w:rsid w:val="00111649"/>
    <w:rsid w:val="00111E0F"/>
    <w:rsid w:val="0011211D"/>
    <w:rsid w:val="001123C3"/>
    <w:rsid w:val="00112725"/>
    <w:rsid w:val="00112744"/>
    <w:rsid w:val="00112807"/>
    <w:rsid w:val="00112D25"/>
    <w:rsid w:val="001130DB"/>
    <w:rsid w:val="001132D9"/>
    <w:rsid w:val="00113381"/>
    <w:rsid w:val="00113611"/>
    <w:rsid w:val="00113954"/>
    <w:rsid w:val="00113B0E"/>
    <w:rsid w:val="00113BD4"/>
    <w:rsid w:val="001141C4"/>
    <w:rsid w:val="00114D76"/>
    <w:rsid w:val="00114FD1"/>
    <w:rsid w:val="0011543B"/>
    <w:rsid w:val="00115990"/>
    <w:rsid w:val="00116422"/>
    <w:rsid w:val="00116AE7"/>
    <w:rsid w:val="00120016"/>
    <w:rsid w:val="00120826"/>
    <w:rsid w:val="0012093B"/>
    <w:rsid w:val="0012139A"/>
    <w:rsid w:val="0012150B"/>
    <w:rsid w:val="001220EF"/>
    <w:rsid w:val="00122DE7"/>
    <w:rsid w:val="00123085"/>
    <w:rsid w:val="001239E3"/>
    <w:rsid w:val="001244B7"/>
    <w:rsid w:val="00125909"/>
    <w:rsid w:val="00125C17"/>
    <w:rsid w:val="00125C71"/>
    <w:rsid w:val="00125DE1"/>
    <w:rsid w:val="00125FD5"/>
    <w:rsid w:val="001264A3"/>
    <w:rsid w:val="001264D6"/>
    <w:rsid w:val="00126AFF"/>
    <w:rsid w:val="001276AA"/>
    <w:rsid w:val="001306A0"/>
    <w:rsid w:val="001309E5"/>
    <w:rsid w:val="001309FE"/>
    <w:rsid w:val="00130EC8"/>
    <w:rsid w:val="00131198"/>
    <w:rsid w:val="0013177C"/>
    <w:rsid w:val="00131AFA"/>
    <w:rsid w:val="00131B6C"/>
    <w:rsid w:val="0013230F"/>
    <w:rsid w:val="00132375"/>
    <w:rsid w:val="0013293A"/>
    <w:rsid w:val="00132B52"/>
    <w:rsid w:val="00132D56"/>
    <w:rsid w:val="00132EBB"/>
    <w:rsid w:val="00132EF2"/>
    <w:rsid w:val="001334CE"/>
    <w:rsid w:val="00133D88"/>
    <w:rsid w:val="0013406C"/>
    <w:rsid w:val="001345AA"/>
    <w:rsid w:val="00134C02"/>
    <w:rsid w:val="00134F4D"/>
    <w:rsid w:val="00134F69"/>
    <w:rsid w:val="001357D4"/>
    <w:rsid w:val="00136604"/>
    <w:rsid w:val="00136950"/>
    <w:rsid w:val="00137042"/>
    <w:rsid w:val="00137AA5"/>
    <w:rsid w:val="00137B1F"/>
    <w:rsid w:val="00137D9F"/>
    <w:rsid w:val="00140210"/>
    <w:rsid w:val="00140FDC"/>
    <w:rsid w:val="001412B9"/>
    <w:rsid w:val="00142080"/>
    <w:rsid w:val="001421F5"/>
    <w:rsid w:val="0014282F"/>
    <w:rsid w:val="00142961"/>
    <w:rsid w:val="0014520D"/>
    <w:rsid w:val="00145428"/>
    <w:rsid w:val="00145842"/>
    <w:rsid w:val="00145956"/>
    <w:rsid w:val="00145D91"/>
    <w:rsid w:val="00146894"/>
    <w:rsid w:val="001469BB"/>
    <w:rsid w:val="00146BFB"/>
    <w:rsid w:val="00146C02"/>
    <w:rsid w:val="00147293"/>
    <w:rsid w:val="001478C3"/>
    <w:rsid w:val="00150929"/>
    <w:rsid w:val="00150BA0"/>
    <w:rsid w:val="001513EF"/>
    <w:rsid w:val="00151B42"/>
    <w:rsid w:val="00152408"/>
    <w:rsid w:val="001524EF"/>
    <w:rsid w:val="0015252B"/>
    <w:rsid w:val="00152675"/>
    <w:rsid w:val="00152B85"/>
    <w:rsid w:val="00153134"/>
    <w:rsid w:val="001533C7"/>
    <w:rsid w:val="001536F7"/>
    <w:rsid w:val="00153A48"/>
    <w:rsid w:val="00153A52"/>
    <w:rsid w:val="00153B0D"/>
    <w:rsid w:val="00153F15"/>
    <w:rsid w:val="00154AC2"/>
    <w:rsid w:val="00154EEB"/>
    <w:rsid w:val="00154F7B"/>
    <w:rsid w:val="00155945"/>
    <w:rsid w:val="00155FB3"/>
    <w:rsid w:val="0015609B"/>
    <w:rsid w:val="00157167"/>
    <w:rsid w:val="00157247"/>
    <w:rsid w:val="00157DF2"/>
    <w:rsid w:val="001603AE"/>
    <w:rsid w:val="0016047C"/>
    <w:rsid w:val="0016053E"/>
    <w:rsid w:val="001608DE"/>
    <w:rsid w:val="00162AAD"/>
    <w:rsid w:val="00162BF2"/>
    <w:rsid w:val="001633DB"/>
    <w:rsid w:val="0016368D"/>
    <w:rsid w:val="001639D4"/>
    <w:rsid w:val="00163A9A"/>
    <w:rsid w:val="00163C32"/>
    <w:rsid w:val="00163E37"/>
    <w:rsid w:val="00164496"/>
    <w:rsid w:val="001647A9"/>
    <w:rsid w:val="001652F1"/>
    <w:rsid w:val="00165548"/>
    <w:rsid w:val="00165C83"/>
    <w:rsid w:val="00165D87"/>
    <w:rsid w:val="001661DA"/>
    <w:rsid w:val="0016624E"/>
    <w:rsid w:val="001668A6"/>
    <w:rsid w:val="00166AAC"/>
    <w:rsid w:val="0016714F"/>
    <w:rsid w:val="001672A7"/>
    <w:rsid w:val="001673D7"/>
    <w:rsid w:val="00167DF2"/>
    <w:rsid w:val="001708EA"/>
    <w:rsid w:val="001709E4"/>
    <w:rsid w:val="00170AFE"/>
    <w:rsid w:val="00170C8D"/>
    <w:rsid w:val="00170FE0"/>
    <w:rsid w:val="001712EC"/>
    <w:rsid w:val="00171699"/>
    <w:rsid w:val="0017219F"/>
    <w:rsid w:val="00172BD0"/>
    <w:rsid w:val="00172C05"/>
    <w:rsid w:val="00173464"/>
    <w:rsid w:val="00173E76"/>
    <w:rsid w:val="001741DF"/>
    <w:rsid w:val="0017475A"/>
    <w:rsid w:val="001748A6"/>
    <w:rsid w:val="001748F4"/>
    <w:rsid w:val="00175F5D"/>
    <w:rsid w:val="00176DB4"/>
    <w:rsid w:val="00176F9F"/>
    <w:rsid w:val="0017719D"/>
    <w:rsid w:val="001774BB"/>
    <w:rsid w:val="00177A63"/>
    <w:rsid w:val="00177AF8"/>
    <w:rsid w:val="00177FC9"/>
    <w:rsid w:val="0018093A"/>
    <w:rsid w:val="00180B5D"/>
    <w:rsid w:val="00180BD3"/>
    <w:rsid w:val="00180FE3"/>
    <w:rsid w:val="00181C93"/>
    <w:rsid w:val="0018273C"/>
    <w:rsid w:val="00182B19"/>
    <w:rsid w:val="00182BF0"/>
    <w:rsid w:val="00182E33"/>
    <w:rsid w:val="00183885"/>
    <w:rsid w:val="00183F1F"/>
    <w:rsid w:val="00184978"/>
    <w:rsid w:val="00184A79"/>
    <w:rsid w:val="00185072"/>
    <w:rsid w:val="00185492"/>
    <w:rsid w:val="00186058"/>
    <w:rsid w:val="0018692B"/>
    <w:rsid w:val="00186D5F"/>
    <w:rsid w:val="00187404"/>
    <w:rsid w:val="00187B7C"/>
    <w:rsid w:val="00187C1D"/>
    <w:rsid w:val="00187C67"/>
    <w:rsid w:val="001904CE"/>
    <w:rsid w:val="00190860"/>
    <w:rsid w:val="00190AEF"/>
    <w:rsid w:val="00190B0D"/>
    <w:rsid w:val="00190DFA"/>
    <w:rsid w:val="0019110C"/>
    <w:rsid w:val="001911E7"/>
    <w:rsid w:val="0019130E"/>
    <w:rsid w:val="001919F4"/>
    <w:rsid w:val="00191E26"/>
    <w:rsid w:val="001926E3"/>
    <w:rsid w:val="0019299A"/>
    <w:rsid w:val="00192FE7"/>
    <w:rsid w:val="00193094"/>
    <w:rsid w:val="0019416F"/>
    <w:rsid w:val="00194B55"/>
    <w:rsid w:val="00194BB3"/>
    <w:rsid w:val="00195F17"/>
    <w:rsid w:val="0019620C"/>
    <w:rsid w:val="001964CF"/>
    <w:rsid w:val="00196AED"/>
    <w:rsid w:val="00196F0B"/>
    <w:rsid w:val="00197105"/>
    <w:rsid w:val="001975D7"/>
    <w:rsid w:val="0019761A"/>
    <w:rsid w:val="00197D3A"/>
    <w:rsid w:val="001A0280"/>
    <w:rsid w:val="001A02C1"/>
    <w:rsid w:val="001A03F0"/>
    <w:rsid w:val="001A0849"/>
    <w:rsid w:val="001A0DA4"/>
    <w:rsid w:val="001A0F47"/>
    <w:rsid w:val="001A12A2"/>
    <w:rsid w:val="001A2057"/>
    <w:rsid w:val="001A21E8"/>
    <w:rsid w:val="001A2B20"/>
    <w:rsid w:val="001A2E66"/>
    <w:rsid w:val="001A39DC"/>
    <w:rsid w:val="001A3AA3"/>
    <w:rsid w:val="001A3C1D"/>
    <w:rsid w:val="001A3EC6"/>
    <w:rsid w:val="001A3FE4"/>
    <w:rsid w:val="001A4C82"/>
    <w:rsid w:val="001A4D76"/>
    <w:rsid w:val="001A4DB7"/>
    <w:rsid w:val="001A5742"/>
    <w:rsid w:val="001A5859"/>
    <w:rsid w:val="001A59CD"/>
    <w:rsid w:val="001A5E38"/>
    <w:rsid w:val="001A6F44"/>
    <w:rsid w:val="001A7832"/>
    <w:rsid w:val="001B04DB"/>
    <w:rsid w:val="001B05D5"/>
    <w:rsid w:val="001B05EE"/>
    <w:rsid w:val="001B0B77"/>
    <w:rsid w:val="001B11AD"/>
    <w:rsid w:val="001B1E48"/>
    <w:rsid w:val="001B1FDF"/>
    <w:rsid w:val="001B2175"/>
    <w:rsid w:val="001B26B7"/>
    <w:rsid w:val="001B2A0A"/>
    <w:rsid w:val="001B3182"/>
    <w:rsid w:val="001B32C3"/>
    <w:rsid w:val="001B33D9"/>
    <w:rsid w:val="001B3652"/>
    <w:rsid w:val="001B3F85"/>
    <w:rsid w:val="001B632E"/>
    <w:rsid w:val="001B6335"/>
    <w:rsid w:val="001B6F74"/>
    <w:rsid w:val="001B6FAE"/>
    <w:rsid w:val="001B7AFB"/>
    <w:rsid w:val="001B7CA3"/>
    <w:rsid w:val="001C04AF"/>
    <w:rsid w:val="001C15B8"/>
    <w:rsid w:val="001C16F0"/>
    <w:rsid w:val="001C2415"/>
    <w:rsid w:val="001C2A42"/>
    <w:rsid w:val="001C372B"/>
    <w:rsid w:val="001C4222"/>
    <w:rsid w:val="001C4411"/>
    <w:rsid w:val="001C441B"/>
    <w:rsid w:val="001C4F3A"/>
    <w:rsid w:val="001C54E5"/>
    <w:rsid w:val="001C55E2"/>
    <w:rsid w:val="001C560D"/>
    <w:rsid w:val="001C5672"/>
    <w:rsid w:val="001C5DAE"/>
    <w:rsid w:val="001C611C"/>
    <w:rsid w:val="001C639D"/>
    <w:rsid w:val="001C648D"/>
    <w:rsid w:val="001C65A9"/>
    <w:rsid w:val="001C67B6"/>
    <w:rsid w:val="001C7B63"/>
    <w:rsid w:val="001C7F7C"/>
    <w:rsid w:val="001C7F7E"/>
    <w:rsid w:val="001D08DC"/>
    <w:rsid w:val="001D138D"/>
    <w:rsid w:val="001D1C34"/>
    <w:rsid w:val="001D2466"/>
    <w:rsid w:val="001D269A"/>
    <w:rsid w:val="001D29E1"/>
    <w:rsid w:val="001D3202"/>
    <w:rsid w:val="001D3251"/>
    <w:rsid w:val="001D4785"/>
    <w:rsid w:val="001D49B4"/>
    <w:rsid w:val="001D54FA"/>
    <w:rsid w:val="001D5611"/>
    <w:rsid w:val="001D5657"/>
    <w:rsid w:val="001D5661"/>
    <w:rsid w:val="001D56BE"/>
    <w:rsid w:val="001D5715"/>
    <w:rsid w:val="001D607F"/>
    <w:rsid w:val="001D60C8"/>
    <w:rsid w:val="001D6540"/>
    <w:rsid w:val="001D6581"/>
    <w:rsid w:val="001D6A3F"/>
    <w:rsid w:val="001D6C01"/>
    <w:rsid w:val="001D6F52"/>
    <w:rsid w:val="001D719A"/>
    <w:rsid w:val="001D7208"/>
    <w:rsid w:val="001D73BD"/>
    <w:rsid w:val="001D73C6"/>
    <w:rsid w:val="001E0270"/>
    <w:rsid w:val="001E039C"/>
    <w:rsid w:val="001E091D"/>
    <w:rsid w:val="001E14F2"/>
    <w:rsid w:val="001E152A"/>
    <w:rsid w:val="001E1BD2"/>
    <w:rsid w:val="001E20C8"/>
    <w:rsid w:val="001E21E9"/>
    <w:rsid w:val="001E2E18"/>
    <w:rsid w:val="001E2F55"/>
    <w:rsid w:val="001E394B"/>
    <w:rsid w:val="001E4713"/>
    <w:rsid w:val="001E477C"/>
    <w:rsid w:val="001E4B5E"/>
    <w:rsid w:val="001E4BD4"/>
    <w:rsid w:val="001E5089"/>
    <w:rsid w:val="001E57BD"/>
    <w:rsid w:val="001E59AD"/>
    <w:rsid w:val="001E5B71"/>
    <w:rsid w:val="001E5D64"/>
    <w:rsid w:val="001E5FB4"/>
    <w:rsid w:val="001E6268"/>
    <w:rsid w:val="001E6BBA"/>
    <w:rsid w:val="001E75F2"/>
    <w:rsid w:val="001F0040"/>
    <w:rsid w:val="001F04CB"/>
    <w:rsid w:val="001F091F"/>
    <w:rsid w:val="001F1946"/>
    <w:rsid w:val="001F1E8D"/>
    <w:rsid w:val="001F34C7"/>
    <w:rsid w:val="001F362E"/>
    <w:rsid w:val="001F403F"/>
    <w:rsid w:val="001F4426"/>
    <w:rsid w:val="001F45A3"/>
    <w:rsid w:val="001F4D0B"/>
    <w:rsid w:val="001F4F6F"/>
    <w:rsid w:val="001F5241"/>
    <w:rsid w:val="001F52E0"/>
    <w:rsid w:val="001F5651"/>
    <w:rsid w:val="001F5A58"/>
    <w:rsid w:val="001F5D40"/>
    <w:rsid w:val="001F6BA3"/>
    <w:rsid w:val="001F7551"/>
    <w:rsid w:val="001F75F3"/>
    <w:rsid w:val="00200078"/>
    <w:rsid w:val="00202843"/>
    <w:rsid w:val="0020394F"/>
    <w:rsid w:val="00203C5E"/>
    <w:rsid w:val="00203E53"/>
    <w:rsid w:val="00204011"/>
    <w:rsid w:val="00204559"/>
    <w:rsid w:val="002045C8"/>
    <w:rsid w:val="00204EBB"/>
    <w:rsid w:val="00205160"/>
    <w:rsid w:val="00205276"/>
    <w:rsid w:val="002056B8"/>
    <w:rsid w:val="00206FD8"/>
    <w:rsid w:val="00207363"/>
    <w:rsid w:val="0020774A"/>
    <w:rsid w:val="00210DEC"/>
    <w:rsid w:val="00211087"/>
    <w:rsid w:val="0021120C"/>
    <w:rsid w:val="002113F4"/>
    <w:rsid w:val="00211729"/>
    <w:rsid w:val="002121EF"/>
    <w:rsid w:val="00212385"/>
    <w:rsid w:val="002128D7"/>
    <w:rsid w:val="00212A5E"/>
    <w:rsid w:val="00212A67"/>
    <w:rsid w:val="00212AFB"/>
    <w:rsid w:val="002139CA"/>
    <w:rsid w:val="00213ACA"/>
    <w:rsid w:val="00213F2F"/>
    <w:rsid w:val="002141A2"/>
    <w:rsid w:val="00214622"/>
    <w:rsid w:val="00215226"/>
    <w:rsid w:val="0021593E"/>
    <w:rsid w:val="00215BDF"/>
    <w:rsid w:val="00215DBF"/>
    <w:rsid w:val="0021604B"/>
    <w:rsid w:val="002161D1"/>
    <w:rsid w:val="0021647F"/>
    <w:rsid w:val="00216AA1"/>
    <w:rsid w:val="002178ED"/>
    <w:rsid w:val="00217912"/>
    <w:rsid w:val="00217FEA"/>
    <w:rsid w:val="002208EE"/>
    <w:rsid w:val="00220FB6"/>
    <w:rsid w:val="00221411"/>
    <w:rsid w:val="002214A6"/>
    <w:rsid w:val="002217C0"/>
    <w:rsid w:val="00221A76"/>
    <w:rsid w:val="002220DA"/>
    <w:rsid w:val="002224B0"/>
    <w:rsid w:val="0022278E"/>
    <w:rsid w:val="00222AF1"/>
    <w:rsid w:val="00222D13"/>
    <w:rsid w:val="002233DC"/>
    <w:rsid w:val="0022389F"/>
    <w:rsid w:val="00223B83"/>
    <w:rsid w:val="0022469E"/>
    <w:rsid w:val="00224A86"/>
    <w:rsid w:val="00224AFC"/>
    <w:rsid w:val="00224F24"/>
    <w:rsid w:val="0022519F"/>
    <w:rsid w:val="00225492"/>
    <w:rsid w:val="002265DD"/>
    <w:rsid w:val="00226A98"/>
    <w:rsid w:val="0022742D"/>
    <w:rsid w:val="002276E8"/>
    <w:rsid w:val="002276F8"/>
    <w:rsid w:val="0022777D"/>
    <w:rsid w:val="002309FF"/>
    <w:rsid w:val="00230FB1"/>
    <w:rsid w:val="0023103E"/>
    <w:rsid w:val="00231AB4"/>
    <w:rsid w:val="00231BA0"/>
    <w:rsid w:val="00231D76"/>
    <w:rsid w:val="002320B5"/>
    <w:rsid w:val="0023237D"/>
    <w:rsid w:val="00232D2F"/>
    <w:rsid w:val="00232D58"/>
    <w:rsid w:val="00232E16"/>
    <w:rsid w:val="00233225"/>
    <w:rsid w:val="00233358"/>
    <w:rsid w:val="00234354"/>
    <w:rsid w:val="0023439A"/>
    <w:rsid w:val="00234EBC"/>
    <w:rsid w:val="00234FDA"/>
    <w:rsid w:val="002352EC"/>
    <w:rsid w:val="00235C36"/>
    <w:rsid w:val="00235CC2"/>
    <w:rsid w:val="00235FFF"/>
    <w:rsid w:val="00236981"/>
    <w:rsid w:val="00236A17"/>
    <w:rsid w:val="00236B9A"/>
    <w:rsid w:val="002370F5"/>
    <w:rsid w:val="00237181"/>
    <w:rsid w:val="00237676"/>
    <w:rsid w:val="00237DDA"/>
    <w:rsid w:val="0024034D"/>
    <w:rsid w:val="00240704"/>
    <w:rsid w:val="002413B1"/>
    <w:rsid w:val="00241F40"/>
    <w:rsid w:val="00242474"/>
    <w:rsid w:val="00242A57"/>
    <w:rsid w:val="00243046"/>
    <w:rsid w:val="0024383C"/>
    <w:rsid w:val="00243AA2"/>
    <w:rsid w:val="00243B2F"/>
    <w:rsid w:val="002441D5"/>
    <w:rsid w:val="00244246"/>
    <w:rsid w:val="00244B22"/>
    <w:rsid w:val="002453D6"/>
    <w:rsid w:val="00245442"/>
    <w:rsid w:val="0024598B"/>
    <w:rsid w:val="002466D4"/>
    <w:rsid w:val="00246C92"/>
    <w:rsid w:val="00246D5A"/>
    <w:rsid w:val="00247B58"/>
    <w:rsid w:val="00247F07"/>
    <w:rsid w:val="00250035"/>
    <w:rsid w:val="002503B2"/>
    <w:rsid w:val="0025067C"/>
    <w:rsid w:val="002507E3"/>
    <w:rsid w:val="0025080E"/>
    <w:rsid w:val="002517AA"/>
    <w:rsid w:val="00251B78"/>
    <w:rsid w:val="00252903"/>
    <w:rsid w:val="0025291E"/>
    <w:rsid w:val="00252DA8"/>
    <w:rsid w:val="0025374A"/>
    <w:rsid w:val="002539D1"/>
    <w:rsid w:val="00253CA8"/>
    <w:rsid w:val="00253E7D"/>
    <w:rsid w:val="00254895"/>
    <w:rsid w:val="00254AA7"/>
    <w:rsid w:val="00254C52"/>
    <w:rsid w:val="00254C6C"/>
    <w:rsid w:val="0025527B"/>
    <w:rsid w:val="00255D17"/>
    <w:rsid w:val="00255DFF"/>
    <w:rsid w:val="00255E68"/>
    <w:rsid w:val="00256146"/>
    <w:rsid w:val="00256A2D"/>
    <w:rsid w:val="00256E5F"/>
    <w:rsid w:val="0025745E"/>
    <w:rsid w:val="00260238"/>
    <w:rsid w:val="00260ADB"/>
    <w:rsid w:val="0026170F"/>
    <w:rsid w:val="00261CC4"/>
    <w:rsid w:val="002623F4"/>
    <w:rsid w:val="00262A9D"/>
    <w:rsid w:val="00264A84"/>
    <w:rsid w:val="00264C5C"/>
    <w:rsid w:val="00264E7A"/>
    <w:rsid w:val="0026520F"/>
    <w:rsid w:val="00265371"/>
    <w:rsid w:val="00265A3D"/>
    <w:rsid w:val="00266085"/>
    <w:rsid w:val="002665B5"/>
    <w:rsid w:val="002672AD"/>
    <w:rsid w:val="002673B9"/>
    <w:rsid w:val="00267A0B"/>
    <w:rsid w:val="00267B41"/>
    <w:rsid w:val="00267BE4"/>
    <w:rsid w:val="00270E66"/>
    <w:rsid w:val="00270EAD"/>
    <w:rsid w:val="00271025"/>
    <w:rsid w:val="00271227"/>
    <w:rsid w:val="00271410"/>
    <w:rsid w:val="002722F1"/>
    <w:rsid w:val="002723C1"/>
    <w:rsid w:val="00272595"/>
    <w:rsid w:val="00272B64"/>
    <w:rsid w:val="002739F8"/>
    <w:rsid w:val="00274371"/>
    <w:rsid w:val="00274522"/>
    <w:rsid w:val="0027468D"/>
    <w:rsid w:val="00275DB3"/>
    <w:rsid w:val="0027643C"/>
    <w:rsid w:val="00276C91"/>
    <w:rsid w:val="00277484"/>
    <w:rsid w:val="00277E99"/>
    <w:rsid w:val="0028031C"/>
    <w:rsid w:val="00280686"/>
    <w:rsid w:val="00280D1E"/>
    <w:rsid w:val="00280D25"/>
    <w:rsid w:val="00280E2B"/>
    <w:rsid w:val="00280F04"/>
    <w:rsid w:val="00281B77"/>
    <w:rsid w:val="00281EC0"/>
    <w:rsid w:val="00281F4F"/>
    <w:rsid w:val="00282103"/>
    <w:rsid w:val="00282325"/>
    <w:rsid w:val="0028234C"/>
    <w:rsid w:val="0028274D"/>
    <w:rsid w:val="002828CF"/>
    <w:rsid w:val="0028312E"/>
    <w:rsid w:val="00283833"/>
    <w:rsid w:val="00283C6B"/>
    <w:rsid w:val="00283DE5"/>
    <w:rsid w:val="00284202"/>
    <w:rsid w:val="00284287"/>
    <w:rsid w:val="00284D5E"/>
    <w:rsid w:val="00284E68"/>
    <w:rsid w:val="00285434"/>
    <w:rsid w:val="00286CBE"/>
    <w:rsid w:val="00286E3B"/>
    <w:rsid w:val="00287033"/>
    <w:rsid w:val="00287775"/>
    <w:rsid w:val="00287D05"/>
    <w:rsid w:val="002902E5"/>
    <w:rsid w:val="0029072D"/>
    <w:rsid w:val="00290FD1"/>
    <w:rsid w:val="00291429"/>
    <w:rsid w:val="0029165D"/>
    <w:rsid w:val="0029169C"/>
    <w:rsid w:val="0029179A"/>
    <w:rsid w:val="00291E08"/>
    <w:rsid w:val="00291EF2"/>
    <w:rsid w:val="00292027"/>
    <w:rsid w:val="00292622"/>
    <w:rsid w:val="00292ACA"/>
    <w:rsid w:val="00292B47"/>
    <w:rsid w:val="00292B8D"/>
    <w:rsid w:val="002939C4"/>
    <w:rsid w:val="00294101"/>
    <w:rsid w:val="00294448"/>
    <w:rsid w:val="00295E3E"/>
    <w:rsid w:val="00296AC9"/>
    <w:rsid w:val="002970BF"/>
    <w:rsid w:val="002977A1"/>
    <w:rsid w:val="00297B24"/>
    <w:rsid w:val="002A0356"/>
    <w:rsid w:val="002A0E9B"/>
    <w:rsid w:val="002A0F74"/>
    <w:rsid w:val="002A1037"/>
    <w:rsid w:val="002A1774"/>
    <w:rsid w:val="002A1D27"/>
    <w:rsid w:val="002A297B"/>
    <w:rsid w:val="002A2DF6"/>
    <w:rsid w:val="002A3448"/>
    <w:rsid w:val="002A3843"/>
    <w:rsid w:val="002A3C29"/>
    <w:rsid w:val="002A46AE"/>
    <w:rsid w:val="002A4906"/>
    <w:rsid w:val="002A4AC6"/>
    <w:rsid w:val="002A4E49"/>
    <w:rsid w:val="002A533A"/>
    <w:rsid w:val="002A53B5"/>
    <w:rsid w:val="002A5B5E"/>
    <w:rsid w:val="002A5C82"/>
    <w:rsid w:val="002A6474"/>
    <w:rsid w:val="002A655F"/>
    <w:rsid w:val="002A6749"/>
    <w:rsid w:val="002A6AC0"/>
    <w:rsid w:val="002A6D74"/>
    <w:rsid w:val="002A707E"/>
    <w:rsid w:val="002A70F9"/>
    <w:rsid w:val="002A72E9"/>
    <w:rsid w:val="002A74F2"/>
    <w:rsid w:val="002A7581"/>
    <w:rsid w:val="002A7CCD"/>
    <w:rsid w:val="002A7D88"/>
    <w:rsid w:val="002B0075"/>
    <w:rsid w:val="002B03A7"/>
    <w:rsid w:val="002B0452"/>
    <w:rsid w:val="002B0513"/>
    <w:rsid w:val="002B0610"/>
    <w:rsid w:val="002B095B"/>
    <w:rsid w:val="002B0CFC"/>
    <w:rsid w:val="002B0D8F"/>
    <w:rsid w:val="002B1AA1"/>
    <w:rsid w:val="002B1C7E"/>
    <w:rsid w:val="002B1F0A"/>
    <w:rsid w:val="002B2011"/>
    <w:rsid w:val="002B248E"/>
    <w:rsid w:val="002B32D2"/>
    <w:rsid w:val="002B4DF9"/>
    <w:rsid w:val="002B5286"/>
    <w:rsid w:val="002B577E"/>
    <w:rsid w:val="002B5FE8"/>
    <w:rsid w:val="002B67ED"/>
    <w:rsid w:val="002B6840"/>
    <w:rsid w:val="002B6AE2"/>
    <w:rsid w:val="002B6BDF"/>
    <w:rsid w:val="002B6D05"/>
    <w:rsid w:val="002B7192"/>
    <w:rsid w:val="002B7611"/>
    <w:rsid w:val="002B78CA"/>
    <w:rsid w:val="002B7BDE"/>
    <w:rsid w:val="002B7C4B"/>
    <w:rsid w:val="002C0871"/>
    <w:rsid w:val="002C0D4F"/>
    <w:rsid w:val="002C1617"/>
    <w:rsid w:val="002C1875"/>
    <w:rsid w:val="002C23A0"/>
    <w:rsid w:val="002C2C8B"/>
    <w:rsid w:val="002C319D"/>
    <w:rsid w:val="002C32DB"/>
    <w:rsid w:val="002C3815"/>
    <w:rsid w:val="002C40C7"/>
    <w:rsid w:val="002C4486"/>
    <w:rsid w:val="002C5507"/>
    <w:rsid w:val="002C590C"/>
    <w:rsid w:val="002C5911"/>
    <w:rsid w:val="002C5AFE"/>
    <w:rsid w:val="002C5B3F"/>
    <w:rsid w:val="002C5C3A"/>
    <w:rsid w:val="002D0A85"/>
    <w:rsid w:val="002D0F7A"/>
    <w:rsid w:val="002D134F"/>
    <w:rsid w:val="002D1479"/>
    <w:rsid w:val="002D171A"/>
    <w:rsid w:val="002D1B8A"/>
    <w:rsid w:val="002D1D6B"/>
    <w:rsid w:val="002D1DB8"/>
    <w:rsid w:val="002D1EDD"/>
    <w:rsid w:val="002D1F19"/>
    <w:rsid w:val="002D27EE"/>
    <w:rsid w:val="002D27F3"/>
    <w:rsid w:val="002D2818"/>
    <w:rsid w:val="002D30D3"/>
    <w:rsid w:val="002D385A"/>
    <w:rsid w:val="002D3BB4"/>
    <w:rsid w:val="002D4ACE"/>
    <w:rsid w:val="002D567C"/>
    <w:rsid w:val="002D5705"/>
    <w:rsid w:val="002D59F6"/>
    <w:rsid w:val="002D5C81"/>
    <w:rsid w:val="002D5ECE"/>
    <w:rsid w:val="002D6490"/>
    <w:rsid w:val="002D7C69"/>
    <w:rsid w:val="002D7FF8"/>
    <w:rsid w:val="002E00C7"/>
    <w:rsid w:val="002E057F"/>
    <w:rsid w:val="002E0C40"/>
    <w:rsid w:val="002E103F"/>
    <w:rsid w:val="002E12FA"/>
    <w:rsid w:val="002E1588"/>
    <w:rsid w:val="002E1A9C"/>
    <w:rsid w:val="002E20E0"/>
    <w:rsid w:val="002E2B04"/>
    <w:rsid w:val="002E3B68"/>
    <w:rsid w:val="002E4304"/>
    <w:rsid w:val="002E46B7"/>
    <w:rsid w:val="002E4A26"/>
    <w:rsid w:val="002E53E7"/>
    <w:rsid w:val="002E5931"/>
    <w:rsid w:val="002E5C63"/>
    <w:rsid w:val="002E6071"/>
    <w:rsid w:val="002E61A4"/>
    <w:rsid w:val="002E7879"/>
    <w:rsid w:val="002E7E8C"/>
    <w:rsid w:val="002F01A4"/>
    <w:rsid w:val="002F0AD1"/>
    <w:rsid w:val="002F1AF9"/>
    <w:rsid w:val="002F1E5E"/>
    <w:rsid w:val="002F238B"/>
    <w:rsid w:val="002F368F"/>
    <w:rsid w:val="002F3D47"/>
    <w:rsid w:val="002F426D"/>
    <w:rsid w:val="002F4C91"/>
    <w:rsid w:val="002F564E"/>
    <w:rsid w:val="002F6206"/>
    <w:rsid w:val="002F6378"/>
    <w:rsid w:val="002F63AC"/>
    <w:rsid w:val="002F6753"/>
    <w:rsid w:val="002F77D0"/>
    <w:rsid w:val="002F7C5C"/>
    <w:rsid w:val="003000C6"/>
    <w:rsid w:val="00300547"/>
    <w:rsid w:val="00300B6E"/>
    <w:rsid w:val="00300C87"/>
    <w:rsid w:val="003019F8"/>
    <w:rsid w:val="00301AED"/>
    <w:rsid w:val="00301E7B"/>
    <w:rsid w:val="00302E17"/>
    <w:rsid w:val="00302E8E"/>
    <w:rsid w:val="00303403"/>
    <w:rsid w:val="00303549"/>
    <w:rsid w:val="00303716"/>
    <w:rsid w:val="0030389D"/>
    <w:rsid w:val="00303958"/>
    <w:rsid w:val="0030421C"/>
    <w:rsid w:val="00304640"/>
    <w:rsid w:val="00304FFE"/>
    <w:rsid w:val="00305059"/>
    <w:rsid w:val="0030510C"/>
    <w:rsid w:val="003053CB"/>
    <w:rsid w:val="00305546"/>
    <w:rsid w:val="00305811"/>
    <w:rsid w:val="00305CDA"/>
    <w:rsid w:val="00305EC2"/>
    <w:rsid w:val="003060AD"/>
    <w:rsid w:val="00306582"/>
    <w:rsid w:val="00306886"/>
    <w:rsid w:val="00306D4B"/>
    <w:rsid w:val="0030716F"/>
    <w:rsid w:val="00307810"/>
    <w:rsid w:val="00307886"/>
    <w:rsid w:val="00307941"/>
    <w:rsid w:val="0031001C"/>
    <w:rsid w:val="00310669"/>
    <w:rsid w:val="00310D76"/>
    <w:rsid w:val="0031158A"/>
    <w:rsid w:val="00311843"/>
    <w:rsid w:val="00311A23"/>
    <w:rsid w:val="003121A8"/>
    <w:rsid w:val="00312BBB"/>
    <w:rsid w:val="00312D84"/>
    <w:rsid w:val="00313C67"/>
    <w:rsid w:val="003147D3"/>
    <w:rsid w:val="00314A09"/>
    <w:rsid w:val="00315014"/>
    <w:rsid w:val="00315B23"/>
    <w:rsid w:val="003162FE"/>
    <w:rsid w:val="00316D4C"/>
    <w:rsid w:val="00317650"/>
    <w:rsid w:val="00317BA3"/>
    <w:rsid w:val="00317E12"/>
    <w:rsid w:val="0032015C"/>
    <w:rsid w:val="003207A6"/>
    <w:rsid w:val="00320A3F"/>
    <w:rsid w:val="003213DD"/>
    <w:rsid w:val="003217F9"/>
    <w:rsid w:val="0032195C"/>
    <w:rsid w:val="00321D61"/>
    <w:rsid w:val="00323918"/>
    <w:rsid w:val="00323E36"/>
    <w:rsid w:val="00324390"/>
    <w:rsid w:val="0032491D"/>
    <w:rsid w:val="00324AAD"/>
    <w:rsid w:val="00324C31"/>
    <w:rsid w:val="003252B9"/>
    <w:rsid w:val="003255A6"/>
    <w:rsid w:val="00326012"/>
    <w:rsid w:val="00326ADE"/>
    <w:rsid w:val="00326CF5"/>
    <w:rsid w:val="00326FF4"/>
    <w:rsid w:val="003273E3"/>
    <w:rsid w:val="0032777C"/>
    <w:rsid w:val="00327AF6"/>
    <w:rsid w:val="00330C5F"/>
    <w:rsid w:val="00330EDD"/>
    <w:rsid w:val="0033117A"/>
    <w:rsid w:val="00331767"/>
    <w:rsid w:val="00331D7E"/>
    <w:rsid w:val="0033319D"/>
    <w:rsid w:val="00333562"/>
    <w:rsid w:val="003336AE"/>
    <w:rsid w:val="00333C8F"/>
    <w:rsid w:val="0033428D"/>
    <w:rsid w:val="00335863"/>
    <w:rsid w:val="00336179"/>
    <w:rsid w:val="003365FA"/>
    <w:rsid w:val="00336871"/>
    <w:rsid w:val="003402B3"/>
    <w:rsid w:val="003414C4"/>
    <w:rsid w:val="00341EAA"/>
    <w:rsid w:val="00342302"/>
    <w:rsid w:val="0034269B"/>
    <w:rsid w:val="003439BB"/>
    <w:rsid w:val="00344098"/>
    <w:rsid w:val="003441F7"/>
    <w:rsid w:val="00344771"/>
    <w:rsid w:val="00345C38"/>
    <w:rsid w:val="003464A4"/>
    <w:rsid w:val="0034703F"/>
    <w:rsid w:val="003472B8"/>
    <w:rsid w:val="00347BBD"/>
    <w:rsid w:val="00347CC7"/>
    <w:rsid w:val="00347F3F"/>
    <w:rsid w:val="003512D8"/>
    <w:rsid w:val="003519FE"/>
    <w:rsid w:val="00351AF0"/>
    <w:rsid w:val="00351B19"/>
    <w:rsid w:val="00351E97"/>
    <w:rsid w:val="0035272A"/>
    <w:rsid w:val="00353DDB"/>
    <w:rsid w:val="003542AA"/>
    <w:rsid w:val="003545CC"/>
    <w:rsid w:val="00354ECC"/>
    <w:rsid w:val="00355181"/>
    <w:rsid w:val="00355779"/>
    <w:rsid w:val="00355D73"/>
    <w:rsid w:val="00355E20"/>
    <w:rsid w:val="00355FFF"/>
    <w:rsid w:val="00356458"/>
    <w:rsid w:val="003565A1"/>
    <w:rsid w:val="00356891"/>
    <w:rsid w:val="00356E8A"/>
    <w:rsid w:val="00356F35"/>
    <w:rsid w:val="003570CC"/>
    <w:rsid w:val="00357B68"/>
    <w:rsid w:val="00360680"/>
    <w:rsid w:val="003616D8"/>
    <w:rsid w:val="00361998"/>
    <w:rsid w:val="00361EA1"/>
    <w:rsid w:val="0036255C"/>
    <w:rsid w:val="0036286F"/>
    <w:rsid w:val="0036390F"/>
    <w:rsid w:val="00363C1B"/>
    <w:rsid w:val="003644C7"/>
    <w:rsid w:val="003652BD"/>
    <w:rsid w:val="0036547D"/>
    <w:rsid w:val="00365A9E"/>
    <w:rsid w:val="00365DE2"/>
    <w:rsid w:val="00366997"/>
    <w:rsid w:val="00366C54"/>
    <w:rsid w:val="003672C3"/>
    <w:rsid w:val="00367326"/>
    <w:rsid w:val="003677D5"/>
    <w:rsid w:val="00370804"/>
    <w:rsid w:val="0037096B"/>
    <w:rsid w:val="00370A11"/>
    <w:rsid w:val="00371830"/>
    <w:rsid w:val="00371B95"/>
    <w:rsid w:val="00372B36"/>
    <w:rsid w:val="00372E80"/>
    <w:rsid w:val="003732D7"/>
    <w:rsid w:val="003733D4"/>
    <w:rsid w:val="00373C37"/>
    <w:rsid w:val="00373CAA"/>
    <w:rsid w:val="00373F9E"/>
    <w:rsid w:val="003741B7"/>
    <w:rsid w:val="00374FF9"/>
    <w:rsid w:val="00375401"/>
    <w:rsid w:val="00375B74"/>
    <w:rsid w:val="00375E22"/>
    <w:rsid w:val="003761CA"/>
    <w:rsid w:val="00376DF1"/>
    <w:rsid w:val="00377092"/>
    <w:rsid w:val="0037731A"/>
    <w:rsid w:val="00377A9A"/>
    <w:rsid w:val="0038004B"/>
    <w:rsid w:val="003803BC"/>
    <w:rsid w:val="003803F2"/>
    <w:rsid w:val="00380AB3"/>
    <w:rsid w:val="00380F0A"/>
    <w:rsid w:val="00380F30"/>
    <w:rsid w:val="00380F82"/>
    <w:rsid w:val="00380FFB"/>
    <w:rsid w:val="003812F2"/>
    <w:rsid w:val="00381E10"/>
    <w:rsid w:val="003828F8"/>
    <w:rsid w:val="00383D73"/>
    <w:rsid w:val="00383E36"/>
    <w:rsid w:val="00383F1F"/>
    <w:rsid w:val="00384479"/>
    <w:rsid w:val="003868DC"/>
    <w:rsid w:val="00386A0D"/>
    <w:rsid w:val="00386C10"/>
    <w:rsid w:val="00386C96"/>
    <w:rsid w:val="00387A67"/>
    <w:rsid w:val="00387BDB"/>
    <w:rsid w:val="003900D6"/>
    <w:rsid w:val="00390522"/>
    <w:rsid w:val="003906D1"/>
    <w:rsid w:val="003908F7"/>
    <w:rsid w:val="00390F40"/>
    <w:rsid w:val="00390F6E"/>
    <w:rsid w:val="00391024"/>
    <w:rsid w:val="00391707"/>
    <w:rsid w:val="00391864"/>
    <w:rsid w:val="00391F79"/>
    <w:rsid w:val="00392762"/>
    <w:rsid w:val="00392A4A"/>
    <w:rsid w:val="00393B9F"/>
    <w:rsid w:val="003942E4"/>
    <w:rsid w:val="0039475F"/>
    <w:rsid w:val="003947B9"/>
    <w:rsid w:val="00396255"/>
    <w:rsid w:val="00396C3C"/>
    <w:rsid w:val="00396C84"/>
    <w:rsid w:val="00396FC9"/>
    <w:rsid w:val="0039715A"/>
    <w:rsid w:val="00397347"/>
    <w:rsid w:val="00397D4F"/>
    <w:rsid w:val="00397D66"/>
    <w:rsid w:val="00397D67"/>
    <w:rsid w:val="003A016C"/>
    <w:rsid w:val="003A04A6"/>
    <w:rsid w:val="003A05A7"/>
    <w:rsid w:val="003A09E5"/>
    <w:rsid w:val="003A13B9"/>
    <w:rsid w:val="003A1E2A"/>
    <w:rsid w:val="003A1FE9"/>
    <w:rsid w:val="003A242B"/>
    <w:rsid w:val="003A25F0"/>
    <w:rsid w:val="003A2F2C"/>
    <w:rsid w:val="003A3326"/>
    <w:rsid w:val="003A343C"/>
    <w:rsid w:val="003A384C"/>
    <w:rsid w:val="003A3C01"/>
    <w:rsid w:val="003A3F96"/>
    <w:rsid w:val="003A4085"/>
    <w:rsid w:val="003A4384"/>
    <w:rsid w:val="003A44C2"/>
    <w:rsid w:val="003A48D2"/>
    <w:rsid w:val="003A5298"/>
    <w:rsid w:val="003A56A4"/>
    <w:rsid w:val="003A5AA4"/>
    <w:rsid w:val="003A6F3C"/>
    <w:rsid w:val="003A70F7"/>
    <w:rsid w:val="003A750E"/>
    <w:rsid w:val="003A7669"/>
    <w:rsid w:val="003A7845"/>
    <w:rsid w:val="003A7C19"/>
    <w:rsid w:val="003A7CC5"/>
    <w:rsid w:val="003A7D67"/>
    <w:rsid w:val="003B008A"/>
    <w:rsid w:val="003B0202"/>
    <w:rsid w:val="003B043F"/>
    <w:rsid w:val="003B10AD"/>
    <w:rsid w:val="003B1A79"/>
    <w:rsid w:val="003B21D5"/>
    <w:rsid w:val="003B2CD6"/>
    <w:rsid w:val="003B3150"/>
    <w:rsid w:val="003B32BF"/>
    <w:rsid w:val="003B3E8D"/>
    <w:rsid w:val="003B4BBB"/>
    <w:rsid w:val="003B4F26"/>
    <w:rsid w:val="003B54B2"/>
    <w:rsid w:val="003B5617"/>
    <w:rsid w:val="003B58F9"/>
    <w:rsid w:val="003B5F23"/>
    <w:rsid w:val="003B62FD"/>
    <w:rsid w:val="003B698C"/>
    <w:rsid w:val="003B6A01"/>
    <w:rsid w:val="003B7CA7"/>
    <w:rsid w:val="003B7CE9"/>
    <w:rsid w:val="003C05DD"/>
    <w:rsid w:val="003C0A31"/>
    <w:rsid w:val="003C0DDB"/>
    <w:rsid w:val="003C1142"/>
    <w:rsid w:val="003C13EA"/>
    <w:rsid w:val="003C14A2"/>
    <w:rsid w:val="003C1680"/>
    <w:rsid w:val="003C28BD"/>
    <w:rsid w:val="003C2C77"/>
    <w:rsid w:val="003C2CDA"/>
    <w:rsid w:val="003C3704"/>
    <w:rsid w:val="003C3899"/>
    <w:rsid w:val="003C396B"/>
    <w:rsid w:val="003C4760"/>
    <w:rsid w:val="003C489D"/>
    <w:rsid w:val="003C4BBE"/>
    <w:rsid w:val="003C5633"/>
    <w:rsid w:val="003C59AC"/>
    <w:rsid w:val="003C5C05"/>
    <w:rsid w:val="003C5F32"/>
    <w:rsid w:val="003C632A"/>
    <w:rsid w:val="003C6CD9"/>
    <w:rsid w:val="003C6E1C"/>
    <w:rsid w:val="003C74CD"/>
    <w:rsid w:val="003D0A6F"/>
    <w:rsid w:val="003D121F"/>
    <w:rsid w:val="003D12FE"/>
    <w:rsid w:val="003D14B7"/>
    <w:rsid w:val="003D1A20"/>
    <w:rsid w:val="003D1EB8"/>
    <w:rsid w:val="003D2DB2"/>
    <w:rsid w:val="003D2DDB"/>
    <w:rsid w:val="003D2EE8"/>
    <w:rsid w:val="003D3903"/>
    <w:rsid w:val="003D3930"/>
    <w:rsid w:val="003D3B81"/>
    <w:rsid w:val="003D3E7E"/>
    <w:rsid w:val="003D43A8"/>
    <w:rsid w:val="003D486B"/>
    <w:rsid w:val="003D49E4"/>
    <w:rsid w:val="003D522E"/>
    <w:rsid w:val="003D57C6"/>
    <w:rsid w:val="003D5AEA"/>
    <w:rsid w:val="003D5ECA"/>
    <w:rsid w:val="003D60AB"/>
    <w:rsid w:val="003D64C3"/>
    <w:rsid w:val="003D684A"/>
    <w:rsid w:val="003D6F9F"/>
    <w:rsid w:val="003D7462"/>
    <w:rsid w:val="003D771B"/>
    <w:rsid w:val="003D7B61"/>
    <w:rsid w:val="003D7BD5"/>
    <w:rsid w:val="003E00C6"/>
    <w:rsid w:val="003E0296"/>
    <w:rsid w:val="003E0EE6"/>
    <w:rsid w:val="003E1CCB"/>
    <w:rsid w:val="003E1F36"/>
    <w:rsid w:val="003E2990"/>
    <w:rsid w:val="003E2B81"/>
    <w:rsid w:val="003E2DFD"/>
    <w:rsid w:val="003E40DD"/>
    <w:rsid w:val="003E44EE"/>
    <w:rsid w:val="003E52A1"/>
    <w:rsid w:val="003E52A4"/>
    <w:rsid w:val="003E5450"/>
    <w:rsid w:val="003E567B"/>
    <w:rsid w:val="003E58DD"/>
    <w:rsid w:val="003E601E"/>
    <w:rsid w:val="003E6204"/>
    <w:rsid w:val="003E6B3D"/>
    <w:rsid w:val="003E6D0A"/>
    <w:rsid w:val="003E7CD2"/>
    <w:rsid w:val="003E7E67"/>
    <w:rsid w:val="003F0867"/>
    <w:rsid w:val="003F0FA9"/>
    <w:rsid w:val="003F124C"/>
    <w:rsid w:val="003F136D"/>
    <w:rsid w:val="003F145A"/>
    <w:rsid w:val="003F1652"/>
    <w:rsid w:val="003F2707"/>
    <w:rsid w:val="003F3541"/>
    <w:rsid w:val="003F383C"/>
    <w:rsid w:val="003F3BE8"/>
    <w:rsid w:val="003F47A5"/>
    <w:rsid w:val="003F4BB0"/>
    <w:rsid w:val="003F5B3B"/>
    <w:rsid w:val="003F6886"/>
    <w:rsid w:val="003F6A7C"/>
    <w:rsid w:val="003F71D4"/>
    <w:rsid w:val="003F7B61"/>
    <w:rsid w:val="00400082"/>
    <w:rsid w:val="00400C4C"/>
    <w:rsid w:val="00402156"/>
    <w:rsid w:val="004022DE"/>
    <w:rsid w:val="0040261D"/>
    <w:rsid w:val="0040299C"/>
    <w:rsid w:val="00402C31"/>
    <w:rsid w:val="004038F4"/>
    <w:rsid w:val="00403DD8"/>
    <w:rsid w:val="004041F8"/>
    <w:rsid w:val="00404835"/>
    <w:rsid w:val="00404E35"/>
    <w:rsid w:val="004050A2"/>
    <w:rsid w:val="00407527"/>
    <w:rsid w:val="004078E4"/>
    <w:rsid w:val="004113EA"/>
    <w:rsid w:val="00411AD1"/>
    <w:rsid w:val="00411C17"/>
    <w:rsid w:val="00411D1D"/>
    <w:rsid w:val="00412504"/>
    <w:rsid w:val="004125AF"/>
    <w:rsid w:val="00413166"/>
    <w:rsid w:val="00413D67"/>
    <w:rsid w:val="004140DA"/>
    <w:rsid w:val="00414946"/>
    <w:rsid w:val="00414EF6"/>
    <w:rsid w:val="0041507A"/>
    <w:rsid w:val="004151FF"/>
    <w:rsid w:val="00415671"/>
    <w:rsid w:val="004159EA"/>
    <w:rsid w:val="00415E0A"/>
    <w:rsid w:val="004169B4"/>
    <w:rsid w:val="004177AB"/>
    <w:rsid w:val="00417A35"/>
    <w:rsid w:val="00420BE0"/>
    <w:rsid w:val="00420F30"/>
    <w:rsid w:val="004220B2"/>
    <w:rsid w:val="004221F0"/>
    <w:rsid w:val="0042225A"/>
    <w:rsid w:val="0042251F"/>
    <w:rsid w:val="00422EC9"/>
    <w:rsid w:val="00423345"/>
    <w:rsid w:val="00423949"/>
    <w:rsid w:val="00423A27"/>
    <w:rsid w:val="00423BE6"/>
    <w:rsid w:val="00423D08"/>
    <w:rsid w:val="00424634"/>
    <w:rsid w:val="00424641"/>
    <w:rsid w:val="00425046"/>
    <w:rsid w:val="0042530A"/>
    <w:rsid w:val="004255C0"/>
    <w:rsid w:val="0042583E"/>
    <w:rsid w:val="00426456"/>
    <w:rsid w:val="00426811"/>
    <w:rsid w:val="004269DE"/>
    <w:rsid w:val="00426FB4"/>
    <w:rsid w:val="004278F1"/>
    <w:rsid w:val="0043008B"/>
    <w:rsid w:val="00430606"/>
    <w:rsid w:val="00430737"/>
    <w:rsid w:val="004308D6"/>
    <w:rsid w:val="004309F5"/>
    <w:rsid w:val="00430E18"/>
    <w:rsid w:val="0043100B"/>
    <w:rsid w:val="00432404"/>
    <w:rsid w:val="00432BEA"/>
    <w:rsid w:val="00433663"/>
    <w:rsid w:val="0043388D"/>
    <w:rsid w:val="00433A2D"/>
    <w:rsid w:val="00434053"/>
    <w:rsid w:val="004343F8"/>
    <w:rsid w:val="00434E8E"/>
    <w:rsid w:val="0043510B"/>
    <w:rsid w:val="00435243"/>
    <w:rsid w:val="00435680"/>
    <w:rsid w:val="004357AF"/>
    <w:rsid w:val="00435F4A"/>
    <w:rsid w:val="00436101"/>
    <w:rsid w:val="004368A4"/>
    <w:rsid w:val="00436904"/>
    <w:rsid w:val="00436932"/>
    <w:rsid w:val="00437A39"/>
    <w:rsid w:val="00437BAA"/>
    <w:rsid w:val="00437C64"/>
    <w:rsid w:val="00437E20"/>
    <w:rsid w:val="00440908"/>
    <w:rsid w:val="00440CA4"/>
    <w:rsid w:val="00441588"/>
    <w:rsid w:val="00441B03"/>
    <w:rsid w:val="00441D33"/>
    <w:rsid w:val="00442058"/>
    <w:rsid w:val="00442420"/>
    <w:rsid w:val="0044323D"/>
    <w:rsid w:val="00443E09"/>
    <w:rsid w:val="00443E32"/>
    <w:rsid w:val="0044445E"/>
    <w:rsid w:val="004445B0"/>
    <w:rsid w:val="00444783"/>
    <w:rsid w:val="00444B04"/>
    <w:rsid w:val="004452D5"/>
    <w:rsid w:val="004454E0"/>
    <w:rsid w:val="00446B3E"/>
    <w:rsid w:val="00446CF6"/>
    <w:rsid w:val="00446E9F"/>
    <w:rsid w:val="00446EC4"/>
    <w:rsid w:val="00446FB5"/>
    <w:rsid w:val="004470E3"/>
    <w:rsid w:val="004472E5"/>
    <w:rsid w:val="00447803"/>
    <w:rsid w:val="00447E9B"/>
    <w:rsid w:val="004503DF"/>
    <w:rsid w:val="0045090D"/>
    <w:rsid w:val="00450A10"/>
    <w:rsid w:val="00450E43"/>
    <w:rsid w:val="00450E8F"/>
    <w:rsid w:val="004514E2"/>
    <w:rsid w:val="004515DE"/>
    <w:rsid w:val="00451610"/>
    <w:rsid w:val="00451A3B"/>
    <w:rsid w:val="00452090"/>
    <w:rsid w:val="00452229"/>
    <w:rsid w:val="0045395F"/>
    <w:rsid w:val="00453EDB"/>
    <w:rsid w:val="00454295"/>
    <w:rsid w:val="00454680"/>
    <w:rsid w:val="004546A2"/>
    <w:rsid w:val="00454BDC"/>
    <w:rsid w:val="00455337"/>
    <w:rsid w:val="00455500"/>
    <w:rsid w:val="00455A5D"/>
    <w:rsid w:val="0045632C"/>
    <w:rsid w:val="00456685"/>
    <w:rsid w:val="00456F4E"/>
    <w:rsid w:val="0045708D"/>
    <w:rsid w:val="004572BE"/>
    <w:rsid w:val="004609F6"/>
    <w:rsid w:val="00460EF3"/>
    <w:rsid w:val="004622A6"/>
    <w:rsid w:val="004622C8"/>
    <w:rsid w:val="00462C7A"/>
    <w:rsid w:val="004631C2"/>
    <w:rsid w:val="00463851"/>
    <w:rsid w:val="0046386E"/>
    <w:rsid w:val="00463D35"/>
    <w:rsid w:val="0046436E"/>
    <w:rsid w:val="004644B6"/>
    <w:rsid w:val="0046465E"/>
    <w:rsid w:val="00464C56"/>
    <w:rsid w:val="004653BE"/>
    <w:rsid w:val="004659E6"/>
    <w:rsid w:val="00465E10"/>
    <w:rsid w:val="004665A7"/>
    <w:rsid w:val="00466B0C"/>
    <w:rsid w:val="00466D3C"/>
    <w:rsid w:val="00467D15"/>
    <w:rsid w:val="00470088"/>
    <w:rsid w:val="004700C1"/>
    <w:rsid w:val="00470238"/>
    <w:rsid w:val="00470481"/>
    <w:rsid w:val="004709D5"/>
    <w:rsid w:val="004710F5"/>
    <w:rsid w:val="00471B30"/>
    <w:rsid w:val="00471B5A"/>
    <w:rsid w:val="00471F27"/>
    <w:rsid w:val="00472292"/>
    <w:rsid w:val="004723A7"/>
    <w:rsid w:val="004725AE"/>
    <w:rsid w:val="00472BB4"/>
    <w:rsid w:val="004736AF"/>
    <w:rsid w:val="00473F85"/>
    <w:rsid w:val="00474122"/>
    <w:rsid w:val="0047413D"/>
    <w:rsid w:val="004754C0"/>
    <w:rsid w:val="00475643"/>
    <w:rsid w:val="004761F8"/>
    <w:rsid w:val="004763AE"/>
    <w:rsid w:val="00476643"/>
    <w:rsid w:val="00476A5A"/>
    <w:rsid w:val="00476EEB"/>
    <w:rsid w:val="00477FA4"/>
    <w:rsid w:val="00481A3A"/>
    <w:rsid w:val="00481EED"/>
    <w:rsid w:val="00481F49"/>
    <w:rsid w:val="00482967"/>
    <w:rsid w:val="00482E0A"/>
    <w:rsid w:val="00482F37"/>
    <w:rsid w:val="00483D9A"/>
    <w:rsid w:val="00484236"/>
    <w:rsid w:val="004845A8"/>
    <w:rsid w:val="00484F65"/>
    <w:rsid w:val="0048529F"/>
    <w:rsid w:val="00485908"/>
    <w:rsid w:val="00485938"/>
    <w:rsid w:val="00485E5B"/>
    <w:rsid w:val="004860E8"/>
    <w:rsid w:val="00486586"/>
    <w:rsid w:val="00486874"/>
    <w:rsid w:val="0048740F"/>
    <w:rsid w:val="00490151"/>
    <w:rsid w:val="00490751"/>
    <w:rsid w:val="004916DD"/>
    <w:rsid w:val="00492287"/>
    <w:rsid w:val="00492C7D"/>
    <w:rsid w:val="00493585"/>
    <w:rsid w:val="0049417F"/>
    <w:rsid w:val="00494183"/>
    <w:rsid w:val="004947A4"/>
    <w:rsid w:val="00494862"/>
    <w:rsid w:val="00494A33"/>
    <w:rsid w:val="00494FFB"/>
    <w:rsid w:val="0049589A"/>
    <w:rsid w:val="00495ECA"/>
    <w:rsid w:val="0049687C"/>
    <w:rsid w:val="00496E02"/>
    <w:rsid w:val="004977D5"/>
    <w:rsid w:val="00497860"/>
    <w:rsid w:val="004A08D0"/>
    <w:rsid w:val="004A0F1A"/>
    <w:rsid w:val="004A128B"/>
    <w:rsid w:val="004A1B81"/>
    <w:rsid w:val="004A2170"/>
    <w:rsid w:val="004A2379"/>
    <w:rsid w:val="004A26FE"/>
    <w:rsid w:val="004A288B"/>
    <w:rsid w:val="004A2B67"/>
    <w:rsid w:val="004A2CE3"/>
    <w:rsid w:val="004A2CE5"/>
    <w:rsid w:val="004A2F59"/>
    <w:rsid w:val="004A301A"/>
    <w:rsid w:val="004A3545"/>
    <w:rsid w:val="004A3975"/>
    <w:rsid w:val="004A3BC5"/>
    <w:rsid w:val="004A4CF0"/>
    <w:rsid w:val="004A56B9"/>
    <w:rsid w:val="004A5F5E"/>
    <w:rsid w:val="004A752A"/>
    <w:rsid w:val="004A7A1E"/>
    <w:rsid w:val="004B0831"/>
    <w:rsid w:val="004B0B29"/>
    <w:rsid w:val="004B0CA2"/>
    <w:rsid w:val="004B1674"/>
    <w:rsid w:val="004B1B7A"/>
    <w:rsid w:val="004B218A"/>
    <w:rsid w:val="004B25D8"/>
    <w:rsid w:val="004B27A9"/>
    <w:rsid w:val="004B2B56"/>
    <w:rsid w:val="004B2B9D"/>
    <w:rsid w:val="004B402F"/>
    <w:rsid w:val="004B430B"/>
    <w:rsid w:val="004B478E"/>
    <w:rsid w:val="004B5004"/>
    <w:rsid w:val="004B520C"/>
    <w:rsid w:val="004B5CC9"/>
    <w:rsid w:val="004B61A3"/>
    <w:rsid w:val="004B6E66"/>
    <w:rsid w:val="004B6F03"/>
    <w:rsid w:val="004B76DD"/>
    <w:rsid w:val="004C029E"/>
    <w:rsid w:val="004C0813"/>
    <w:rsid w:val="004C12EC"/>
    <w:rsid w:val="004C1927"/>
    <w:rsid w:val="004C1E67"/>
    <w:rsid w:val="004C2080"/>
    <w:rsid w:val="004C2456"/>
    <w:rsid w:val="004C2C31"/>
    <w:rsid w:val="004C2FCA"/>
    <w:rsid w:val="004C35D6"/>
    <w:rsid w:val="004C373F"/>
    <w:rsid w:val="004C46E7"/>
    <w:rsid w:val="004C48D4"/>
    <w:rsid w:val="004C609B"/>
    <w:rsid w:val="004C66A1"/>
    <w:rsid w:val="004C6F8D"/>
    <w:rsid w:val="004C7646"/>
    <w:rsid w:val="004C7DC5"/>
    <w:rsid w:val="004D0131"/>
    <w:rsid w:val="004D04A9"/>
    <w:rsid w:val="004D0847"/>
    <w:rsid w:val="004D0C19"/>
    <w:rsid w:val="004D0ED4"/>
    <w:rsid w:val="004D28E9"/>
    <w:rsid w:val="004D29F9"/>
    <w:rsid w:val="004D3070"/>
    <w:rsid w:val="004D31A8"/>
    <w:rsid w:val="004D34AF"/>
    <w:rsid w:val="004D3B68"/>
    <w:rsid w:val="004D3E85"/>
    <w:rsid w:val="004D4064"/>
    <w:rsid w:val="004D47E3"/>
    <w:rsid w:val="004D4CE5"/>
    <w:rsid w:val="004D4FB1"/>
    <w:rsid w:val="004D5015"/>
    <w:rsid w:val="004D548C"/>
    <w:rsid w:val="004D5599"/>
    <w:rsid w:val="004D5618"/>
    <w:rsid w:val="004D5976"/>
    <w:rsid w:val="004D5BFA"/>
    <w:rsid w:val="004D5F3C"/>
    <w:rsid w:val="004D5F4A"/>
    <w:rsid w:val="004D677A"/>
    <w:rsid w:val="004D6899"/>
    <w:rsid w:val="004D6952"/>
    <w:rsid w:val="004D7537"/>
    <w:rsid w:val="004E0226"/>
    <w:rsid w:val="004E0552"/>
    <w:rsid w:val="004E05C7"/>
    <w:rsid w:val="004E06C6"/>
    <w:rsid w:val="004E0DBC"/>
    <w:rsid w:val="004E108C"/>
    <w:rsid w:val="004E1836"/>
    <w:rsid w:val="004E1C50"/>
    <w:rsid w:val="004E2156"/>
    <w:rsid w:val="004E23DA"/>
    <w:rsid w:val="004E2733"/>
    <w:rsid w:val="004E27C4"/>
    <w:rsid w:val="004E27D7"/>
    <w:rsid w:val="004E337B"/>
    <w:rsid w:val="004E36C6"/>
    <w:rsid w:val="004E3953"/>
    <w:rsid w:val="004E3A80"/>
    <w:rsid w:val="004E3C77"/>
    <w:rsid w:val="004E4596"/>
    <w:rsid w:val="004E493E"/>
    <w:rsid w:val="004E5884"/>
    <w:rsid w:val="004E6638"/>
    <w:rsid w:val="004E68F4"/>
    <w:rsid w:val="004E7413"/>
    <w:rsid w:val="004E77E9"/>
    <w:rsid w:val="004E7DAF"/>
    <w:rsid w:val="004F000E"/>
    <w:rsid w:val="004F02AC"/>
    <w:rsid w:val="004F0453"/>
    <w:rsid w:val="004F054F"/>
    <w:rsid w:val="004F0918"/>
    <w:rsid w:val="004F0F53"/>
    <w:rsid w:val="004F10E2"/>
    <w:rsid w:val="004F1840"/>
    <w:rsid w:val="004F1842"/>
    <w:rsid w:val="004F19E1"/>
    <w:rsid w:val="004F1E25"/>
    <w:rsid w:val="004F22A8"/>
    <w:rsid w:val="004F2553"/>
    <w:rsid w:val="004F3FA0"/>
    <w:rsid w:val="004F44F7"/>
    <w:rsid w:val="004F47FD"/>
    <w:rsid w:val="004F4AB0"/>
    <w:rsid w:val="004F4C19"/>
    <w:rsid w:val="004F4DD4"/>
    <w:rsid w:val="004F5496"/>
    <w:rsid w:val="004F54EC"/>
    <w:rsid w:val="004F552E"/>
    <w:rsid w:val="004F596F"/>
    <w:rsid w:val="004F5BE5"/>
    <w:rsid w:val="004F5C45"/>
    <w:rsid w:val="004F5FBF"/>
    <w:rsid w:val="004F6A6F"/>
    <w:rsid w:val="004F6F26"/>
    <w:rsid w:val="004F6FC0"/>
    <w:rsid w:val="004F7035"/>
    <w:rsid w:val="004F706E"/>
    <w:rsid w:val="004F77E2"/>
    <w:rsid w:val="005001E1"/>
    <w:rsid w:val="0050021C"/>
    <w:rsid w:val="00500967"/>
    <w:rsid w:val="00500D83"/>
    <w:rsid w:val="005018CC"/>
    <w:rsid w:val="00501C86"/>
    <w:rsid w:val="0050225E"/>
    <w:rsid w:val="005026FA"/>
    <w:rsid w:val="005031F4"/>
    <w:rsid w:val="0050331C"/>
    <w:rsid w:val="005037EC"/>
    <w:rsid w:val="00503ABD"/>
    <w:rsid w:val="00503CC8"/>
    <w:rsid w:val="00503DB5"/>
    <w:rsid w:val="005040AA"/>
    <w:rsid w:val="00504B01"/>
    <w:rsid w:val="005057BD"/>
    <w:rsid w:val="005057C7"/>
    <w:rsid w:val="005066AB"/>
    <w:rsid w:val="005068E5"/>
    <w:rsid w:val="00507800"/>
    <w:rsid w:val="00510B53"/>
    <w:rsid w:val="00510B70"/>
    <w:rsid w:val="005110EA"/>
    <w:rsid w:val="005111FF"/>
    <w:rsid w:val="00511451"/>
    <w:rsid w:val="00511488"/>
    <w:rsid w:val="00512082"/>
    <w:rsid w:val="00512283"/>
    <w:rsid w:val="0051462E"/>
    <w:rsid w:val="00514BAC"/>
    <w:rsid w:val="00514EF3"/>
    <w:rsid w:val="005158C4"/>
    <w:rsid w:val="00515C1B"/>
    <w:rsid w:val="00515E88"/>
    <w:rsid w:val="00515EAE"/>
    <w:rsid w:val="005160A8"/>
    <w:rsid w:val="00516A3E"/>
    <w:rsid w:val="00516CDC"/>
    <w:rsid w:val="00516DBF"/>
    <w:rsid w:val="00517124"/>
    <w:rsid w:val="00517D01"/>
    <w:rsid w:val="00517D8C"/>
    <w:rsid w:val="00517F04"/>
    <w:rsid w:val="005208B5"/>
    <w:rsid w:val="005210E9"/>
    <w:rsid w:val="0052130F"/>
    <w:rsid w:val="00521310"/>
    <w:rsid w:val="00522886"/>
    <w:rsid w:val="00522915"/>
    <w:rsid w:val="005233D7"/>
    <w:rsid w:val="005234E3"/>
    <w:rsid w:val="005236D5"/>
    <w:rsid w:val="00523BFA"/>
    <w:rsid w:val="00523EC3"/>
    <w:rsid w:val="00524F9D"/>
    <w:rsid w:val="005253FF"/>
    <w:rsid w:val="005255B0"/>
    <w:rsid w:val="00525B2E"/>
    <w:rsid w:val="00525F5A"/>
    <w:rsid w:val="0052650B"/>
    <w:rsid w:val="00526667"/>
    <w:rsid w:val="0052685C"/>
    <w:rsid w:val="00526A72"/>
    <w:rsid w:val="00527100"/>
    <w:rsid w:val="005273EB"/>
    <w:rsid w:val="005274A5"/>
    <w:rsid w:val="0052752D"/>
    <w:rsid w:val="005276D5"/>
    <w:rsid w:val="00530657"/>
    <w:rsid w:val="0053165B"/>
    <w:rsid w:val="00531857"/>
    <w:rsid w:val="00531B8E"/>
    <w:rsid w:val="00533D86"/>
    <w:rsid w:val="005344E8"/>
    <w:rsid w:val="00534C13"/>
    <w:rsid w:val="00535362"/>
    <w:rsid w:val="005357EE"/>
    <w:rsid w:val="00535800"/>
    <w:rsid w:val="0053598B"/>
    <w:rsid w:val="00536182"/>
    <w:rsid w:val="005362DA"/>
    <w:rsid w:val="005365AC"/>
    <w:rsid w:val="00536A53"/>
    <w:rsid w:val="005371B4"/>
    <w:rsid w:val="005374B5"/>
    <w:rsid w:val="0053776D"/>
    <w:rsid w:val="0053787A"/>
    <w:rsid w:val="00540979"/>
    <w:rsid w:val="00540999"/>
    <w:rsid w:val="00540D65"/>
    <w:rsid w:val="00541292"/>
    <w:rsid w:val="00541BF5"/>
    <w:rsid w:val="005421FA"/>
    <w:rsid w:val="0054284D"/>
    <w:rsid w:val="00542A55"/>
    <w:rsid w:val="00542F36"/>
    <w:rsid w:val="00544E9C"/>
    <w:rsid w:val="00544F66"/>
    <w:rsid w:val="005450A2"/>
    <w:rsid w:val="00545B89"/>
    <w:rsid w:val="00545F3E"/>
    <w:rsid w:val="005464D7"/>
    <w:rsid w:val="00547B6F"/>
    <w:rsid w:val="0055044C"/>
    <w:rsid w:val="00550579"/>
    <w:rsid w:val="00550868"/>
    <w:rsid w:val="005515D7"/>
    <w:rsid w:val="005516F3"/>
    <w:rsid w:val="00551C47"/>
    <w:rsid w:val="00551E0B"/>
    <w:rsid w:val="00552BD0"/>
    <w:rsid w:val="00553509"/>
    <w:rsid w:val="00553B67"/>
    <w:rsid w:val="00553FF4"/>
    <w:rsid w:val="0055479E"/>
    <w:rsid w:val="005548C3"/>
    <w:rsid w:val="00554B8E"/>
    <w:rsid w:val="00554F45"/>
    <w:rsid w:val="00555468"/>
    <w:rsid w:val="005565AB"/>
    <w:rsid w:val="00556890"/>
    <w:rsid w:val="00557029"/>
    <w:rsid w:val="0055707C"/>
    <w:rsid w:val="00557997"/>
    <w:rsid w:val="00557A86"/>
    <w:rsid w:val="00557E9F"/>
    <w:rsid w:val="005601B8"/>
    <w:rsid w:val="00560319"/>
    <w:rsid w:val="00560679"/>
    <w:rsid w:val="005608C4"/>
    <w:rsid w:val="00560B64"/>
    <w:rsid w:val="00560D97"/>
    <w:rsid w:val="00561650"/>
    <w:rsid w:val="00561FC7"/>
    <w:rsid w:val="0056243D"/>
    <w:rsid w:val="0056278F"/>
    <w:rsid w:val="00562985"/>
    <w:rsid w:val="00564274"/>
    <w:rsid w:val="00564630"/>
    <w:rsid w:val="0056471A"/>
    <w:rsid w:val="00564D0C"/>
    <w:rsid w:val="00564E8D"/>
    <w:rsid w:val="0056503F"/>
    <w:rsid w:val="00565384"/>
    <w:rsid w:val="0056587C"/>
    <w:rsid w:val="00566035"/>
    <w:rsid w:val="00566601"/>
    <w:rsid w:val="00566ABA"/>
    <w:rsid w:val="00567342"/>
    <w:rsid w:val="00567715"/>
    <w:rsid w:val="00570BC9"/>
    <w:rsid w:val="0057127C"/>
    <w:rsid w:val="00572297"/>
    <w:rsid w:val="005723E9"/>
    <w:rsid w:val="00572ADF"/>
    <w:rsid w:val="00572CA6"/>
    <w:rsid w:val="0057324B"/>
    <w:rsid w:val="00574731"/>
    <w:rsid w:val="00574969"/>
    <w:rsid w:val="00576497"/>
    <w:rsid w:val="00576C5B"/>
    <w:rsid w:val="00576D94"/>
    <w:rsid w:val="00577DB4"/>
    <w:rsid w:val="005816BB"/>
    <w:rsid w:val="005818CB"/>
    <w:rsid w:val="00581AF7"/>
    <w:rsid w:val="00581BB9"/>
    <w:rsid w:val="00583447"/>
    <w:rsid w:val="00583A0B"/>
    <w:rsid w:val="00583D8A"/>
    <w:rsid w:val="00583FF3"/>
    <w:rsid w:val="00585004"/>
    <w:rsid w:val="005856FF"/>
    <w:rsid w:val="005862CD"/>
    <w:rsid w:val="0058653A"/>
    <w:rsid w:val="00586647"/>
    <w:rsid w:val="005868CD"/>
    <w:rsid w:val="00586DE3"/>
    <w:rsid w:val="0058736E"/>
    <w:rsid w:val="0058761B"/>
    <w:rsid w:val="00587649"/>
    <w:rsid w:val="005878C7"/>
    <w:rsid w:val="005905D4"/>
    <w:rsid w:val="00590B59"/>
    <w:rsid w:val="005912AE"/>
    <w:rsid w:val="00591523"/>
    <w:rsid w:val="00591B22"/>
    <w:rsid w:val="00591D2A"/>
    <w:rsid w:val="00591F7E"/>
    <w:rsid w:val="00592185"/>
    <w:rsid w:val="005921C1"/>
    <w:rsid w:val="00593845"/>
    <w:rsid w:val="00594554"/>
    <w:rsid w:val="00594981"/>
    <w:rsid w:val="00594DB2"/>
    <w:rsid w:val="00594DEF"/>
    <w:rsid w:val="005951A5"/>
    <w:rsid w:val="00595BA1"/>
    <w:rsid w:val="00596C71"/>
    <w:rsid w:val="00596E8B"/>
    <w:rsid w:val="005A063B"/>
    <w:rsid w:val="005A0C38"/>
    <w:rsid w:val="005A1342"/>
    <w:rsid w:val="005A15E5"/>
    <w:rsid w:val="005A26BA"/>
    <w:rsid w:val="005A2DCF"/>
    <w:rsid w:val="005A2F80"/>
    <w:rsid w:val="005A305E"/>
    <w:rsid w:val="005A3727"/>
    <w:rsid w:val="005A43B4"/>
    <w:rsid w:val="005A476C"/>
    <w:rsid w:val="005A4861"/>
    <w:rsid w:val="005A4A13"/>
    <w:rsid w:val="005A4C92"/>
    <w:rsid w:val="005A4E81"/>
    <w:rsid w:val="005A4FA9"/>
    <w:rsid w:val="005A5086"/>
    <w:rsid w:val="005A560C"/>
    <w:rsid w:val="005A5B54"/>
    <w:rsid w:val="005B0015"/>
    <w:rsid w:val="005B0BA6"/>
    <w:rsid w:val="005B0D96"/>
    <w:rsid w:val="005B12A8"/>
    <w:rsid w:val="005B1319"/>
    <w:rsid w:val="005B25C9"/>
    <w:rsid w:val="005B2808"/>
    <w:rsid w:val="005B2A6E"/>
    <w:rsid w:val="005B2AE1"/>
    <w:rsid w:val="005B2BD0"/>
    <w:rsid w:val="005B376D"/>
    <w:rsid w:val="005B4AC4"/>
    <w:rsid w:val="005B4D47"/>
    <w:rsid w:val="005B4DDF"/>
    <w:rsid w:val="005B54FA"/>
    <w:rsid w:val="005B5835"/>
    <w:rsid w:val="005B58B6"/>
    <w:rsid w:val="005B61F5"/>
    <w:rsid w:val="005B663E"/>
    <w:rsid w:val="005B672C"/>
    <w:rsid w:val="005B686B"/>
    <w:rsid w:val="005B6B70"/>
    <w:rsid w:val="005B76AA"/>
    <w:rsid w:val="005B7CAD"/>
    <w:rsid w:val="005B7CC3"/>
    <w:rsid w:val="005B7D03"/>
    <w:rsid w:val="005B7FA9"/>
    <w:rsid w:val="005C07B5"/>
    <w:rsid w:val="005C0823"/>
    <w:rsid w:val="005C0E01"/>
    <w:rsid w:val="005C164C"/>
    <w:rsid w:val="005C1802"/>
    <w:rsid w:val="005C189D"/>
    <w:rsid w:val="005C2492"/>
    <w:rsid w:val="005C2644"/>
    <w:rsid w:val="005C2902"/>
    <w:rsid w:val="005C318C"/>
    <w:rsid w:val="005C31E0"/>
    <w:rsid w:val="005C3307"/>
    <w:rsid w:val="005C3544"/>
    <w:rsid w:val="005C3E40"/>
    <w:rsid w:val="005C4083"/>
    <w:rsid w:val="005C49DE"/>
    <w:rsid w:val="005C4F73"/>
    <w:rsid w:val="005C514C"/>
    <w:rsid w:val="005C5813"/>
    <w:rsid w:val="005C5906"/>
    <w:rsid w:val="005C594C"/>
    <w:rsid w:val="005C629B"/>
    <w:rsid w:val="005C6449"/>
    <w:rsid w:val="005C7125"/>
    <w:rsid w:val="005C718C"/>
    <w:rsid w:val="005C73EC"/>
    <w:rsid w:val="005C7D56"/>
    <w:rsid w:val="005C7FCB"/>
    <w:rsid w:val="005D0337"/>
    <w:rsid w:val="005D0BB8"/>
    <w:rsid w:val="005D10AE"/>
    <w:rsid w:val="005D21C9"/>
    <w:rsid w:val="005D22B1"/>
    <w:rsid w:val="005D2551"/>
    <w:rsid w:val="005D2CF5"/>
    <w:rsid w:val="005D301F"/>
    <w:rsid w:val="005D3658"/>
    <w:rsid w:val="005D3744"/>
    <w:rsid w:val="005D37B2"/>
    <w:rsid w:val="005D37E3"/>
    <w:rsid w:val="005D4C54"/>
    <w:rsid w:val="005D5361"/>
    <w:rsid w:val="005D5F95"/>
    <w:rsid w:val="005D66F4"/>
    <w:rsid w:val="005D6EDD"/>
    <w:rsid w:val="005D7B76"/>
    <w:rsid w:val="005D7C41"/>
    <w:rsid w:val="005D7F20"/>
    <w:rsid w:val="005E0B4C"/>
    <w:rsid w:val="005E0E61"/>
    <w:rsid w:val="005E171D"/>
    <w:rsid w:val="005E17E1"/>
    <w:rsid w:val="005E1D6A"/>
    <w:rsid w:val="005E2DBF"/>
    <w:rsid w:val="005E3245"/>
    <w:rsid w:val="005E35C5"/>
    <w:rsid w:val="005E4034"/>
    <w:rsid w:val="005E4086"/>
    <w:rsid w:val="005E4151"/>
    <w:rsid w:val="005E4247"/>
    <w:rsid w:val="005E42DF"/>
    <w:rsid w:val="005E49F4"/>
    <w:rsid w:val="005E4AD3"/>
    <w:rsid w:val="005E4EB4"/>
    <w:rsid w:val="005E6B5A"/>
    <w:rsid w:val="005E6E06"/>
    <w:rsid w:val="005E6F71"/>
    <w:rsid w:val="005E73D9"/>
    <w:rsid w:val="005E7AA2"/>
    <w:rsid w:val="005F06BD"/>
    <w:rsid w:val="005F0B23"/>
    <w:rsid w:val="005F1404"/>
    <w:rsid w:val="005F1A6C"/>
    <w:rsid w:val="005F1DC8"/>
    <w:rsid w:val="005F1EB0"/>
    <w:rsid w:val="005F2AC7"/>
    <w:rsid w:val="005F2C75"/>
    <w:rsid w:val="005F3003"/>
    <w:rsid w:val="005F3414"/>
    <w:rsid w:val="005F378A"/>
    <w:rsid w:val="005F3860"/>
    <w:rsid w:val="005F3CAD"/>
    <w:rsid w:val="005F3D29"/>
    <w:rsid w:val="005F400D"/>
    <w:rsid w:val="005F4137"/>
    <w:rsid w:val="005F4AD6"/>
    <w:rsid w:val="005F4C9B"/>
    <w:rsid w:val="005F4FC6"/>
    <w:rsid w:val="005F5460"/>
    <w:rsid w:val="005F5633"/>
    <w:rsid w:val="005F5A51"/>
    <w:rsid w:val="005F5ADA"/>
    <w:rsid w:val="005F5FC1"/>
    <w:rsid w:val="005F657B"/>
    <w:rsid w:val="005F66D7"/>
    <w:rsid w:val="005F6893"/>
    <w:rsid w:val="005F6E64"/>
    <w:rsid w:val="005F7145"/>
    <w:rsid w:val="005F7603"/>
    <w:rsid w:val="005F77FE"/>
    <w:rsid w:val="005F78C2"/>
    <w:rsid w:val="005F7B65"/>
    <w:rsid w:val="005F7CA4"/>
    <w:rsid w:val="005F7D37"/>
    <w:rsid w:val="00600EB7"/>
    <w:rsid w:val="0060138B"/>
    <w:rsid w:val="0060155C"/>
    <w:rsid w:val="00601AD7"/>
    <w:rsid w:val="006020C0"/>
    <w:rsid w:val="00602167"/>
    <w:rsid w:val="006023F5"/>
    <w:rsid w:val="00602607"/>
    <w:rsid w:val="00602F77"/>
    <w:rsid w:val="00603B97"/>
    <w:rsid w:val="00603C63"/>
    <w:rsid w:val="00604BBC"/>
    <w:rsid w:val="00605962"/>
    <w:rsid w:val="0060659D"/>
    <w:rsid w:val="006066C8"/>
    <w:rsid w:val="0060675E"/>
    <w:rsid w:val="006067F7"/>
    <w:rsid w:val="00606FC1"/>
    <w:rsid w:val="006070EE"/>
    <w:rsid w:val="006071F2"/>
    <w:rsid w:val="00607C29"/>
    <w:rsid w:val="00607F8C"/>
    <w:rsid w:val="006102DD"/>
    <w:rsid w:val="0061088C"/>
    <w:rsid w:val="006110A2"/>
    <w:rsid w:val="00611544"/>
    <w:rsid w:val="0061174F"/>
    <w:rsid w:val="00611CBE"/>
    <w:rsid w:val="00612776"/>
    <w:rsid w:val="006127FC"/>
    <w:rsid w:val="00612D6E"/>
    <w:rsid w:val="0061399C"/>
    <w:rsid w:val="00613DDE"/>
    <w:rsid w:val="00613F51"/>
    <w:rsid w:val="00614235"/>
    <w:rsid w:val="00614241"/>
    <w:rsid w:val="00615BC7"/>
    <w:rsid w:val="00615CC7"/>
    <w:rsid w:val="0061606C"/>
    <w:rsid w:val="0061676B"/>
    <w:rsid w:val="00617C93"/>
    <w:rsid w:val="00620E46"/>
    <w:rsid w:val="00621033"/>
    <w:rsid w:val="006216E0"/>
    <w:rsid w:val="00621AE4"/>
    <w:rsid w:val="006229C3"/>
    <w:rsid w:val="006233D2"/>
    <w:rsid w:val="006235C4"/>
    <w:rsid w:val="00623B45"/>
    <w:rsid w:val="0062410C"/>
    <w:rsid w:val="00624195"/>
    <w:rsid w:val="006243ED"/>
    <w:rsid w:val="00624464"/>
    <w:rsid w:val="0062497A"/>
    <w:rsid w:val="00625437"/>
    <w:rsid w:val="00625504"/>
    <w:rsid w:val="006258B9"/>
    <w:rsid w:val="006260A7"/>
    <w:rsid w:val="006264D2"/>
    <w:rsid w:val="006265D0"/>
    <w:rsid w:val="00626651"/>
    <w:rsid w:val="006266ED"/>
    <w:rsid w:val="00626774"/>
    <w:rsid w:val="00627B17"/>
    <w:rsid w:val="00627F05"/>
    <w:rsid w:val="006301A9"/>
    <w:rsid w:val="00630B37"/>
    <w:rsid w:val="006313F1"/>
    <w:rsid w:val="0063186A"/>
    <w:rsid w:val="0063198D"/>
    <w:rsid w:val="00631DCF"/>
    <w:rsid w:val="006323AC"/>
    <w:rsid w:val="00632723"/>
    <w:rsid w:val="006334AB"/>
    <w:rsid w:val="006335F9"/>
    <w:rsid w:val="00633A85"/>
    <w:rsid w:val="006345A4"/>
    <w:rsid w:val="00634F31"/>
    <w:rsid w:val="006351AA"/>
    <w:rsid w:val="006352E1"/>
    <w:rsid w:val="00635C06"/>
    <w:rsid w:val="00636889"/>
    <w:rsid w:val="0063693B"/>
    <w:rsid w:val="00636B0D"/>
    <w:rsid w:val="00637427"/>
    <w:rsid w:val="006403B3"/>
    <w:rsid w:val="00640593"/>
    <w:rsid w:val="00640646"/>
    <w:rsid w:val="006407B2"/>
    <w:rsid w:val="00640CE0"/>
    <w:rsid w:val="00641EB7"/>
    <w:rsid w:val="00641EFC"/>
    <w:rsid w:val="00642269"/>
    <w:rsid w:val="00642713"/>
    <w:rsid w:val="00642A71"/>
    <w:rsid w:val="00643560"/>
    <w:rsid w:val="006437A8"/>
    <w:rsid w:val="0064382F"/>
    <w:rsid w:val="00644617"/>
    <w:rsid w:val="00645A96"/>
    <w:rsid w:val="00646520"/>
    <w:rsid w:val="00646734"/>
    <w:rsid w:val="006467CE"/>
    <w:rsid w:val="00646A34"/>
    <w:rsid w:val="00646C25"/>
    <w:rsid w:val="00647630"/>
    <w:rsid w:val="00647CDB"/>
    <w:rsid w:val="0065074B"/>
    <w:rsid w:val="006510BA"/>
    <w:rsid w:val="006523EA"/>
    <w:rsid w:val="0065241B"/>
    <w:rsid w:val="006525DF"/>
    <w:rsid w:val="00652609"/>
    <w:rsid w:val="00652743"/>
    <w:rsid w:val="00652745"/>
    <w:rsid w:val="00653162"/>
    <w:rsid w:val="006539E1"/>
    <w:rsid w:val="0065444B"/>
    <w:rsid w:val="00654489"/>
    <w:rsid w:val="00654BFB"/>
    <w:rsid w:val="00655622"/>
    <w:rsid w:val="00656301"/>
    <w:rsid w:val="006576A5"/>
    <w:rsid w:val="006576CA"/>
    <w:rsid w:val="006606A0"/>
    <w:rsid w:val="00660CC4"/>
    <w:rsid w:val="00661147"/>
    <w:rsid w:val="00661986"/>
    <w:rsid w:val="006619B4"/>
    <w:rsid w:val="00661BE0"/>
    <w:rsid w:val="00661EB0"/>
    <w:rsid w:val="00662045"/>
    <w:rsid w:val="006620CE"/>
    <w:rsid w:val="00662298"/>
    <w:rsid w:val="0066246F"/>
    <w:rsid w:val="0066253D"/>
    <w:rsid w:val="00663703"/>
    <w:rsid w:val="00663B7B"/>
    <w:rsid w:val="00663F8B"/>
    <w:rsid w:val="00664283"/>
    <w:rsid w:val="0066470C"/>
    <w:rsid w:val="0066502A"/>
    <w:rsid w:val="00665461"/>
    <w:rsid w:val="006655DD"/>
    <w:rsid w:val="006670F8"/>
    <w:rsid w:val="0066719A"/>
    <w:rsid w:val="0067006F"/>
    <w:rsid w:val="006701EC"/>
    <w:rsid w:val="00670C8E"/>
    <w:rsid w:val="0067178C"/>
    <w:rsid w:val="006719BC"/>
    <w:rsid w:val="00671F50"/>
    <w:rsid w:val="00671FBF"/>
    <w:rsid w:val="0067207E"/>
    <w:rsid w:val="00672453"/>
    <w:rsid w:val="00673AA8"/>
    <w:rsid w:val="0067489C"/>
    <w:rsid w:val="00674D8E"/>
    <w:rsid w:val="0067547E"/>
    <w:rsid w:val="006757D8"/>
    <w:rsid w:val="0067607D"/>
    <w:rsid w:val="006769CE"/>
    <w:rsid w:val="006772F2"/>
    <w:rsid w:val="00677FBF"/>
    <w:rsid w:val="0068127D"/>
    <w:rsid w:val="006815C0"/>
    <w:rsid w:val="006815F1"/>
    <w:rsid w:val="00681A46"/>
    <w:rsid w:val="00682192"/>
    <w:rsid w:val="00682646"/>
    <w:rsid w:val="0068281C"/>
    <w:rsid w:val="0068329F"/>
    <w:rsid w:val="00684E11"/>
    <w:rsid w:val="00685BC7"/>
    <w:rsid w:val="00685C82"/>
    <w:rsid w:val="00685DC8"/>
    <w:rsid w:val="00685EA1"/>
    <w:rsid w:val="00686A05"/>
    <w:rsid w:val="00687729"/>
    <w:rsid w:val="00687958"/>
    <w:rsid w:val="00687A64"/>
    <w:rsid w:val="00687B8E"/>
    <w:rsid w:val="00690955"/>
    <w:rsid w:val="00692061"/>
    <w:rsid w:val="00692096"/>
    <w:rsid w:val="00692101"/>
    <w:rsid w:val="00692AFC"/>
    <w:rsid w:val="00692BF3"/>
    <w:rsid w:val="00693504"/>
    <w:rsid w:val="006935F9"/>
    <w:rsid w:val="00693980"/>
    <w:rsid w:val="00693982"/>
    <w:rsid w:val="0069523B"/>
    <w:rsid w:val="006954B1"/>
    <w:rsid w:val="006955AA"/>
    <w:rsid w:val="0069587D"/>
    <w:rsid w:val="00696070"/>
    <w:rsid w:val="006975F9"/>
    <w:rsid w:val="00697660"/>
    <w:rsid w:val="006977B2"/>
    <w:rsid w:val="006978A6"/>
    <w:rsid w:val="00697DC1"/>
    <w:rsid w:val="006A0996"/>
    <w:rsid w:val="006A09BC"/>
    <w:rsid w:val="006A100C"/>
    <w:rsid w:val="006A1225"/>
    <w:rsid w:val="006A19E5"/>
    <w:rsid w:val="006A240E"/>
    <w:rsid w:val="006A2508"/>
    <w:rsid w:val="006A275A"/>
    <w:rsid w:val="006A2CA8"/>
    <w:rsid w:val="006A2FBA"/>
    <w:rsid w:val="006A3026"/>
    <w:rsid w:val="006A3286"/>
    <w:rsid w:val="006A32D2"/>
    <w:rsid w:val="006A37C1"/>
    <w:rsid w:val="006A3943"/>
    <w:rsid w:val="006A4E37"/>
    <w:rsid w:val="006A521F"/>
    <w:rsid w:val="006A55B8"/>
    <w:rsid w:val="006A5BAD"/>
    <w:rsid w:val="006A6399"/>
    <w:rsid w:val="006A669C"/>
    <w:rsid w:val="006A6867"/>
    <w:rsid w:val="006A6B4A"/>
    <w:rsid w:val="006A77B7"/>
    <w:rsid w:val="006A7A1F"/>
    <w:rsid w:val="006A7A4A"/>
    <w:rsid w:val="006A7ADF"/>
    <w:rsid w:val="006B0530"/>
    <w:rsid w:val="006B0619"/>
    <w:rsid w:val="006B2B41"/>
    <w:rsid w:val="006B2D13"/>
    <w:rsid w:val="006B2EEF"/>
    <w:rsid w:val="006B2F5E"/>
    <w:rsid w:val="006B3121"/>
    <w:rsid w:val="006B31AE"/>
    <w:rsid w:val="006B395C"/>
    <w:rsid w:val="006B3F70"/>
    <w:rsid w:val="006B423E"/>
    <w:rsid w:val="006B455B"/>
    <w:rsid w:val="006B48CB"/>
    <w:rsid w:val="006B4DDE"/>
    <w:rsid w:val="006B506A"/>
    <w:rsid w:val="006B56EF"/>
    <w:rsid w:val="006B5842"/>
    <w:rsid w:val="006B5C62"/>
    <w:rsid w:val="006B6149"/>
    <w:rsid w:val="006B66AF"/>
    <w:rsid w:val="006B7971"/>
    <w:rsid w:val="006C03A9"/>
    <w:rsid w:val="006C1064"/>
    <w:rsid w:val="006C11F1"/>
    <w:rsid w:val="006C1503"/>
    <w:rsid w:val="006C17CD"/>
    <w:rsid w:val="006C19E7"/>
    <w:rsid w:val="006C1ADC"/>
    <w:rsid w:val="006C1D80"/>
    <w:rsid w:val="006C2020"/>
    <w:rsid w:val="006C2386"/>
    <w:rsid w:val="006C2AAF"/>
    <w:rsid w:val="006C2D9E"/>
    <w:rsid w:val="006C2FE1"/>
    <w:rsid w:val="006C3031"/>
    <w:rsid w:val="006C4E65"/>
    <w:rsid w:val="006C54F2"/>
    <w:rsid w:val="006C6C2A"/>
    <w:rsid w:val="006C7A08"/>
    <w:rsid w:val="006C7DB2"/>
    <w:rsid w:val="006D01F8"/>
    <w:rsid w:val="006D0658"/>
    <w:rsid w:val="006D09B4"/>
    <w:rsid w:val="006D1064"/>
    <w:rsid w:val="006D157F"/>
    <w:rsid w:val="006D1CE9"/>
    <w:rsid w:val="006D2013"/>
    <w:rsid w:val="006D2114"/>
    <w:rsid w:val="006D220D"/>
    <w:rsid w:val="006D25AC"/>
    <w:rsid w:val="006D2834"/>
    <w:rsid w:val="006D2949"/>
    <w:rsid w:val="006D4057"/>
    <w:rsid w:val="006D5238"/>
    <w:rsid w:val="006D542A"/>
    <w:rsid w:val="006D599B"/>
    <w:rsid w:val="006D5AD8"/>
    <w:rsid w:val="006D5F47"/>
    <w:rsid w:val="006D6217"/>
    <w:rsid w:val="006D65EF"/>
    <w:rsid w:val="006D7651"/>
    <w:rsid w:val="006E0E02"/>
    <w:rsid w:val="006E1959"/>
    <w:rsid w:val="006E1EAD"/>
    <w:rsid w:val="006E2794"/>
    <w:rsid w:val="006E2C3F"/>
    <w:rsid w:val="006E308C"/>
    <w:rsid w:val="006E3244"/>
    <w:rsid w:val="006E34CA"/>
    <w:rsid w:val="006E35EC"/>
    <w:rsid w:val="006E38CD"/>
    <w:rsid w:val="006E3996"/>
    <w:rsid w:val="006E3E83"/>
    <w:rsid w:val="006E4570"/>
    <w:rsid w:val="006E5121"/>
    <w:rsid w:val="006E5427"/>
    <w:rsid w:val="006E5460"/>
    <w:rsid w:val="006E5DAA"/>
    <w:rsid w:val="006E5E14"/>
    <w:rsid w:val="006E608C"/>
    <w:rsid w:val="006E611E"/>
    <w:rsid w:val="006E67B3"/>
    <w:rsid w:val="006E67F9"/>
    <w:rsid w:val="006E6918"/>
    <w:rsid w:val="006E69C7"/>
    <w:rsid w:val="006E6A13"/>
    <w:rsid w:val="006E6F47"/>
    <w:rsid w:val="006E7DFB"/>
    <w:rsid w:val="006E7E4D"/>
    <w:rsid w:val="006F02F1"/>
    <w:rsid w:val="006F07E2"/>
    <w:rsid w:val="006F0C41"/>
    <w:rsid w:val="006F0CC8"/>
    <w:rsid w:val="006F0FC1"/>
    <w:rsid w:val="006F0FDC"/>
    <w:rsid w:val="006F103B"/>
    <w:rsid w:val="006F189F"/>
    <w:rsid w:val="006F20D6"/>
    <w:rsid w:val="006F23CD"/>
    <w:rsid w:val="006F2510"/>
    <w:rsid w:val="006F26F4"/>
    <w:rsid w:val="006F3650"/>
    <w:rsid w:val="006F36C4"/>
    <w:rsid w:val="006F3797"/>
    <w:rsid w:val="006F4260"/>
    <w:rsid w:val="006F49CC"/>
    <w:rsid w:val="006F4A37"/>
    <w:rsid w:val="006F4ADF"/>
    <w:rsid w:val="006F4B85"/>
    <w:rsid w:val="006F4D24"/>
    <w:rsid w:val="006F51F6"/>
    <w:rsid w:val="006F5355"/>
    <w:rsid w:val="006F54A7"/>
    <w:rsid w:val="006F5976"/>
    <w:rsid w:val="006F6212"/>
    <w:rsid w:val="006F657A"/>
    <w:rsid w:val="006F6796"/>
    <w:rsid w:val="006F777A"/>
    <w:rsid w:val="00700B9C"/>
    <w:rsid w:val="00701328"/>
    <w:rsid w:val="007013D7"/>
    <w:rsid w:val="00701615"/>
    <w:rsid w:val="00701E0C"/>
    <w:rsid w:val="0070221D"/>
    <w:rsid w:val="00702528"/>
    <w:rsid w:val="007026B1"/>
    <w:rsid w:val="00702A44"/>
    <w:rsid w:val="00702EF5"/>
    <w:rsid w:val="007036CB"/>
    <w:rsid w:val="00703A95"/>
    <w:rsid w:val="0070493A"/>
    <w:rsid w:val="00704F9C"/>
    <w:rsid w:val="007053BE"/>
    <w:rsid w:val="00705732"/>
    <w:rsid w:val="007058DD"/>
    <w:rsid w:val="00705E9D"/>
    <w:rsid w:val="007065A0"/>
    <w:rsid w:val="00706694"/>
    <w:rsid w:val="00706CBA"/>
    <w:rsid w:val="007073CD"/>
    <w:rsid w:val="00707B72"/>
    <w:rsid w:val="0071020A"/>
    <w:rsid w:val="00710688"/>
    <w:rsid w:val="007108A8"/>
    <w:rsid w:val="00710C03"/>
    <w:rsid w:val="007112CE"/>
    <w:rsid w:val="00711AB5"/>
    <w:rsid w:val="00711B8E"/>
    <w:rsid w:val="00711F68"/>
    <w:rsid w:val="00712444"/>
    <w:rsid w:val="00712A0D"/>
    <w:rsid w:val="00712B15"/>
    <w:rsid w:val="00712E51"/>
    <w:rsid w:val="0071368B"/>
    <w:rsid w:val="00713983"/>
    <w:rsid w:val="007140B6"/>
    <w:rsid w:val="00714298"/>
    <w:rsid w:val="00714643"/>
    <w:rsid w:val="00714C40"/>
    <w:rsid w:val="0071511C"/>
    <w:rsid w:val="007153E9"/>
    <w:rsid w:val="00715F91"/>
    <w:rsid w:val="0071604D"/>
    <w:rsid w:val="00716571"/>
    <w:rsid w:val="007166B2"/>
    <w:rsid w:val="00717223"/>
    <w:rsid w:val="0071731D"/>
    <w:rsid w:val="0071772C"/>
    <w:rsid w:val="00717FC3"/>
    <w:rsid w:val="0072039E"/>
    <w:rsid w:val="007206A3"/>
    <w:rsid w:val="00720A1B"/>
    <w:rsid w:val="00720E42"/>
    <w:rsid w:val="0072114C"/>
    <w:rsid w:val="007218D0"/>
    <w:rsid w:val="00721A70"/>
    <w:rsid w:val="00721AD8"/>
    <w:rsid w:val="00721AE7"/>
    <w:rsid w:val="007224AA"/>
    <w:rsid w:val="00722C3F"/>
    <w:rsid w:val="007233D4"/>
    <w:rsid w:val="00723C63"/>
    <w:rsid w:val="00723E5E"/>
    <w:rsid w:val="00723EB5"/>
    <w:rsid w:val="00724B70"/>
    <w:rsid w:val="00724C06"/>
    <w:rsid w:val="00724DB0"/>
    <w:rsid w:val="007252D8"/>
    <w:rsid w:val="0072574F"/>
    <w:rsid w:val="007258C9"/>
    <w:rsid w:val="00725CB1"/>
    <w:rsid w:val="00726168"/>
    <w:rsid w:val="00727DD5"/>
    <w:rsid w:val="00730DB5"/>
    <w:rsid w:val="00731029"/>
    <w:rsid w:val="00731159"/>
    <w:rsid w:val="007313E4"/>
    <w:rsid w:val="00731519"/>
    <w:rsid w:val="00731B3D"/>
    <w:rsid w:val="007321A7"/>
    <w:rsid w:val="007324EA"/>
    <w:rsid w:val="0073297E"/>
    <w:rsid w:val="00732D46"/>
    <w:rsid w:val="00732D5E"/>
    <w:rsid w:val="00733034"/>
    <w:rsid w:val="0073399B"/>
    <w:rsid w:val="007347EE"/>
    <w:rsid w:val="0073624A"/>
    <w:rsid w:val="00736788"/>
    <w:rsid w:val="00737136"/>
    <w:rsid w:val="00737377"/>
    <w:rsid w:val="007374D1"/>
    <w:rsid w:val="007379F2"/>
    <w:rsid w:val="00740002"/>
    <w:rsid w:val="00740A0E"/>
    <w:rsid w:val="00740A30"/>
    <w:rsid w:val="00740AF6"/>
    <w:rsid w:val="00740FEF"/>
    <w:rsid w:val="0074198C"/>
    <w:rsid w:val="00742712"/>
    <w:rsid w:val="00742CBB"/>
    <w:rsid w:val="00742E1B"/>
    <w:rsid w:val="00743290"/>
    <w:rsid w:val="007442AA"/>
    <w:rsid w:val="007442DE"/>
    <w:rsid w:val="00744CF6"/>
    <w:rsid w:val="00746491"/>
    <w:rsid w:val="0074786B"/>
    <w:rsid w:val="00747F4D"/>
    <w:rsid w:val="00750AA1"/>
    <w:rsid w:val="00751101"/>
    <w:rsid w:val="00752040"/>
    <w:rsid w:val="007521A6"/>
    <w:rsid w:val="00752286"/>
    <w:rsid w:val="00752F91"/>
    <w:rsid w:val="0075372F"/>
    <w:rsid w:val="00753920"/>
    <w:rsid w:val="007539D2"/>
    <w:rsid w:val="00753FDA"/>
    <w:rsid w:val="00755995"/>
    <w:rsid w:val="007561ED"/>
    <w:rsid w:val="007565E3"/>
    <w:rsid w:val="00756E88"/>
    <w:rsid w:val="0075708E"/>
    <w:rsid w:val="00757894"/>
    <w:rsid w:val="00757D47"/>
    <w:rsid w:val="00757FA6"/>
    <w:rsid w:val="00760441"/>
    <w:rsid w:val="00760847"/>
    <w:rsid w:val="00760967"/>
    <w:rsid w:val="00760B4C"/>
    <w:rsid w:val="00760D6B"/>
    <w:rsid w:val="00761BEF"/>
    <w:rsid w:val="00761C76"/>
    <w:rsid w:val="00762310"/>
    <w:rsid w:val="0076253A"/>
    <w:rsid w:val="00762667"/>
    <w:rsid w:val="00762690"/>
    <w:rsid w:val="00762978"/>
    <w:rsid w:val="00762A77"/>
    <w:rsid w:val="00763707"/>
    <w:rsid w:val="00763A7D"/>
    <w:rsid w:val="007642CE"/>
    <w:rsid w:val="007643C7"/>
    <w:rsid w:val="00764482"/>
    <w:rsid w:val="00765B9E"/>
    <w:rsid w:val="00765C89"/>
    <w:rsid w:val="00765CD4"/>
    <w:rsid w:val="007665F4"/>
    <w:rsid w:val="0076679D"/>
    <w:rsid w:val="0076696A"/>
    <w:rsid w:val="00766B28"/>
    <w:rsid w:val="00766E84"/>
    <w:rsid w:val="0076712A"/>
    <w:rsid w:val="007672D8"/>
    <w:rsid w:val="007674E9"/>
    <w:rsid w:val="0076755D"/>
    <w:rsid w:val="0076756B"/>
    <w:rsid w:val="007679D2"/>
    <w:rsid w:val="00770910"/>
    <w:rsid w:val="00770DA8"/>
    <w:rsid w:val="007711BE"/>
    <w:rsid w:val="0077139D"/>
    <w:rsid w:val="007719D3"/>
    <w:rsid w:val="0077254B"/>
    <w:rsid w:val="00772591"/>
    <w:rsid w:val="007725C1"/>
    <w:rsid w:val="00772FBA"/>
    <w:rsid w:val="007739C0"/>
    <w:rsid w:val="00773A90"/>
    <w:rsid w:val="00773E77"/>
    <w:rsid w:val="0077487E"/>
    <w:rsid w:val="00774E4A"/>
    <w:rsid w:val="00774E60"/>
    <w:rsid w:val="0077515A"/>
    <w:rsid w:val="0077557A"/>
    <w:rsid w:val="00776919"/>
    <w:rsid w:val="00776BD6"/>
    <w:rsid w:val="00776D72"/>
    <w:rsid w:val="007776A3"/>
    <w:rsid w:val="00777998"/>
    <w:rsid w:val="00777ABE"/>
    <w:rsid w:val="0078041C"/>
    <w:rsid w:val="00780622"/>
    <w:rsid w:val="00780A93"/>
    <w:rsid w:val="007811A9"/>
    <w:rsid w:val="0078189A"/>
    <w:rsid w:val="007824F9"/>
    <w:rsid w:val="00782BE7"/>
    <w:rsid w:val="00782E65"/>
    <w:rsid w:val="0078313E"/>
    <w:rsid w:val="00783A45"/>
    <w:rsid w:val="00783DF7"/>
    <w:rsid w:val="00783E0B"/>
    <w:rsid w:val="0078418A"/>
    <w:rsid w:val="007841E4"/>
    <w:rsid w:val="0078463E"/>
    <w:rsid w:val="007847D0"/>
    <w:rsid w:val="00784E0F"/>
    <w:rsid w:val="00785CA9"/>
    <w:rsid w:val="00785CF7"/>
    <w:rsid w:val="00786230"/>
    <w:rsid w:val="00786337"/>
    <w:rsid w:val="0078676F"/>
    <w:rsid w:val="007867C1"/>
    <w:rsid w:val="00786962"/>
    <w:rsid w:val="00786A2A"/>
    <w:rsid w:val="00786E2F"/>
    <w:rsid w:val="007875EB"/>
    <w:rsid w:val="00787973"/>
    <w:rsid w:val="00787DCF"/>
    <w:rsid w:val="0079081A"/>
    <w:rsid w:val="00791F46"/>
    <w:rsid w:val="00792697"/>
    <w:rsid w:val="00792F3E"/>
    <w:rsid w:val="007932DF"/>
    <w:rsid w:val="00793604"/>
    <w:rsid w:val="0079373E"/>
    <w:rsid w:val="00793BD4"/>
    <w:rsid w:val="0079496C"/>
    <w:rsid w:val="0079519D"/>
    <w:rsid w:val="0079562B"/>
    <w:rsid w:val="00795A26"/>
    <w:rsid w:val="00795AB1"/>
    <w:rsid w:val="00795BAC"/>
    <w:rsid w:val="0079633A"/>
    <w:rsid w:val="0079674A"/>
    <w:rsid w:val="00796C9F"/>
    <w:rsid w:val="007974D7"/>
    <w:rsid w:val="00797608"/>
    <w:rsid w:val="0079775F"/>
    <w:rsid w:val="00797D89"/>
    <w:rsid w:val="00797DA4"/>
    <w:rsid w:val="007A0A61"/>
    <w:rsid w:val="007A0CB6"/>
    <w:rsid w:val="007A0EC1"/>
    <w:rsid w:val="007A120E"/>
    <w:rsid w:val="007A2128"/>
    <w:rsid w:val="007A3CBC"/>
    <w:rsid w:val="007A42C9"/>
    <w:rsid w:val="007A4A27"/>
    <w:rsid w:val="007A4FA9"/>
    <w:rsid w:val="007A51BB"/>
    <w:rsid w:val="007A52C4"/>
    <w:rsid w:val="007A55E1"/>
    <w:rsid w:val="007A5A3B"/>
    <w:rsid w:val="007A62F6"/>
    <w:rsid w:val="007A6870"/>
    <w:rsid w:val="007A692F"/>
    <w:rsid w:val="007A6973"/>
    <w:rsid w:val="007A6AF3"/>
    <w:rsid w:val="007A7523"/>
    <w:rsid w:val="007A7579"/>
    <w:rsid w:val="007A7BCA"/>
    <w:rsid w:val="007A7C96"/>
    <w:rsid w:val="007A7D11"/>
    <w:rsid w:val="007B0809"/>
    <w:rsid w:val="007B1727"/>
    <w:rsid w:val="007B194F"/>
    <w:rsid w:val="007B20F4"/>
    <w:rsid w:val="007B2505"/>
    <w:rsid w:val="007B2672"/>
    <w:rsid w:val="007B2AA7"/>
    <w:rsid w:val="007B2CFD"/>
    <w:rsid w:val="007B3058"/>
    <w:rsid w:val="007B3CFC"/>
    <w:rsid w:val="007B46F9"/>
    <w:rsid w:val="007B50C3"/>
    <w:rsid w:val="007B567A"/>
    <w:rsid w:val="007B5779"/>
    <w:rsid w:val="007B5EFD"/>
    <w:rsid w:val="007B6388"/>
    <w:rsid w:val="007B6B28"/>
    <w:rsid w:val="007B6CC1"/>
    <w:rsid w:val="007B75FA"/>
    <w:rsid w:val="007B76CD"/>
    <w:rsid w:val="007B77E5"/>
    <w:rsid w:val="007B7E9E"/>
    <w:rsid w:val="007B7FA0"/>
    <w:rsid w:val="007C0143"/>
    <w:rsid w:val="007C053C"/>
    <w:rsid w:val="007C0572"/>
    <w:rsid w:val="007C05FE"/>
    <w:rsid w:val="007C0957"/>
    <w:rsid w:val="007C19C5"/>
    <w:rsid w:val="007C1C57"/>
    <w:rsid w:val="007C1DD5"/>
    <w:rsid w:val="007C259B"/>
    <w:rsid w:val="007C29F6"/>
    <w:rsid w:val="007C2A77"/>
    <w:rsid w:val="007C2AB7"/>
    <w:rsid w:val="007C2EC4"/>
    <w:rsid w:val="007C3AE7"/>
    <w:rsid w:val="007C3B04"/>
    <w:rsid w:val="007C4A73"/>
    <w:rsid w:val="007C4C15"/>
    <w:rsid w:val="007C556A"/>
    <w:rsid w:val="007D004C"/>
    <w:rsid w:val="007D033B"/>
    <w:rsid w:val="007D22B6"/>
    <w:rsid w:val="007D2CAD"/>
    <w:rsid w:val="007D31C6"/>
    <w:rsid w:val="007D3543"/>
    <w:rsid w:val="007D38C9"/>
    <w:rsid w:val="007D41BF"/>
    <w:rsid w:val="007D45AF"/>
    <w:rsid w:val="007D49B0"/>
    <w:rsid w:val="007D517B"/>
    <w:rsid w:val="007D528F"/>
    <w:rsid w:val="007D52CB"/>
    <w:rsid w:val="007D5310"/>
    <w:rsid w:val="007D5DC9"/>
    <w:rsid w:val="007D6EE5"/>
    <w:rsid w:val="007D7093"/>
    <w:rsid w:val="007D72DA"/>
    <w:rsid w:val="007D7712"/>
    <w:rsid w:val="007D7A0E"/>
    <w:rsid w:val="007D7DA2"/>
    <w:rsid w:val="007D7FAA"/>
    <w:rsid w:val="007E0105"/>
    <w:rsid w:val="007E058E"/>
    <w:rsid w:val="007E0797"/>
    <w:rsid w:val="007E0A3C"/>
    <w:rsid w:val="007E0A85"/>
    <w:rsid w:val="007E0CBB"/>
    <w:rsid w:val="007E14B7"/>
    <w:rsid w:val="007E2090"/>
    <w:rsid w:val="007E25BC"/>
    <w:rsid w:val="007E2EE7"/>
    <w:rsid w:val="007E355D"/>
    <w:rsid w:val="007E4C72"/>
    <w:rsid w:val="007E54C3"/>
    <w:rsid w:val="007E5A6D"/>
    <w:rsid w:val="007E5B87"/>
    <w:rsid w:val="007E7125"/>
    <w:rsid w:val="007E72B1"/>
    <w:rsid w:val="007E75CD"/>
    <w:rsid w:val="007E76F7"/>
    <w:rsid w:val="007E77B4"/>
    <w:rsid w:val="007E7ACD"/>
    <w:rsid w:val="007E7FA6"/>
    <w:rsid w:val="007F03C2"/>
    <w:rsid w:val="007F047C"/>
    <w:rsid w:val="007F0552"/>
    <w:rsid w:val="007F18CD"/>
    <w:rsid w:val="007F1983"/>
    <w:rsid w:val="007F1986"/>
    <w:rsid w:val="007F245D"/>
    <w:rsid w:val="007F2767"/>
    <w:rsid w:val="007F32E8"/>
    <w:rsid w:val="007F3638"/>
    <w:rsid w:val="007F3C73"/>
    <w:rsid w:val="007F3E7D"/>
    <w:rsid w:val="007F3E7E"/>
    <w:rsid w:val="007F3EF7"/>
    <w:rsid w:val="007F4267"/>
    <w:rsid w:val="007F426D"/>
    <w:rsid w:val="007F434D"/>
    <w:rsid w:val="007F4C58"/>
    <w:rsid w:val="007F61A5"/>
    <w:rsid w:val="007F69D4"/>
    <w:rsid w:val="007F6FEF"/>
    <w:rsid w:val="007F71A7"/>
    <w:rsid w:val="007F7345"/>
    <w:rsid w:val="007F7497"/>
    <w:rsid w:val="007F7B05"/>
    <w:rsid w:val="007F7B89"/>
    <w:rsid w:val="007F7F7B"/>
    <w:rsid w:val="0080057D"/>
    <w:rsid w:val="008007C4"/>
    <w:rsid w:val="00800811"/>
    <w:rsid w:val="00803446"/>
    <w:rsid w:val="008035BB"/>
    <w:rsid w:val="008037EB"/>
    <w:rsid w:val="00803DE2"/>
    <w:rsid w:val="00804530"/>
    <w:rsid w:val="0080473D"/>
    <w:rsid w:val="00804908"/>
    <w:rsid w:val="00804A1F"/>
    <w:rsid w:val="00804D5B"/>
    <w:rsid w:val="0080554E"/>
    <w:rsid w:val="008063C2"/>
    <w:rsid w:val="00806A4A"/>
    <w:rsid w:val="00806C7B"/>
    <w:rsid w:val="008073B5"/>
    <w:rsid w:val="0080764E"/>
    <w:rsid w:val="00807AE0"/>
    <w:rsid w:val="00807BD7"/>
    <w:rsid w:val="00810877"/>
    <w:rsid w:val="00810DED"/>
    <w:rsid w:val="00811291"/>
    <w:rsid w:val="00811C00"/>
    <w:rsid w:val="00811C59"/>
    <w:rsid w:val="008120E5"/>
    <w:rsid w:val="008122CC"/>
    <w:rsid w:val="00812732"/>
    <w:rsid w:val="00812E58"/>
    <w:rsid w:val="00813667"/>
    <w:rsid w:val="008139C9"/>
    <w:rsid w:val="00813D1C"/>
    <w:rsid w:val="0081412C"/>
    <w:rsid w:val="008145E7"/>
    <w:rsid w:val="00814764"/>
    <w:rsid w:val="00814A30"/>
    <w:rsid w:val="00814A5F"/>
    <w:rsid w:val="00814CA0"/>
    <w:rsid w:val="00814E9D"/>
    <w:rsid w:val="00814EBA"/>
    <w:rsid w:val="00815546"/>
    <w:rsid w:val="00815AE5"/>
    <w:rsid w:val="00816622"/>
    <w:rsid w:val="0081720F"/>
    <w:rsid w:val="008172DE"/>
    <w:rsid w:val="008174D1"/>
    <w:rsid w:val="00817CE8"/>
    <w:rsid w:val="00820100"/>
    <w:rsid w:val="008205FB"/>
    <w:rsid w:val="00820699"/>
    <w:rsid w:val="00820D21"/>
    <w:rsid w:val="00820D5C"/>
    <w:rsid w:val="00820D66"/>
    <w:rsid w:val="008213CA"/>
    <w:rsid w:val="0082180D"/>
    <w:rsid w:val="00821BEB"/>
    <w:rsid w:val="00821C35"/>
    <w:rsid w:val="00821E93"/>
    <w:rsid w:val="008224CC"/>
    <w:rsid w:val="00822E39"/>
    <w:rsid w:val="00822E3D"/>
    <w:rsid w:val="00822ED7"/>
    <w:rsid w:val="00823175"/>
    <w:rsid w:val="00823D53"/>
    <w:rsid w:val="00824229"/>
    <w:rsid w:val="00824C58"/>
    <w:rsid w:val="0082550F"/>
    <w:rsid w:val="00825C11"/>
    <w:rsid w:val="008265F2"/>
    <w:rsid w:val="00826C3F"/>
    <w:rsid w:val="00826FD8"/>
    <w:rsid w:val="008270FA"/>
    <w:rsid w:val="00827377"/>
    <w:rsid w:val="0082751D"/>
    <w:rsid w:val="00827535"/>
    <w:rsid w:val="00827615"/>
    <w:rsid w:val="008276B0"/>
    <w:rsid w:val="00827D64"/>
    <w:rsid w:val="00827F94"/>
    <w:rsid w:val="00827FF5"/>
    <w:rsid w:val="008301ED"/>
    <w:rsid w:val="00830B48"/>
    <w:rsid w:val="008310BD"/>
    <w:rsid w:val="00831561"/>
    <w:rsid w:val="00831564"/>
    <w:rsid w:val="0083190A"/>
    <w:rsid w:val="00831A00"/>
    <w:rsid w:val="00832ED4"/>
    <w:rsid w:val="00833081"/>
    <w:rsid w:val="00833212"/>
    <w:rsid w:val="00833498"/>
    <w:rsid w:val="008338B9"/>
    <w:rsid w:val="008341AA"/>
    <w:rsid w:val="008344FF"/>
    <w:rsid w:val="0083473F"/>
    <w:rsid w:val="00834EB3"/>
    <w:rsid w:val="00835040"/>
    <w:rsid w:val="00835744"/>
    <w:rsid w:val="00835AA0"/>
    <w:rsid w:val="00835D0E"/>
    <w:rsid w:val="0083622A"/>
    <w:rsid w:val="0083714F"/>
    <w:rsid w:val="00837344"/>
    <w:rsid w:val="0083748D"/>
    <w:rsid w:val="0083768C"/>
    <w:rsid w:val="008377D1"/>
    <w:rsid w:val="008414D2"/>
    <w:rsid w:val="00841588"/>
    <w:rsid w:val="0084167E"/>
    <w:rsid w:val="00841788"/>
    <w:rsid w:val="008419B7"/>
    <w:rsid w:val="00841AFA"/>
    <w:rsid w:val="008426F2"/>
    <w:rsid w:val="00842700"/>
    <w:rsid w:val="00842AB2"/>
    <w:rsid w:val="00843522"/>
    <w:rsid w:val="0084364A"/>
    <w:rsid w:val="008437A6"/>
    <w:rsid w:val="00843DE4"/>
    <w:rsid w:val="00844817"/>
    <w:rsid w:val="008456D3"/>
    <w:rsid w:val="008457A7"/>
    <w:rsid w:val="008462E5"/>
    <w:rsid w:val="008463D0"/>
    <w:rsid w:val="00846688"/>
    <w:rsid w:val="008466CA"/>
    <w:rsid w:val="008466EE"/>
    <w:rsid w:val="00846984"/>
    <w:rsid w:val="00846AC9"/>
    <w:rsid w:val="00846FB6"/>
    <w:rsid w:val="00847CBF"/>
    <w:rsid w:val="008501DF"/>
    <w:rsid w:val="00851053"/>
    <w:rsid w:val="00851C46"/>
    <w:rsid w:val="00851F23"/>
    <w:rsid w:val="00852880"/>
    <w:rsid w:val="008529A2"/>
    <w:rsid w:val="00852EA4"/>
    <w:rsid w:val="00853050"/>
    <w:rsid w:val="00853284"/>
    <w:rsid w:val="00853CCB"/>
    <w:rsid w:val="00854094"/>
    <w:rsid w:val="0085458B"/>
    <w:rsid w:val="00854862"/>
    <w:rsid w:val="008548B4"/>
    <w:rsid w:val="00854D77"/>
    <w:rsid w:val="00856CF3"/>
    <w:rsid w:val="00857CCE"/>
    <w:rsid w:val="00857E08"/>
    <w:rsid w:val="00857F5D"/>
    <w:rsid w:val="008602FB"/>
    <w:rsid w:val="008604B8"/>
    <w:rsid w:val="00860781"/>
    <w:rsid w:val="00860B97"/>
    <w:rsid w:val="00860C79"/>
    <w:rsid w:val="00860C8E"/>
    <w:rsid w:val="008618F4"/>
    <w:rsid w:val="008619DB"/>
    <w:rsid w:val="00862BB3"/>
    <w:rsid w:val="00862E69"/>
    <w:rsid w:val="00863078"/>
    <w:rsid w:val="0086380A"/>
    <w:rsid w:val="00863951"/>
    <w:rsid w:val="00863F8C"/>
    <w:rsid w:val="00864137"/>
    <w:rsid w:val="0086486A"/>
    <w:rsid w:val="0086545B"/>
    <w:rsid w:val="00865990"/>
    <w:rsid w:val="00865B3C"/>
    <w:rsid w:val="00865DE1"/>
    <w:rsid w:val="00865FE5"/>
    <w:rsid w:val="0086679D"/>
    <w:rsid w:val="00866CD8"/>
    <w:rsid w:val="0086784D"/>
    <w:rsid w:val="00867AF6"/>
    <w:rsid w:val="0087030A"/>
    <w:rsid w:val="008705B1"/>
    <w:rsid w:val="008707BE"/>
    <w:rsid w:val="008709DA"/>
    <w:rsid w:val="00870AE1"/>
    <w:rsid w:val="00871EB8"/>
    <w:rsid w:val="008721C6"/>
    <w:rsid w:val="00872CDA"/>
    <w:rsid w:val="00872D2E"/>
    <w:rsid w:val="00872FC9"/>
    <w:rsid w:val="008731C2"/>
    <w:rsid w:val="008737EC"/>
    <w:rsid w:val="008739B2"/>
    <w:rsid w:val="00873F2D"/>
    <w:rsid w:val="00874215"/>
    <w:rsid w:val="0087424B"/>
    <w:rsid w:val="008742D9"/>
    <w:rsid w:val="00874CC8"/>
    <w:rsid w:val="00874E7C"/>
    <w:rsid w:val="00874F23"/>
    <w:rsid w:val="0087560F"/>
    <w:rsid w:val="00875BF5"/>
    <w:rsid w:val="00875D46"/>
    <w:rsid w:val="00875EEF"/>
    <w:rsid w:val="0087606F"/>
    <w:rsid w:val="00876AB9"/>
    <w:rsid w:val="00876C14"/>
    <w:rsid w:val="00876C64"/>
    <w:rsid w:val="0087708F"/>
    <w:rsid w:val="00877180"/>
    <w:rsid w:val="008773C6"/>
    <w:rsid w:val="008774B2"/>
    <w:rsid w:val="00880714"/>
    <w:rsid w:val="00881639"/>
    <w:rsid w:val="00881C2C"/>
    <w:rsid w:val="00881ED0"/>
    <w:rsid w:val="008825DE"/>
    <w:rsid w:val="0088282A"/>
    <w:rsid w:val="00882E68"/>
    <w:rsid w:val="00882FAC"/>
    <w:rsid w:val="00883099"/>
    <w:rsid w:val="008842A9"/>
    <w:rsid w:val="00884444"/>
    <w:rsid w:val="00884643"/>
    <w:rsid w:val="00885B97"/>
    <w:rsid w:val="00885F0C"/>
    <w:rsid w:val="00886286"/>
    <w:rsid w:val="008864E9"/>
    <w:rsid w:val="0088696D"/>
    <w:rsid w:val="00886CB6"/>
    <w:rsid w:val="00886F9C"/>
    <w:rsid w:val="00887A2C"/>
    <w:rsid w:val="00887FEE"/>
    <w:rsid w:val="008909DB"/>
    <w:rsid w:val="00890EC1"/>
    <w:rsid w:val="00891980"/>
    <w:rsid w:val="00892143"/>
    <w:rsid w:val="00892AFF"/>
    <w:rsid w:val="008931D4"/>
    <w:rsid w:val="008939A0"/>
    <w:rsid w:val="0089436A"/>
    <w:rsid w:val="00894702"/>
    <w:rsid w:val="00894AF4"/>
    <w:rsid w:val="00894C60"/>
    <w:rsid w:val="008963C4"/>
    <w:rsid w:val="00896EFD"/>
    <w:rsid w:val="008973BB"/>
    <w:rsid w:val="00897EB2"/>
    <w:rsid w:val="008A02E3"/>
    <w:rsid w:val="008A038C"/>
    <w:rsid w:val="008A0A0A"/>
    <w:rsid w:val="008A1196"/>
    <w:rsid w:val="008A1202"/>
    <w:rsid w:val="008A19AD"/>
    <w:rsid w:val="008A1BC8"/>
    <w:rsid w:val="008A1E13"/>
    <w:rsid w:val="008A21B3"/>
    <w:rsid w:val="008A21BF"/>
    <w:rsid w:val="008A21C8"/>
    <w:rsid w:val="008A2BC7"/>
    <w:rsid w:val="008A32DC"/>
    <w:rsid w:val="008A33EB"/>
    <w:rsid w:val="008A4138"/>
    <w:rsid w:val="008A418D"/>
    <w:rsid w:val="008A44AB"/>
    <w:rsid w:val="008A623F"/>
    <w:rsid w:val="008A637E"/>
    <w:rsid w:val="008A65DB"/>
    <w:rsid w:val="008A6742"/>
    <w:rsid w:val="008B1300"/>
    <w:rsid w:val="008B1532"/>
    <w:rsid w:val="008B175F"/>
    <w:rsid w:val="008B2392"/>
    <w:rsid w:val="008B23C1"/>
    <w:rsid w:val="008B2786"/>
    <w:rsid w:val="008B2D37"/>
    <w:rsid w:val="008B329E"/>
    <w:rsid w:val="008B3446"/>
    <w:rsid w:val="008B439C"/>
    <w:rsid w:val="008B4D8E"/>
    <w:rsid w:val="008B4F7D"/>
    <w:rsid w:val="008B562D"/>
    <w:rsid w:val="008B5988"/>
    <w:rsid w:val="008B5B09"/>
    <w:rsid w:val="008B5BE0"/>
    <w:rsid w:val="008B6C7D"/>
    <w:rsid w:val="008B6EFC"/>
    <w:rsid w:val="008B7346"/>
    <w:rsid w:val="008B73F4"/>
    <w:rsid w:val="008B78B6"/>
    <w:rsid w:val="008B7BA1"/>
    <w:rsid w:val="008C00A2"/>
    <w:rsid w:val="008C04CA"/>
    <w:rsid w:val="008C06E2"/>
    <w:rsid w:val="008C1236"/>
    <w:rsid w:val="008C1A3B"/>
    <w:rsid w:val="008C1C2F"/>
    <w:rsid w:val="008C2121"/>
    <w:rsid w:val="008C276E"/>
    <w:rsid w:val="008C2CE5"/>
    <w:rsid w:val="008C447D"/>
    <w:rsid w:val="008C449E"/>
    <w:rsid w:val="008C4F2C"/>
    <w:rsid w:val="008C4F8D"/>
    <w:rsid w:val="008C5398"/>
    <w:rsid w:val="008C53C5"/>
    <w:rsid w:val="008C559B"/>
    <w:rsid w:val="008C5889"/>
    <w:rsid w:val="008C5A14"/>
    <w:rsid w:val="008C5CF2"/>
    <w:rsid w:val="008C67E5"/>
    <w:rsid w:val="008C7716"/>
    <w:rsid w:val="008C7E3F"/>
    <w:rsid w:val="008D0FD1"/>
    <w:rsid w:val="008D29B4"/>
    <w:rsid w:val="008D37E8"/>
    <w:rsid w:val="008D38CA"/>
    <w:rsid w:val="008D39BD"/>
    <w:rsid w:val="008D4105"/>
    <w:rsid w:val="008D471D"/>
    <w:rsid w:val="008D4740"/>
    <w:rsid w:val="008D5196"/>
    <w:rsid w:val="008D5730"/>
    <w:rsid w:val="008D5B68"/>
    <w:rsid w:val="008D5E66"/>
    <w:rsid w:val="008D72CC"/>
    <w:rsid w:val="008D7669"/>
    <w:rsid w:val="008D790C"/>
    <w:rsid w:val="008E0104"/>
    <w:rsid w:val="008E0748"/>
    <w:rsid w:val="008E11FB"/>
    <w:rsid w:val="008E14BA"/>
    <w:rsid w:val="008E179B"/>
    <w:rsid w:val="008E1D61"/>
    <w:rsid w:val="008E2658"/>
    <w:rsid w:val="008E2867"/>
    <w:rsid w:val="008E2950"/>
    <w:rsid w:val="008E33C8"/>
    <w:rsid w:val="008E348C"/>
    <w:rsid w:val="008E3752"/>
    <w:rsid w:val="008E499C"/>
    <w:rsid w:val="008E4F4E"/>
    <w:rsid w:val="008E5005"/>
    <w:rsid w:val="008E54A7"/>
    <w:rsid w:val="008E57E9"/>
    <w:rsid w:val="008E5A05"/>
    <w:rsid w:val="008E5CFD"/>
    <w:rsid w:val="008E6428"/>
    <w:rsid w:val="008E7E47"/>
    <w:rsid w:val="008E7FA7"/>
    <w:rsid w:val="008F038B"/>
    <w:rsid w:val="008F0D99"/>
    <w:rsid w:val="008F0F89"/>
    <w:rsid w:val="008F0FEF"/>
    <w:rsid w:val="008F1477"/>
    <w:rsid w:val="008F1739"/>
    <w:rsid w:val="008F18CC"/>
    <w:rsid w:val="008F1961"/>
    <w:rsid w:val="008F262A"/>
    <w:rsid w:val="008F2DCE"/>
    <w:rsid w:val="008F3092"/>
    <w:rsid w:val="008F3E81"/>
    <w:rsid w:val="008F4206"/>
    <w:rsid w:val="008F5308"/>
    <w:rsid w:val="008F684B"/>
    <w:rsid w:val="008F692D"/>
    <w:rsid w:val="008F6DEC"/>
    <w:rsid w:val="008F7745"/>
    <w:rsid w:val="008F7787"/>
    <w:rsid w:val="008F78BD"/>
    <w:rsid w:val="009018CB"/>
    <w:rsid w:val="009019AD"/>
    <w:rsid w:val="00901BCE"/>
    <w:rsid w:val="00901CBF"/>
    <w:rsid w:val="00902A90"/>
    <w:rsid w:val="009036FF"/>
    <w:rsid w:val="00903914"/>
    <w:rsid w:val="0090462F"/>
    <w:rsid w:val="009051B1"/>
    <w:rsid w:val="00905A12"/>
    <w:rsid w:val="00905E59"/>
    <w:rsid w:val="00906D1E"/>
    <w:rsid w:val="009072DE"/>
    <w:rsid w:val="00907A30"/>
    <w:rsid w:val="00907AA1"/>
    <w:rsid w:val="00910989"/>
    <w:rsid w:val="00910A7F"/>
    <w:rsid w:val="009115CB"/>
    <w:rsid w:val="009117B7"/>
    <w:rsid w:val="00911EDD"/>
    <w:rsid w:val="0091228F"/>
    <w:rsid w:val="0091261F"/>
    <w:rsid w:val="009126B3"/>
    <w:rsid w:val="00912A40"/>
    <w:rsid w:val="00912CF1"/>
    <w:rsid w:val="00912D0A"/>
    <w:rsid w:val="00912E56"/>
    <w:rsid w:val="0091348E"/>
    <w:rsid w:val="0091383D"/>
    <w:rsid w:val="00913B6E"/>
    <w:rsid w:val="009140CD"/>
    <w:rsid w:val="00914A15"/>
    <w:rsid w:val="00914CBA"/>
    <w:rsid w:val="00914D0B"/>
    <w:rsid w:val="00915176"/>
    <w:rsid w:val="0091528C"/>
    <w:rsid w:val="009173CD"/>
    <w:rsid w:val="00917679"/>
    <w:rsid w:val="00917D71"/>
    <w:rsid w:val="00920001"/>
    <w:rsid w:val="00920DC2"/>
    <w:rsid w:val="00920E33"/>
    <w:rsid w:val="009211CA"/>
    <w:rsid w:val="009221C9"/>
    <w:rsid w:val="00922680"/>
    <w:rsid w:val="00922945"/>
    <w:rsid w:val="00922FE5"/>
    <w:rsid w:val="009231C5"/>
    <w:rsid w:val="009232BD"/>
    <w:rsid w:val="0092341D"/>
    <w:rsid w:val="00924392"/>
    <w:rsid w:val="009247CE"/>
    <w:rsid w:val="0092492E"/>
    <w:rsid w:val="00924C25"/>
    <w:rsid w:val="00925217"/>
    <w:rsid w:val="009256EA"/>
    <w:rsid w:val="00925F2F"/>
    <w:rsid w:val="00926703"/>
    <w:rsid w:val="00926F26"/>
    <w:rsid w:val="00927549"/>
    <w:rsid w:val="0092764D"/>
    <w:rsid w:val="00927758"/>
    <w:rsid w:val="00927901"/>
    <w:rsid w:val="00927985"/>
    <w:rsid w:val="00927BF1"/>
    <w:rsid w:val="00927CBD"/>
    <w:rsid w:val="009300C6"/>
    <w:rsid w:val="00930286"/>
    <w:rsid w:val="00930D26"/>
    <w:rsid w:val="00930EBC"/>
    <w:rsid w:val="00931D64"/>
    <w:rsid w:val="0093205B"/>
    <w:rsid w:val="009320EE"/>
    <w:rsid w:val="009325B6"/>
    <w:rsid w:val="009325BA"/>
    <w:rsid w:val="00932814"/>
    <w:rsid w:val="00932842"/>
    <w:rsid w:val="0093346C"/>
    <w:rsid w:val="00934540"/>
    <w:rsid w:val="00934757"/>
    <w:rsid w:val="009347E0"/>
    <w:rsid w:val="00934BD1"/>
    <w:rsid w:val="00934E4C"/>
    <w:rsid w:val="00934FA4"/>
    <w:rsid w:val="00935D0C"/>
    <w:rsid w:val="00935DA7"/>
    <w:rsid w:val="00936687"/>
    <w:rsid w:val="009369E4"/>
    <w:rsid w:val="00936DBC"/>
    <w:rsid w:val="00937085"/>
    <w:rsid w:val="00937213"/>
    <w:rsid w:val="00937434"/>
    <w:rsid w:val="00937AB4"/>
    <w:rsid w:val="00937BF2"/>
    <w:rsid w:val="00940F3C"/>
    <w:rsid w:val="0094116A"/>
    <w:rsid w:val="0094137C"/>
    <w:rsid w:val="009419E3"/>
    <w:rsid w:val="00941C57"/>
    <w:rsid w:val="00942555"/>
    <w:rsid w:val="00942727"/>
    <w:rsid w:val="00942831"/>
    <w:rsid w:val="00942A9F"/>
    <w:rsid w:val="00942C3E"/>
    <w:rsid w:val="00942D2D"/>
    <w:rsid w:val="00943602"/>
    <w:rsid w:val="0094363E"/>
    <w:rsid w:val="00943B6C"/>
    <w:rsid w:val="00943CDE"/>
    <w:rsid w:val="00944FD5"/>
    <w:rsid w:val="009455CD"/>
    <w:rsid w:val="00945618"/>
    <w:rsid w:val="00945C1B"/>
    <w:rsid w:val="0094606D"/>
    <w:rsid w:val="0094638C"/>
    <w:rsid w:val="00946845"/>
    <w:rsid w:val="00946B13"/>
    <w:rsid w:val="00946D98"/>
    <w:rsid w:val="00947322"/>
    <w:rsid w:val="009473C5"/>
    <w:rsid w:val="009500FE"/>
    <w:rsid w:val="009504F1"/>
    <w:rsid w:val="00950B26"/>
    <w:rsid w:val="00951DF7"/>
    <w:rsid w:val="00951EE3"/>
    <w:rsid w:val="00952612"/>
    <w:rsid w:val="00953003"/>
    <w:rsid w:val="009534E1"/>
    <w:rsid w:val="0095357E"/>
    <w:rsid w:val="0095389D"/>
    <w:rsid w:val="00953B2C"/>
    <w:rsid w:val="00953F7E"/>
    <w:rsid w:val="00954154"/>
    <w:rsid w:val="009541E6"/>
    <w:rsid w:val="00954873"/>
    <w:rsid w:val="0095498C"/>
    <w:rsid w:val="009549FB"/>
    <w:rsid w:val="00954E92"/>
    <w:rsid w:val="00955731"/>
    <w:rsid w:val="00955D63"/>
    <w:rsid w:val="00956D25"/>
    <w:rsid w:val="00957131"/>
    <w:rsid w:val="009577C6"/>
    <w:rsid w:val="009577F2"/>
    <w:rsid w:val="0095784F"/>
    <w:rsid w:val="00957AED"/>
    <w:rsid w:val="00957BF1"/>
    <w:rsid w:val="00957EB5"/>
    <w:rsid w:val="00960D45"/>
    <w:rsid w:val="00961090"/>
    <w:rsid w:val="00961A5E"/>
    <w:rsid w:val="00961E88"/>
    <w:rsid w:val="0096206E"/>
    <w:rsid w:val="00962097"/>
    <w:rsid w:val="009621BD"/>
    <w:rsid w:val="009623BF"/>
    <w:rsid w:val="0096292C"/>
    <w:rsid w:val="00962D99"/>
    <w:rsid w:val="00962F53"/>
    <w:rsid w:val="00963209"/>
    <w:rsid w:val="009633B9"/>
    <w:rsid w:val="009633D1"/>
    <w:rsid w:val="009637DD"/>
    <w:rsid w:val="00964987"/>
    <w:rsid w:val="00964DC2"/>
    <w:rsid w:val="009658C0"/>
    <w:rsid w:val="009658F7"/>
    <w:rsid w:val="00965C13"/>
    <w:rsid w:val="00965E7E"/>
    <w:rsid w:val="00966475"/>
    <w:rsid w:val="009666A5"/>
    <w:rsid w:val="009666C4"/>
    <w:rsid w:val="00966A56"/>
    <w:rsid w:val="00966BBC"/>
    <w:rsid w:val="00966E58"/>
    <w:rsid w:val="00967A40"/>
    <w:rsid w:val="009709D7"/>
    <w:rsid w:val="00970B73"/>
    <w:rsid w:val="00971130"/>
    <w:rsid w:val="00971B2E"/>
    <w:rsid w:val="00972649"/>
    <w:rsid w:val="00973584"/>
    <w:rsid w:val="00973765"/>
    <w:rsid w:val="00973DFA"/>
    <w:rsid w:val="00973F27"/>
    <w:rsid w:val="00973F9E"/>
    <w:rsid w:val="009746D9"/>
    <w:rsid w:val="00974765"/>
    <w:rsid w:val="0097544F"/>
    <w:rsid w:val="0097583D"/>
    <w:rsid w:val="00975AB1"/>
    <w:rsid w:val="00975D54"/>
    <w:rsid w:val="00975F69"/>
    <w:rsid w:val="009761F5"/>
    <w:rsid w:val="00976577"/>
    <w:rsid w:val="00976775"/>
    <w:rsid w:val="00976838"/>
    <w:rsid w:val="00976B88"/>
    <w:rsid w:val="00976CE7"/>
    <w:rsid w:val="009772CD"/>
    <w:rsid w:val="009777D6"/>
    <w:rsid w:val="00977847"/>
    <w:rsid w:val="00977970"/>
    <w:rsid w:val="00977B42"/>
    <w:rsid w:val="009806FB"/>
    <w:rsid w:val="00980D40"/>
    <w:rsid w:val="009813E6"/>
    <w:rsid w:val="009814C1"/>
    <w:rsid w:val="00981A30"/>
    <w:rsid w:val="00981C95"/>
    <w:rsid w:val="00981FA4"/>
    <w:rsid w:val="00982450"/>
    <w:rsid w:val="00982514"/>
    <w:rsid w:val="00982870"/>
    <w:rsid w:val="00984139"/>
    <w:rsid w:val="009848E9"/>
    <w:rsid w:val="009848EA"/>
    <w:rsid w:val="00984F2E"/>
    <w:rsid w:val="00984FA8"/>
    <w:rsid w:val="00985B02"/>
    <w:rsid w:val="00985D06"/>
    <w:rsid w:val="00987294"/>
    <w:rsid w:val="00987E0C"/>
    <w:rsid w:val="009900E4"/>
    <w:rsid w:val="0099011D"/>
    <w:rsid w:val="00990925"/>
    <w:rsid w:val="00990D1A"/>
    <w:rsid w:val="00991F88"/>
    <w:rsid w:val="0099215E"/>
    <w:rsid w:val="00993498"/>
    <w:rsid w:val="0099368C"/>
    <w:rsid w:val="0099374F"/>
    <w:rsid w:val="00993871"/>
    <w:rsid w:val="0099400D"/>
    <w:rsid w:val="00994AB5"/>
    <w:rsid w:val="00995424"/>
    <w:rsid w:val="00995B6C"/>
    <w:rsid w:val="00995E60"/>
    <w:rsid w:val="00995EA3"/>
    <w:rsid w:val="00995FE1"/>
    <w:rsid w:val="00996FAB"/>
    <w:rsid w:val="00997695"/>
    <w:rsid w:val="00997AA5"/>
    <w:rsid w:val="00997AF1"/>
    <w:rsid w:val="00997CC2"/>
    <w:rsid w:val="009A0528"/>
    <w:rsid w:val="009A0871"/>
    <w:rsid w:val="009A0B90"/>
    <w:rsid w:val="009A18B4"/>
    <w:rsid w:val="009A1BDF"/>
    <w:rsid w:val="009A1C5E"/>
    <w:rsid w:val="009A2148"/>
    <w:rsid w:val="009A227A"/>
    <w:rsid w:val="009A2793"/>
    <w:rsid w:val="009A2841"/>
    <w:rsid w:val="009A2DEA"/>
    <w:rsid w:val="009A2F9E"/>
    <w:rsid w:val="009A370D"/>
    <w:rsid w:val="009A376C"/>
    <w:rsid w:val="009A417B"/>
    <w:rsid w:val="009A4524"/>
    <w:rsid w:val="009A5318"/>
    <w:rsid w:val="009A58C4"/>
    <w:rsid w:val="009A59D1"/>
    <w:rsid w:val="009A63C7"/>
    <w:rsid w:val="009A6453"/>
    <w:rsid w:val="009A647E"/>
    <w:rsid w:val="009A7E60"/>
    <w:rsid w:val="009B01C1"/>
    <w:rsid w:val="009B023F"/>
    <w:rsid w:val="009B0F85"/>
    <w:rsid w:val="009B1269"/>
    <w:rsid w:val="009B12A9"/>
    <w:rsid w:val="009B2140"/>
    <w:rsid w:val="009B2796"/>
    <w:rsid w:val="009B2B33"/>
    <w:rsid w:val="009B2C20"/>
    <w:rsid w:val="009B2D01"/>
    <w:rsid w:val="009B2E47"/>
    <w:rsid w:val="009B2FC3"/>
    <w:rsid w:val="009B3092"/>
    <w:rsid w:val="009B339B"/>
    <w:rsid w:val="009B37C5"/>
    <w:rsid w:val="009B3CD1"/>
    <w:rsid w:val="009B3D95"/>
    <w:rsid w:val="009B3E2A"/>
    <w:rsid w:val="009B4598"/>
    <w:rsid w:val="009B5043"/>
    <w:rsid w:val="009B6462"/>
    <w:rsid w:val="009B6DFF"/>
    <w:rsid w:val="009B7B0D"/>
    <w:rsid w:val="009C02FA"/>
    <w:rsid w:val="009C06AA"/>
    <w:rsid w:val="009C119C"/>
    <w:rsid w:val="009C17F4"/>
    <w:rsid w:val="009C2680"/>
    <w:rsid w:val="009C26D9"/>
    <w:rsid w:val="009C26EB"/>
    <w:rsid w:val="009C38EB"/>
    <w:rsid w:val="009C47DE"/>
    <w:rsid w:val="009C47FE"/>
    <w:rsid w:val="009C4E9F"/>
    <w:rsid w:val="009C5ADA"/>
    <w:rsid w:val="009C61A1"/>
    <w:rsid w:val="009C6265"/>
    <w:rsid w:val="009C653E"/>
    <w:rsid w:val="009C6E26"/>
    <w:rsid w:val="009C6E54"/>
    <w:rsid w:val="009C7846"/>
    <w:rsid w:val="009C792B"/>
    <w:rsid w:val="009C7EA4"/>
    <w:rsid w:val="009C7F93"/>
    <w:rsid w:val="009D0011"/>
    <w:rsid w:val="009D05EE"/>
    <w:rsid w:val="009D0620"/>
    <w:rsid w:val="009D0786"/>
    <w:rsid w:val="009D0972"/>
    <w:rsid w:val="009D0993"/>
    <w:rsid w:val="009D0F7B"/>
    <w:rsid w:val="009D10C3"/>
    <w:rsid w:val="009D10EB"/>
    <w:rsid w:val="009D13D8"/>
    <w:rsid w:val="009D15A1"/>
    <w:rsid w:val="009D2006"/>
    <w:rsid w:val="009D22CA"/>
    <w:rsid w:val="009D2365"/>
    <w:rsid w:val="009D29A4"/>
    <w:rsid w:val="009D38DE"/>
    <w:rsid w:val="009D3CEF"/>
    <w:rsid w:val="009D47B5"/>
    <w:rsid w:val="009D5531"/>
    <w:rsid w:val="009D58C4"/>
    <w:rsid w:val="009D5CC2"/>
    <w:rsid w:val="009D6938"/>
    <w:rsid w:val="009D71E5"/>
    <w:rsid w:val="009D7471"/>
    <w:rsid w:val="009D758D"/>
    <w:rsid w:val="009D7995"/>
    <w:rsid w:val="009E0BB6"/>
    <w:rsid w:val="009E0D0E"/>
    <w:rsid w:val="009E1130"/>
    <w:rsid w:val="009E133F"/>
    <w:rsid w:val="009E18BA"/>
    <w:rsid w:val="009E1A51"/>
    <w:rsid w:val="009E2AAB"/>
    <w:rsid w:val="009E2DF8"/>
    <w:rsid w:val="009E2EF2"/>
    <w:rsid w:val="009E3A65"/>
    <w:rsid w:val="009E3E69"/>
    <w:rsid w:val="009E4286"/>
    <w:rsid w:val="009E4663"/>
    <w:rsid w:val="009E48AD"/>
    <w:rsid w:val="009E4971"/>
    <w:rsid w:val="009E4DD3"/>
    <w:rsid w:val="009E4E0D"/>
    <w:rsid w:val="009E540F"/>
    <w:rsid w:val="009E5C58"/>
    <w:rsid w:val="009E6A8A"/>
    <w:rsid w:val="009E7768"/>
    <w:rsid w:val="009F06A7"/>
    <w:rsid w:val="009F07BC"/>
    <w:rsid w:val="009F091C"/>
    <w:rsid w:val="009F1D30"/>
    <w:rsid w:val="009F1E10"/>
    <w:rsid w:val="009F214F"/>
    <w:rsid w:val="009F2FD3"/>
    <w:rsid w:val="009F3049"/>
    <w:rsid w:val="009F3B6F"/>
    <w:rsid w:val="009F3DE2"/>
    <w:rsid w:val="009F3EDC"/>
    <w:rsid w:val="009F441F"/>
    <w:rsid w:val="009F523F"/>
    <w:rsid w:val="009F5AB0"/>
    <w:rsid w:val="009F5B0E"/>
    <w:rsid w:val="009F6A19"/>
    <w:rsid w:val="009F7B07"/>
    <w:rsid w:val="009F7E40"/>
    <w:rsid w:val="00A00BD2"/>
    <w:rsid w:val="00A015EA"/>
    <w:rsid w:val="00A01A83"/>
    <w:rsid w:val="00A02234"/>
    <w:rsid w:val="00A025DA"/>
    <w:rsid w:val="00A032F8"/>
    <w:rsid w:val="00A035A4"/>
    <w:rsid w:val="00A03856"/>
    <w:rsid w:val="00A03EF3"/>
    <w:rsid w:val="00A0416F"/>
    <w:rsid w:val="00A048B7"/>
    <w:rsid w:val="00A048BA"/>
    <w:rsid w:val="00A04E44"/>
    <w:rsid w:val="00A04F66"/>
    <w:rsid w:val="00A050B3"/>
    <w:rsid w:val="00A054DE"/>
    <w:rsid w:val="00A06281"/>
    <w:rsid w:val="00A066D7"/>
    <w:rsid w:val="00A076D7"/>
    <w:rsid w:val="00A07DB6"/>
    <w:rsid w:val="00A10C6B"/>
    <w:rsid w:val="00A1116B"/>
    <w:rsid w:val="00A11972"/>
    <w:rsid w:val="00A11B64"/>
    <w:rsid w:val="00A11DC7"/>
    <w:rsid w:val="00A11E41"/>
    <w:rsid w:val="00A11E73"/>
    <w:rsid w:val="00A12987"/>
    <w:rsid w:val="00A130C3"/>
    <w:rsid w:val="00A13356"/>
    <w:rsid w:val="00A13379"/>
    <w:rsid w:val="00A13553"/>
    <w:rsid w:val="00A13A99"/>
    <w:rsid w:val="00A1464A"/>
    <w:rsid w:val="00A1645C"/>
    <w:rsid w:val="00A1689E"/>
    <w:rsid w:val="00A16C61"/>
    <w:rsid w:val="00A17082"/>
    <w:rsid w:val="00A17502"/>
    <w:rsid w:val="00A1787C"/>
    <w:rsid w:val="00A20A31"/>
    <w:rsid w:val="00A2197A"/>
    <w:rsid w:val="00A219C2"/>
    <w:rsid w:val="00A21BD4"/>
    <w:rsid w:val="00A23075"/>
    <w:rsid w:val="00A2391B"/>
    <w:rsid w:val="00A23DF9"/>
    <w:rsid w:val="00A23EC6"/>
    <w:rsid w:val="00A23F26"/>
    <w:rsid w:val="00A2493C"/>
    <w:rsid w:val="00A24E27"/>
    <w:rsid w:val="00A2515B"/>
    <w:rsid w:val="00A25C2E"/>
    <w:rsid w:val="00A25FA6"/>
    <w:rsid w:val="00A25FE3"/>
    <w:rsid w:val="00A26AD6"/>
    <w:rsid w:val="00A26EC0"/>
    <w:rsid w:val="00A271CA"/>
    <w:rsid w:val="00A27EC5"/>
    <w:rsid w:val="00A27F64"/>
    <w:rsid w:val="00A27F89"/>
    <w:rsid w:val="00A307CF"/>
    <w:rsid w:val="00A313B8"/>
    <w:rsid w:val="00A313D0"/>
    <w:rsid w:val="00A31437"/>
    <w:rsid w:val="00A31BBA"/>
    <w:rsid w:val="00A3259A"/>
    <w:rsid w:val="00A329E1"/>
    <w:rsid w:val="00A32AD2"/>
    <w:rsid w:val="00A32D6A"/>
    <w:rsid w:val="00A33C49"/>
    <w:rsid w:val="00A34588"/>
    <w:rsid w:val="00A345C9"/>
    <w:rsid w:val="00A347DC"/>
    <w:rsid w:val="00A34A97"/>
    <w:rsid w:val="00A34D93"/>
    <w:rsid w:val="00A359A1"/>
    <w:rsid w:val="00A3614D"/>
    <w:rsid w:val="00A369D8"/>
    <w:rsid w:val="00A4017F"/>
    <w:rsid w:val="00A40407"/>
    <w:rsid w:val="00A4040D"/>
    <w:rsid w:val="00A40511"/>
    <w:rsid w:val="00A40854"/>
    <w:rsid w:val="00A40D90"/>
    <w:rsid w:val="00A410C1"/>
    <w:rsid w:val="00A411A1"/>
    <w:rsid w:val="00A41372"/>
    <w:rsid w:val="00A41EFC"/>
    <w:rsid w:val="00A42640"/>
    <w:rsid w:val="00A42923"/>
    <w:rsid w:val="00A43780"/>
    <w:rsid w:val="00A43DA6"/>
    <w:rsid w:val="00A44F49"/>
    <w:rsid w:val="00A456F1"/>
    <w:rsid w:val="00A457F5"/>
    <w:rsid w:val="00A4592D"/>
    <w:rsid w:val="00A45A31"/>
    <w:rsid w:val="00A47168"/>
    <w:rsid w:val="00A47604"/>
    <w:rsid w:val="00A47862"/>
    <w:rsid w:val="00A47AC6"/>
    <w:rsid w:val="00A47B8B"/>
    <w:rsid w:val="00A50763"/>
    <w:rsid w:val="00A50C4B"/>
    <w:rsid w:val="00A5108C"/>
    <w:rsid w:val="00A512A0"/>
    <w:rsid w:val="00A515C5"/>
    <w:rsid w:val="00A519D8"/>
    <w:rsid w:val="00A51B81"/>
    <w:rsid w:val="00A52008"/>
    <w:rsid w:val="00A524FC"/>
    <w:rsid w:val="00A5300A"/>
    <w:rsid w:val="00A5346A"/>
    <w:rsid w:val="00A53901"/>
    <w:rsid w:val="00A543FD"/>
    <w:rsid w:val="00A54654"/>
    <w:rsid w:val="00A54B5A"/>
    <w:rsid w:val="00A54BDE"/>
    <w:rsid w:val="00A54DF2"/>
    <w:rsid w:val="00A552D1"/>
    <w:rsid w:val="00A55692"/>
    <w:rsid w:val="00A55FF2"/>
    <w:rsid w:val="00A560BD"/>
    <w:rsid w:val="00A564B7"/>
    <w:rsid w:val="00A56AA7"/>
    <w:rsid w:val="00A56E68"/>
    <w:rsid w:val="00A57D4A"/>
    <w:rsid w:val="00A602AE"/>
    <w:rsid w:val="00A6089E"/>
    <w:rsid w:val="00A62004"/>
    <w:rsid w:val="00A62753"/>
    <w:rsid w:val="00A6286B"/>
    <w:rsid w:val="00A629D5"/>
    <w:rsid w:val="00A62A2C"/>
    <w:rsid w:val="00A630D9"/>
    <w:rsid w:val="00A631D0"/>
    <w:rsid w:val="00A63980"/>
    <w:rsid w:val="00A63C2F"/>
    <w:rsid w:val="00A63DA1"/>
    <w:rsid w:val="00A64957"/>
    <w:rsid w:val="00A64DA1"/>
    <w:rsid w:val="00A64E96"/>
    <w:rsid w:val="00A64FB4"/>
    <w:rsid w:val="00A6501B"/>
    <w:rsid w:val="00A6511F"/>
    <w:rsid w:val="00A6534A"/>
    <w:rsid w:val="00A654D0"/>
    <w:rsid w:val="00A65ED2"/>
    <w:rsid w:val="00A66028"/>
    <w:rsid w:val="00A66353"/>
    <w:rsid w:val="00A664DA"/>
    <w:rsid w:val="00A66677"/>
    <w:rsid w:val="00A67550"/>
    <w:rsid w:val="00A675D2"/>
    <w:rsid w:val="00A67CE2"/>
    <w:rsid w:val="00A67F41"/>
    <w:rsid w:val="00A67F75"/>
    <w:rsid w:val="00A70847"/>
    <w:rsid w:val="00A70987"/>
    <w:rsid w:val="00A70A9F"/>
    <w:rsid w:val="00A70C3C"/>
    <w:rsid w:val="00A70D90"/>
    <w:rsid w:val="00A715E6"/>
    <w:rsid w:val="00A71EAA"/>
    <w:rsid w:val="00A72362"/>
    <w:rsid w:val="00A725C0"/>
    <w:rsid w:val="00A730ED"/>
    <w:rsid w:val="00A7342B"/>
    <w:rsid w:val="00A734E4"/>
    <w:rsid w:val="00A737A0"/>
    <w:rsid w:val="00A73CB7"/>
    <w:rsid w:val="00A740FD"/>
    <w:rsid w:val="00A74C9C"/>
    <w:rsid w:val="00A7523C"/>
    <w:rsid w:val="00A7551D"/>
    <w:rsid w:val="00A755D9"/>
    <w:rsid w:val="00A766C0"/>
    <w:rsid w:val="00A766E7"/>
    <w:rsid w:val="00A774EA"/>
    <w:rsid w:val="00A80424"/>
    <w:rsid w:val="00A807D3"/>
    <w:rsid w:val="00A80880"/>
    <w:rsid w:val="00A80C21"/>
    <w:rsid w:val="00A811DC"/>
    <w:rsid w:val="00A816EB"/>
    <w:rsid w:val="00A8180B"/>
    <w:rsid w:val="00A81C8A"/>
    <w:rsid w:val="00A820A2"/>
    <w:rsid w:val="00A82454"/>
    <w:rsid w:val="00A8275B"/>
    <w:rsid w:val="00A82DB8"/>
    <w:rsid w:val="00A82F19"/>
    <w:rsid w:val="00A83513"/>
    <w:rsid w:val="00A83624"/>
    <w:rsid w:val="00A83A45"/>
    <w:rsid w:val="00A84A88"/>
    <w:rsid w:val="00A85C4B"/>
    <w:rsid w:val="00A85DAC"/>
    <w:rsid w:val="00A8634D"/>
    <w:rsid w:val="00A87B4A"/>
    <w:rsid w:val="00A9023E"/>
    <w:rsid w:val="00A90942"/>
    <w:rsid w:val="00A91210"/>
    <w:rsid w:val="00A9220F"/>
    <w:rsid w:val="00A9299A"/>
    <w:rsid w:val="00A92B19"/>
    <w:rsid w:val="00A92B91"/>
    <w:rsid w:val="00A92C5F"/>
    <w:rsid w:val="00A92C66"/>
    <w:rsid w:val="00A92EB5"/>
    <w:rsid w:val="00A9301A"/>
    <w:rsid w:val="00A937ED"/>
    <w:rsid w:val="00A939A9"/>
    <w:rsid w:val="00A93D3C"/>
    <w:rsid w:val="00A944B6"/>
    <w:rsid w:val="00A944BE"/>
    <w:rsid w:val="00A946DA"/>
    <w:rsid w:val="00A950F9"/>
    <w:rsid w:val="00A950FB"/>
    <w:rsid w:val="00A95DDB"/>
    <w:rsid w:val="00A9617D"/>
    <w:rsid w:val="00A96674"/>
    <w:rsid w:val="00A96769"/>
    <w:rsid w:val="00A96979"/>
    <w:rsid w:val="00A973F0"/>
    <w:rsid w:val="00A97439"/>
    <w:rsid w:val="00A97AEC"/>
    <w:rsid w:val="00A97DE6"/>
    <w:rsid w:val="00AA0667"/>
    <w:rsid w:val="00AA1029"/>
    <w:rsid w:val="00AA1878"/>
    <w:rsid w:val="00AA1C2F"/>
    <w:rsid w:val="00AA2F84"/>
    <w:rsid w:val="00AA31B2"/>
    <w:rsid w:val="00AA3313"/>
    <w:rsid w:val="00AA377A"/>
    <w:rsid w:val="00AA3868"/>
    <w:rsid w:val="00AA38E9"/>
    <w:rsid w:val="00AA3972"/>
    <w:rsid w:val="00AA430C"/>
    <w:rsid w:val="00AA4D23"/>
    <w:rsid w:val="00AA4ED2"/>
    <w:rsid w:val="00AA5B68"/>
    <w:rsid w:val="00AA5B73"/>
    <w:rsid w:val="00AA5DD5"/>
    <w:rsid w:val="00AA6005"/>
    <w:rsid w:val="00AA675D"/>
    <w:rsid w:val="00AA6DC2"/>
    <w:rsid w:val="00AA6E04"/>
    <w:rsid w:val="00AA76BC"/>
    <w:rsid w:val="00AA77F4"/>
    <w:rsid w:val="00AA7D39"/>
    <w:rsid w:val="00AB0F02"/>
    <w:rsid w:val="00AB1241"/>
    <w:rsid w:val="00AB179E"/>
    <w:rsid w:val="00AB193A"/>
    <w:rsid w:val="00AB1B9A"/>
    <w:rsid w:val="00AB233E"/>
    <w:rsid w:val="00AB280F"/>
    <w:rsid w:val="00AB33A2"/>
    <w:rsid w:val="00AB37B1"/>
    <w:rsid w:val="00AB3DA5"/>
    <w:rsid w:val="00AB4386"/>
    <w:rsid w:val="00AB4853"/>
    <w:rsid w:val="00AB509D"/>
    <w:rsid w:val="00AB55C2"/>
    <w:rsid w:val="00AB594D"/>
    <w:rsid w:val="00AB5D80"/>
    <w:rsid w:val="00AB652C"/>
    <w:rsid w:val="00AB695A"/>
    <w:rsid w:val="00AB6AA1"/>
    <w:rsid w:val="00AB6CCC"/>
    <w:rsid w:val="00AB7237"/>
    <w:rsid w:val="00AB7414"/>
    <w:rsid w:val="00AB77A7"/>
    <w:rsid w:val="00AB7A7E"/>
    <w:rsid w:val="00AC0201"/>
    <w:rsid w:val="00AC05B5"/>
    <w:rsid w:val="00AC07FC"/>
    <w:rsid w:val="00AC0A0B"/>
    <w:rsid w:val="00AC0A69"/>
    <w:rsid w:val="00AC0BA8"/>
    <w:rsid w:val="00AC0CBE"/>
    <w:rsid w:val="00AC10F5"/>
    <w:rsid w:val="00AC1501"/>
    <w:rsid w:val="00AC1601"/>
    <w:rsid w:val="00AC190A"/>
    <w:rsid w:val="00AC1A1C"/>
    <w:rsid w:val="00AC1F8D"/>
    <w:rsid w:val="00AC2A88"/>
    <w:rsid w:val="00AC2DEF"/>
    <w:rsid w:val="00AC3602"/>
    <w:rsid w:val="00AC3907"/>
    <w:rsid w:val="00AC3A33"/>
    <w:rsid w:val="00AC3F71"/>
    <w:rsid w:val="00AC4AAA"/>
    <w:rsid w:val="00AC5A84"/>
    <w:rsid w:val="00AC6066"/>
    <w:rsid w:val="00AC60D2"/>
    <w:rsid w:val="00AC68C6"/>
    <w:rsid w:val="00AC6D25"/>
    <w:rsid w:val="00AC70D0"/>
    <w:rsid w:val="00AC74AF"/>
    <w:rsid w:val="00AC76E0"/>
    <w:rsid w:val="00AC77A7"/>
    <w:rsid w:val="00AC7C34"/>
    <w:rsid w:val="00AD0155"/>
    <w:rsid w:val="00AD0183"/>
    <w:rsid w:val="00AD115A"/>
    <w:rsid w:val="00AD13B8"/>
    <w:rsid w:val="00AD154C"/>
    <w:rsid w:val="00AD171A"/>
    <w:rsid w:val="00AD171E"/>
    <w:rsid w:val="00AD1D18"/>
    <w:rsid w:val="00AD1EFB"/>
    <w:rsid w:val="00AD206E"/>
    <w:rsid w:val="00AD212A"/>
    <w:rsid w:val="00AD26E3"/>
    <w:rsid w:val="00AD29C9"/>
    <w:rsid w:val="00AD36D0"/>
    <w:rsid w:val="00AD3B32"/>
    <w:rsid w:val="00AD4160"/>
    <w:rsid w:val="00AD4AF5"/>
    <w:rsid w:val="00AD4ECB"/>
    <w:rsid w:val="00AD5108"/>
    <w:rsid w:val="00AD5213"/>
    <w:rsid w:val="00AD547E"/>
    <w:rsid w:val="00AD55E2"/>
    <w:rsid w:val="00AD5BE9"/>
    <w:rsid w:val="00AD5E85"/>
    <w:rsid w:val="00AD6532"/>
    <w:rsid w:val="00AD653F"/>
    <w:rsid w:val="00AD65C6"/>
    <w:rsid w:val="00AD6922"/>
    <w:rsid w:val="00AD7098"/>
    <w:rsid w:val="00AE0C07"/>
    <w:rsid w:val="00AE142C"/>
    <w:rsid w:val="00AE1516"/>
    <w:rsid w:val="00AE15C3"/>
    <w:rsid w:val="00AE1FB1"/>
    <w:rsid w:val="00AE3023"/>
    <w:rsid w:val="00AE3BB4"/>
    <w:rsid w:val="00AE41A7"/>
    <w:rsid w:val="00AE4505"/>
    <w:rsid w:val="00AE48F6"/>
    <w:rsid w:val="00AE5276"/>
    <w:rsid w:val="00AE5DED"/>
    <w:rsid w:val="00AE6794"/>
    <w:rsid w:val="00AE6B39"/>
    <w:rsid w:val="00AE7002"/>
    <w:rsid w:val="00AE71DD"/>
    <w:rsid w:val="00AF0AA4"/>
    <w:rsid w:val="00AF0F2A"/>
    <w:rsid w:val="00AF10C7"/>
    <w:rsid w:val="00AF1173"/>
    <w:rsid w:val="00AF1340"/>
    <w:rsid w:val="00AF1395"/>
    <w:rsid w:val="00AF1677"/>
    <w:rsid w:val="00AF1D79"/>
    <w:rsid w:val="00AF24FC"/>
    <w:rsid w:val="00AF2A9B"/>
    <w:rsid w:val="00AF2D08"/>
    <w:rsid w:val="00AF31C7"/>
    <w:rsid w:val="00AF3315"/>
    <w:rsid w:val="00AF3B53"/>
    <w:rsid w:val="00AF413D"/>
    <w:rsid w:val="00AF4460"/>
    <w:rsid w:val="00AF483F"/>
    <w:rsid w:val="00AF4ABB"/>
    <w:rsid w:val="00AF4CA1"/>
    <w:rsid w:val="00AF4CDF"/>
    <w:rsid w:val="00AF4F00"/>
    <w:rsid w:val="00AF55F5"/>
    <w:rsid w:val="00AF5CEC"/>
    <w:rsid w:val="00AF5D5E"/>
    <w:rsid w:val="00AF6610"/>
    <w:rsid w:val="00AF66D0"/>
    <w:rsid w:val="00AF6727"/>
    <w:rsid w:val="00AF6A50"/>
    <w:rsid w:val="00AF6AFB"/>
    <w:rsid w:val="00AF6CAA"/>
    <w:rsid w:val="00AF6FB6"/>
    <w:rsid w:val="00AF7120"/>
    <w:rsid w:val="00AF722A"/>
    <w:rsid w:val="00B00014"/>
    <w:rsid w:val="00B004BA"/>
    <w:rsid w:val="00B01267"/>
    <w:rsid w:val="00B01616"/>
    <w:rsid w:val="00B01EEA"/>
    <w:rsid w:val="00B022D5"/>
    <w:rsid w:val="00B0313C"/>
    <w:rsid w:val="00B03CB7"/>
    <w:rsid w:val="00B043B1"/>
    <w:rsid w:val="00B04AF9"/>
    <w:rsid w:val="00B04EEA"/>
    <w:rsid w:val="00B05B06"/>
    <w:rsid w:val="00B06027"/>
    <w:rsid w:val="00B068B6"/>
    <w:rsid w:val="00B069AC"/>
    <w:rsid w:val="00B06C00"/>
    <w:rsid w:val="00B06E39"/>
    <w:rsid w:val="00B07069"/>
    <w:rsid w:val="00B07242"/>
    <w:rsid w:val="00B07992"/>
    <w:rsid w:val="00B07F80"/>
    <w:rsid w:val="00B100E5"/>
    <w:rsid w:val="00B1011D"/>
    <w:rsid w:val="00B104BB"/>
    <w:rsid w:val="00B105D0"/>
    <w:rsid w:val="00B10C84"/>
    <w:rsid w:val="00B10FAC"/>
    <w:rsid w:val="00B118A3"/>
    <w:rsid w:val="00B11BBB"/>
    <w:rsid w:val="00B13596"/>
    <w:rsid w:val="00B13D0A"/>
    <w:rsid w:val="00B13D76"/>
    <w:rsid w:val="00B13F51"/>
    <w:rsid w:val="00B1420C"/>
    <w:rsid w:val="00B144ED"/>
    <w:rsid w:val="00B1470E"/>
    <w:rsid w:val="00B1482C"/>
    <w:rsid w:val="00B150C1"/>
    <w:rsid w:val="00B15558"/>
    <w:rsid w:val="00B1574F"/>
    <w:rsid w:val="00B162E6"/>
    <w:rsid w:val="00B165A5"/>
    <w:rsid w:val="00B1684B"/>
    <w:rsid w:val="00B16DD6"/>
    <w:rsid w:val="00B16E27"/>
    <w:rsid w:val="00B17272"/>
    <w:rsid w:val="00B17BA6"/>
    <w:rsid w:val="00B20122"/>
    <w:rsid w:val="00B20443"/>
    <w:rsid w:val="00B2099B"/>
    <w:rsid w:val="00B22752"/>
    <w:rsid w:val="00B2295A"/>
    <w:rsid w:val="00B22CC3"/>
    <w:rsid w:val="00B23438"/>
    <w:rsid w:val="00B23ED6"/>
    <w:rsid w:val="00B241DA"/>
    <w:rsid w:val="00B24226"/>
    <w:rsid w:val="00B242FE"/>
    <w:rsid w:val="00B249EE"/>
    <w:rsid w:val="00B25EC8"/>
    <w:rsid w:val="00B25F49"/>
    <w:rsid w:val="00B26104"/>
    <w:rsid w:val="00B26D5F"/>
    <w:rsid w:val="00B27B98"/>
    <w:rsid w:val="00B302FA"/>
    <w:rsid w:val="00B30C63"/>
    <w:rsid w:val="00B316BB"/>
    <w:rsid w:val="00B324BB"/>
    <w:rsid w:val="00B32AB2"/>
    <w:rsid w:val="00B3373E"/>
    <w:rsid w:val="00B339B8"/>
    <w:rsid w:val="00B34106"/>
    <w:rsid w:val="00B34138"/>
    <w:rsid w:val="00B341C9"/>
    <w:rsid w:val="00B351CE"/>
    <w:rsid w:val="00B353F0"/>
    <w:rsid w:val="00B35589"/>
    <w:rsid w:val="00B35BBA"/>
    <w:rsid w:val="00B3634C"/>
    <w:rsid w:val="00B36463"/>
    <w:rsid w:val="00B3649C"/>
    <w:rsid w:val="00B37285"/>
    <w:rsid w:val="00B3746C"/>
    <w:rsid w:val="00B37DDA"/>
    <w:rsid w:val="00B40268"/>
    <w:rsid w:val="00B40461"/>
    <w:rsid w:val="00B409E1"/>
    <w:rsid w:val="00B40AAE"/>
    <w:rsid w:val="00B40CB2"/>
    <w:rsid w:val="00B4158B"/>
    <w:rsid w:val="00B425F4"/>
    <w:rsid w:val="00B425F9"/>
    <w:rsid w:val="00B4293F"/>
    <w:rsid w:val="00B42BB2"/>
    <w:rsid w:val="00B42D08"/>
    <w:rsid w:val="00B439A0"/>
    <w:rsid w:val="00B43C5C"/>
    <w:rsid w:val="00B442A4"/>
    <w:rsid w:val="00B4493E"/>
    <w:rsid w:val="00B44A2B"/>
    <w:rsid w:val="00B44A3C"/>
    <w:rsid w:val="00B451FE"/>
    <w:rsid w:val="00B4579A"/>
    <w:rsid w:val="00B45F26"/>
    <w:rsid w:val="00B460D7"/>
    <w:rsid w:val="00B46805"/>
    <w:rsid w:val="00B46AB5"/>
    <w:rsid w:val="00B46D0B"/>
    <w:rsid w:val="00B477F6"/>
    <w:rsid w:val="00B478EB"/>
    <w:rsid w:val="00B503D1"/>
    <w:rsid w:val="00B504FB"/>
    <w:rsid w:val="00B50D60"/>
    <w:rsid w:val="00B51032"/>
    <w:rsid w:val="00B515A0"/>
    <w:rsid w:val="00B51BF6"/>
    <w:rsid w:val="00B51D9E"/>
    <w:rsid w:val="00B522C4"/>
    <w:rsid w:val="00B52C67"/>
    <w:rsid w:val="00B52C78"/>
    <w:rsid w:val="00B53248"/>
    <w:rsid w:val="00B533D6"/>
    <w:rsid w:val="00B54A77"/>
    <w:rsid w:val="00B54AD6"/>
    <w:rsid w:val="00B55238"/>
    <w:rsid w:val="00B553DF"/>
    <w:rsid w:val="00B55884"/>
    <w:rsid w:val="00B55F89"/>
    <w:rsid w:val="00B5612C"/>
    <w:rsid w:val="00B56FF1"/>
    <w:rsid w:val="00B576A3"/>
    <w:rsid w:val="00B57F56"/>
    <w:rsid w:val="00B57F82"/>
    <w:rsid w:val="00B60150"/>
    <w:rsid w:val="00B6037B"/>
    <w:rsid w:val="00B6037F"/>
    <w:rsid w:val="00B605D4"/>
    <w:rsid w:val="00B609DE"/>
    <w:rsid w:val="00B60A32"/>
    <w:rsid w:val="00B61864"/>
    <w:rsid w:val="00B6189F"/>
    <w:rsid w:val="00B61E40"/>
    <w:rsid w:val="00B6253D"/>
    <w:rsid w:val="00B625BE"/>
    <w:rsid w:val="00B62A3D"/>
    <w:rsid w:val="00B62FEF"/>
    <w:rsid w:val="00B630DE"/>
    <w:rsid w:val="00B63B5B"/>
    <w:rsid w:val="00B63D08"/>
    <w:rsid w:val="00B63D43"/>
    <w:rsid w:val="00B6476B"/>
    <w:rsid w:val="00B64EFB"/>
    <w:rsid w:val="00B65642"/>
    <w:rsid w:val="00B6586C"/>
    <w:rsid w:val="00B66768"/>
    <w:rsid w:val="00B67391"/>
    <w:rsid w:val="00B6743B"/>
    <w:rsid w:val="00B7005F"/>
    <w:rsid w:val="00B7035B"/>
    <w:rsid w:val="00B709F6"/>
    <w:rsid w:val="00B7187A"/>
    <w:rsid w:val="00B71924"/>
    <w:rsid w:val="00B719E9"/>
    <w:rsid w:val="00B71C37"/>
    <w:rsid w:val="00B722FA"/>
    <w:rsid w:val="00B72D3A"/>
    <w:rsid w:val="00B7336C"/>
    <w:rsid w:val="00B734D5"/>
    <w:rsid w:val="00B73C77"/>
    <w:rsid w:val="00B74084"/>
    <w:rsid w:val="00B744B0"/>
    <w:rsid w:val="00B7569A"/>
    <w:rsid w:val="00B75FD9"/>
    <w:rsid w:val="00B773F2"/>
    <w:rsid w:val="00B775E3"/>
    <w:rsid w:val="00B777B4"/>
    <w:rsid w:val="00B77AA5"/>
    <w:rsid w:val="00B77D09"/>
    <w:rsid w:val="00B80337"/>
    <w:rsid w:val="00B8057D"/>
    <w:rsid w:val="00B80595"/>
    <w:rsid w:val="00B80C27"/>
    <w:rsid w:val="00B80E3A"/>
    <w:rsid w:val="00B80F7B"/>
    <w:rsid w:val="00B8129D"/>
    <w:rsid w:val="00B8246B"/>
    <w:rsid w:val="00B8251E"/>
    <w:rsid w:val="00B8272D"/>
    <w:rsid w:val="00B827A2"/>
    <w:rsid w:val="00B829A1"/>
    <w:rsid w:val="00B82BF5"/>
    <w:rsid w:val="00B82CC2"/>
    <w:rsid w:val="00B83212"/>
    <w:rsid w:val="00B83739"/>
    <w:rsid w:val="00B8461B"/>
    <w:rsid w:val="00B8537A"/>
    <w:rsid w:val="00B85921"/>
    <w:rsid w:val="00B85A34"/>
    <w:rsid w:val="00B861A5"/>
    <w:rsid w:val="00B8638D"/>
    <w:rsid w:val="00B87255"/>
    <w:rsid w:val="00B87348"/>
    <w:rsid w:val="00B87378"/>
    <w:rsid w:val="00B900A7"/>
    <w:rsid w:val="00B900AC"/>
    <w:rsid w:val="00B901C9"/>
    <w:rsid w:val="00B9048C"/>
    <w:rsid w:val="00B9078B"/>
    <w:rsid w:val="00B9087E"/>
    <w:rsid w:val="00B90BF9"/>
    <w:rsid w:val="00B90C12"/>
    <w:rsid w:val="00B90C6B"/>
    <w:rsid w:val="00B919AB"/>
    <w:rsid w:val="00B91B5B"/>
    <w:rsid w:val="00B91C97"/>
    <w:rsid w:val="00B92B0A"/>
    <w:rsid w:val="00B92EB8"/>
    <w:rsid w:val="00B92F2A"/>
    <w:rsid w:val="00B93481"/>
    <w:rsid w:val="00B93885"/>
    <w:rsid w:val="00B93D1E"/>
    <w:rsid w:val="00B93D3B"/>
    <w:rsid w:val="00B941B4"/>
    <w:rsid w:val="00B9442E"/>
    <w:rsid w:val="00B94434"/>
    <w:rsid w:val="00B94954"/>
    <w:rsid w:val="00B94BD2"/>
    <w:rsid w:val="00B954D9"/>
    <w:rsid w:val="00B9670A"/>
    <w:rsid w:val="00B96A97"/>
    <w:rsid w:val="00B96D40"/>
    <w:rsid w:val="00B9778A"/>
    <w:rsid w:val="00BA0516"/>
    <w:rsid w:val="00BA079C"/>
    <w:rsid w:val="00BA142B"/>
    <w:rsid w:val="00BA14F6"/>
    <w:rsid w:val="00BA17A0"/>
    <w:rsid w:val="00BA1898"/>
    <w:rsid w:val="00BA287D"/>
    <w:rsid w:val="00BA30A1"/>
    <w:rsid w:val="00BA4385"/>
    <w:rsid w:val="00BA5124"/>
    <w:rsid w:val="00BA53C5"/>
    <w:rsid w:val="00BA5515"/>
    <w:rsid w:val="00BA57C1"/>
    <w:rsid w:val="00BA6125"/>
    <w:rsid w:val="00BA61E6"/>
    <w:rsid w:val="00BA625E"/>
    <w:rsid w:val="00BA6684"/>
    <w:rsid w:val="00BA6E3B"/>
    <w:rsid w:val="00BA717D"/>
    <w:rsid w:val="00BA7263"/>
    <w:rsid w:val="00BA7C1D"/>
    <w:rsid w:val="00BA7DED"/>
    <w:rsid w:val="00BB00C1"/>
    <w:rsid w:val="00BB059C"/>
    <w:rsid w:val="00BB16AE"/>
    <w:rsid w:val="00BB178B"/>
    <w:rsid w:val="00BB1E30"/>
    <w:rsid w:val="00BB21AA"/>
    <w:rsid w:val="00BB2941"/>
    <w:rsid w:val="00BB38B5"/>
    <w:rsid w:val="00BB3CB1"/>
    <w:rsid w:val="00BB4192"/>
    <w:rsid w:val="00BB456F"/>
    <w:rsid w:val="00BB5445"/>
    <w:rsid w:val="00BB5DB3"/>
    <w:rsid w:val="00BB6A95"/>
    <w:rsid w:val="00BB6C86"/>
    <w:rsid w:val="00BB771B"/>
    <w:rsid w:val="00BB77CF"/>
    <w:rsid w:val="00BB7936"/>
    <w:rsid w:val="00BC0B12"/>
    <w:rsid w:val="00BC1D44"/>
    <w:rsid w:val="00BC221C"/>
    <w:rsid w:val="00BC2A88"/>
    <w:rsid w:val="00BC2B18"/>
    <w:rsid w:val="00BC2D18"/>
    <w:rsid w:val="00BC2D5C"/>
    <w:rsid w:val="00BC32EC"/>
    <w:rsid w:val="00BC34F3"/>
    <w:rsid w:val="00BC38B8"/>
    <w:rsid w:val="00BC3A72"/>
    <w:rsid w:val="00BC3C15"/>
    <w:rsid w:val="00BC428A"/>
    <w:rsid w:val="00BC442C"/>
    <w:rsid w:val="00BC4940"/>
    <w:rsid w:val="00BC551D"/>
    <w:rsid w:val="00BC58BC"/>
    <w:rsid w:val="00BC58D4"/>
    <w:rsid w:val="00BC71B3"/>
    <w:rsid w:val="00BC73CA"/>
    <w:rsid w:val="00BC7CC8"/>
    <w:rsid w:val="00BC7F47"/>
    <w:rsid w:val="00BD037A"/>
    <w:rsid w:val="00BD0995"/>
    <w:rsid w:val="00BD10B9"/>
    <w:rsid w:val="00BD10C9"/>
    <w:rsid w:val="00BD1974"/>
    <w:rsid w:val="00BD19BA"/>
    <w:rsid w:val="00BD1F10"/>
    <w:rsid w:val="00BD211D"/>
    <w:rsid w:val="00BD250C"/>
    <w:rsid w:val="00BD27AA"/>
    <w:rsid w:val="00BD2B90"/>
    <w:rsid w:val="00BD345C"/>
    <w:rsid w:val="00BD37AC"/>
    <w:rsid w:val="00BD3CC2"/>
    <w:rsid w:val="00BD3D09"/>
    <w:rsid w:val="00BD41E3"/>
    <w:rsid w:val="00BD4222"/>
    <w:rsid w:val="00BD49B1"/>
    <w:rsid w:val="00BD548A"/>
    <w:rsid w:val="00BD5738"/>
    <w:rsid w:val="00BD5A4C"/>
    <w:rsid w:val="00BD6945"/>
    <w:rsid w:val="00BD7979"/>
    <w:rsid w:val="00BD7B3C"/>
    <w:rsid w:val="00BD7FD1"/>
    <w:rsid w:val="00BE0439"/>
    <w:rsid w:val="00BE15E2"/>
    <w:rsid w:val="00BE1712"/>
    <w:rsid w:val="00BE2721"/>
    <w:rsid w:val="00BE27C6"/>
    <w:rsid w:val="00BE2859"/>
    <w:rsid w:val="00BE2CE6"/>
    <w:rsid w:val="00BE34AA"/>
    <w:rsid w:val="00BE4442"/>
    <w:rsid w:val="00BE4DFB"/>
    <w:rsid w:val="00BE59D7"/>
    <w:rsid w:val="00BE63EC"/>
    <w:rsid w:val="00BE6C0C"/>
    <w:rsid w:val="00BE6EC0"/>
    <w:rsid w:val="00BE6F6F"/>
    <w:rsid w:val="00BE6FE1"/>
    <w:rsid w:val="00BE760E"/>
    <w:rsid w:val="00BE76A0"/>
    <w:rsid w:val="00BE7A5B"/>
    <w:rsid w:val="00BE7A9E"/>
    <w:rsid w:val="00BE7AB6"/>
    <w:rsid w:val="00BE7B1A"/>
    <w:rsid w:val="00BF0190"/>
    <w:rsid w:val="00BF0EAD"/>
    <w:rsid w:val="00BF0FBF"/>
    <w:rsid w:val="00BF17F2"/>
    <w:rsid w:val="00BF22CA"/>
    <w:rsid w:val="00BF2762"/>
    <w:rsid w:val="00BF2867"/>
    <w:rsid w:val="00BF29C4"/>
    <w:rsid w:val="00BF3EE8"/>
    <w:rsid w:val="00BF47D4"/>
    <w:rsid w:val="00BF482C"/>
    <w:rsid w:val="00BF575B"/>
    <w:rsid w:val="00BF5862"/>
    <w:rsid w:val="00BF5C04"/>
    <w:rsid w:val="00BF5FD0"/>
    <w:rsid w:val="00BF7080"/>
    <w:rsid w:val="00C0022F"/>
    <w:rsid w:val="00C002DA"/>
    <w:rsid w:val="00C0033B"/>
    <w:rsid w:val="00C00438"/>
    <w:rsid w:val="00C0054E"/>
    <w:rsid w:val="00C01055"/>
    <w:rsid w:val="00C010C5"/>
    <w:rsid w:val="00C0124B"/>
    <w:rsid w:val="00C01763"/>
    <w:rsid w:val="00C01C47"/>
    <w:rsid w:val="00C01D54"/>
    <w:rsid w:val="00C01E5F"/>
    <w:rsid w:val="00C0240F"/>
    <w:rsid w:val="00C025F8"/>
    <w:rsid w:val="00C029ED"/>
    <w:rsid w:val="00C03201"/>
    <w:rsid w:val="00C034FF"/>
    <w:rsid w:val="00C03F39"/>
    <w:rsid w:val="00C0428F"/>
    <w:rsid w:val="00C04C4C"/>
    <w:rsid w:val="00C0530C"/>
    <w:rsid w:val="00C05437"/>
    <w:rsid w:val="00C05A6F"/>
    <w:rsid w:val="00C05EA2"/>
    <w:rsid w:val="00C061B5"/>
    <w:rsid w:val="00C062AF"/>
    <w:rsid w:val="00C0651E"/>
    <w:rsid w:val="00C0658F"/>
    <w:rsid w:val="00C06970"/>
    <w:rsid w:val="00C0715F"/>
    <w:rsid w:val="00C0719B"/>
    <w:rsid w:val="00C0736D"/>
    <w:rsid w:val="00C074B7"/>
    <w:rsid w:val="00C07A80"/>
    <w:rsid w:val="00C1006C"/>
    <w:rsid w:val="00C10649"/>
    <w:rsid w:val="00C1184F"/>
    <w:rsid w:val="00C11B9B"/>
    <w:rsid w:val="00C11C2F"/>
    <w:rsid w:val="00C1313F"/>
    <w:rsid w:val="00C140A7"/>
    <w:rsid w:val="00C140B4"/>
    <w:rsid w:val="00C14289"/>
    <w:rsid w:val="00C159E0"/>
    <w:rsid w:val="00C1601E"/>
    <w:rsid w:val="00C163C2"/>
    <w:rsid w:val="00C16AB5"/>
    <w:rsid w:val="00C171C2"/>
    <w:rsid w:val="00C17DB7"/>
    <w:rsid w:val="00C17ED1"/>
    <w:rsid w:val="00C20297"/>
    <w:rsid w:val="00C21433"/>
    <w:rsid w:val="00C21483"/>
    <w:rsid w:val="00C21A7D"/>
    <w:rsid w:val="00C21EFA"/>
    <w:rsid w:val="00C22131"/>
    <w:rsid w:val="00C2221D"/>
    <w:rsid w:val="00C2269C"/>
    <w:rsid w:val="00C22A08"/>
    <w:rsid w:val="00C22F1C"/>
    <w:rsid w:val="00C232A3"/>
    <w:rsid w:val="00C23A60"/>
    <w:rsid w:val="00C23AF0"/>
    <w:rsid w:val="00C24274"/>
    <w:rsid w:val="00C24A9D"/>
    <w:rsid w:val="00C24EF2"/>
    <w:rsid w:val="00C25640"/>
    <w:rsid w:val="00C26CFE"/>
    <w:rsid w:val="00C26FAE"/>
    <w:rsid w:val="00C2705F"/>
    <w:rsid w:val="00C2773A"/>
    <w:rsid w:val="00C27C6E"/>
    <w:rsid w:val="00C30A26"/>
    <w:rsid w:val="00C32157"/>
    <w:rsid w:val="00C32808"/>
    <w:rsid w:val="00C33059"/>
    <w:rsid w:val="00C3326D"/>
    <w:rsid w:val="00C332D9"/>
    <w:rsid w:val="00C33584"/>
    <w:rsid w:val="00C3376E"/>
    <w:rsid w:val="00C33957"/>
    <w:rsid w:val="00C3471F"/>
    <w:rsid w:val="00C358C9"/>
    <w:rsid w:val="00C35D0C"/>
    <w:rsid w:val="00C362E4"/>
    <w:rsid w:val="00C364E0"/>
    <w:rsid w:val="00C3699A"/>
    <w:rsid w:val="00C3708A"/>
    <w:rsid w:val="00C3766A"/>
    <w:rsid w:val="00C37B07"/>
    <w:rsid w:val="00C37B44"/>
    <w:rsid w:val="00C400BA"/>
    <w:rsid w:val="00C401F9"/>
    <w:rsid w:val="00C40AC1"/>
    <w:rsid w:val="00C40AFC"/>
    <w:rsid w:val="00C412D1"/>
    <w:rsid w:val="00C4161C"/>
    <w:rsid w:val="00C4181B"/>
    <w:rsid w:val="00C4192E"/>
    <w:rsid w:val="00C41ED9"/>
    <w:rsid w:val="00C41FED"/>
    <w:rsid w:val="00C424B2"/>
    <w:rsid w:val="00C42D33"/>
    <w:rsid w:val="00C431A3"/>
    <w:rsid w:val="00C433B4"/>
    <w:rsid w:val="00C43BF7"/>
    <w:rsid w:val="00C43FD2"/>
    <w:rsid w:val="00C44A0C"/>
    <w:rsid w:val="00C44AD8"/>
    <w:rsid w:val="00C44D09"/>
    <w:rsid w:val="00C45438"/>
    <w:rsid w:val="00C45B9F"/>
    <w:rsid w:val="00C45C12"/>
    <w:rsid w:val="00C45D4D"/>
    <w:rsid w:val="00C45DC3"/>
    <w:rsid w:val="00C45EA3"/>
    <w:rsid w:val="00C463C3"/>
    <w:rsid w:val="00C47815"/>
    <w:rsid w:val="00C50076"/>
    <w:rsid w:val="00C50362"/>
    <w:rsid w:val="00C50893"/>
    <w:rsid w:val="00C50932"/>
    <w:rsid w:val="00C5094C"/>
    <w:rsid w:val="00C51832"/>
    <w:rsid w:val="00C51A50"/>
    <w:rsid w:val="00C51AF3"/>
    <w:rsid w:val="00C52523"/>
    <w:rsid w:val="00C52695"/>
    <w:rsid w:val="00C52A98"/>
    <w:rsid w:val="00C52DE0"/>
    <w:rsid w:val="00C53450"/>
    <w:rsid w:val="00C53457"/>
    <w:rsid w:val="00C538A0"/>
    <w:rsid w:val="00C54198"/>
    <w:rsid w:val="00C5468B"/>
    <w:rsid w:val="00C5474E"/>
    <w:rsid w:val="00C54861"/>
    <w:rsid w:val="00C55306"/>
    <w:rsid w:val="00C565E6"/>
    <w:rsid w:val="00C57371"/>
    <w:rsid w:val="00C574FA"/>
    <w:rsid w:val="00C57ECB"/>
    <w:rsid w:val="00C57F19"/>
    <w:rsid w:val="00C602DD"/>
    <w:rsid w:val="00C61AC5"/>
    <w:rsid w:val="00C62BB2"/>
    <w:rsid w:val="00C62C19"/>
    <w:rsid w:val="00C630D0"/>
    <w:rsid w:val="00C633D7"/>
    <w:rsid w:val="00C63E35"/>
    <w:rsid w:val="00C65672"/>
    <w:rsid w:val="00C65D34"/>
    <w:rsid w:val="00C65E20"/>
    <w:rsid w:val="00C6657F"/>
    <w:rsid w:val="00C665E2"/>
    <w:rsid w:val="00C668F2"/>
    <w:rsid w:val="00C66CF3"/>
    <w:rsid w:val="00C66EDD"/>
    <w:rsid w:val="00C671F1"/>
    <w:rsid w:val="00C678C6"/>
    <w:rsid w:val="00C67966"/>
    <w:rsid w:val="00C67DFD"/>
    <w:rsid w:val="00C7063C"/>
    <w:rsid w:val="00C70A3C"/>
    <w:rsid w:val="00C70C2B"/>
    <w:rsid w:val="00C71210"/>
    <w:rsid w:val="00C7192A"/>
    <w:rsid w:val="00C71967"/>
    <w:rsid w:val="00C721E6"/>
    <w:rsid w:val="00C72431"/>
    <w:rsid w:val="00C7253C"/>
    <w:rsid w:val="00C72C73"/>
    <w:rsid w:val="00C73E74"/>
    <w:rsid w:val="00C73F3B"/>
    <w:rsid w:val="00C7408B"/>
    <w:rsid w:val="00C74FCC"/>
    <w:rsid w:val="00C75647"/>
    <w:rsid w:val="00C75682"/>
    <w:rsid w:val="00C75C3D"/>
    <w:rsid w:val="00C76CD2"/>
    <w:rsid w:val="00C76E92"/>
    <w:rsid w:val="00C777B2"/>
    <w:rsid w:val="00C77DAF"/>
    <w:rsid w:val="00C8015E"/>
    <w:rsid w:val="00C801D8"/>
    <w:rsid w:val="00C8039B"/>
    <w:rsid w:val="00C805AC"/>
    <w:rsid w:val="00C810EA"/>
    <w:rsid w:val="00C81592"/>
    <w:rsid w:val="00C818AF"/>
    <w:rsid w:val="00C81BA9"/>
    <w:rsid w:val="00C83E33"/>
    <w:rsid w:val="00C8438D"/>
    <w:rsid w:val="00C84878"/>
    <w:rsid w:val="00C84D54"/>
    <w:rsid w:val="00C86EE7"/>
    <w:rsid w:val="00C871B6"/>
    <w:rsid w:val="00C8777A"/>
    <w:rsid w:val="00C87BC9"/>
    <w:rsid w:val="00C87E14"/>
    <w:rsid w:val="00C87E3F"/>
    <w:rsid w:val="00C9033C"/>
    <w:rsid w:val="00C903EB"/>
    <w:rsid w:val="00C90441"/>
    <w:rsid w:val="00C905D6"/>
    <w:rsid w:val="00C90726"/>
    <w:rsid w:val="00C908F5"/>
    <w:rsid w:val="00C90B5D"/>
    <w:rsid w:val="00C91747"/>
    <w:rsid w:val="00C917C4"/>
    <w:rsid w:val="00C9186D"/>
    <w:rsid w:val="00C91BB5"/>
    <w:rsid w:val="00C92E98"/>
    <w:rsid w:val="00C93455"/>
    <w:rsid w:val="00C93A75"/>
    <w:rsid w:val="00C93D4F"/>
    <w:rsid w:val="00C93D86"/>
    <w:rsid w:val="00C940C3"/>
    <w:rsid w:val="00C943BE"/>
    <w:rsid w:val="00C94D07"/>
    <w:rsid w:val="00C95359"/>
    <w:rsid w:val="00C953A6"/>
    <w:rsid w:val="00C954B8"/>
    <w:rsid w:val="00C95693"/>
    <w:rsid w:val="00C95E5C"/>
    <w:rsid w:val="00C96947"/>
    <w:rsid w:val="00C96C07"/>
    <w:rsid w:val="00C973D2"/>
    <w:rsid w:val="00C977C6"/>
    <w:rsid w:val="00C97CBA"/>
    <w:rsid w:val="00CA0077"/>
    <w:rsid w:val="00CA0149"/>
    <w:rsid w:val="00CA0396"/>
    <w:rsid w:val="00CA07AD"/>
    <w:rsid w:val="00CA0C44"/>
    <w:rsid w:val="00CA12CA"/>
    <w:rsid w:val="00CA1499"/>
    <w:rsid w:val="00CA15D6"/>
    <w:rsid w:val="00CA1D66"/>
    <w:rsid w:val="00CA2071"/>
    <w:rsid w:val="00CA2397"/>
    <w:rsid w:val="00CA2401"/>
    <w:rsid w:val="00CA269B"/>
    <w:rsid w:val="00CA2848"/>
    <w:rsid w:val="00CA2C3A"/>
    <w:rsid w:val="00CA2C9A"/>
    <w:rsid w:val="00CA2F56"/>
    <w:rsid w:val="00CA3449"/>
    <w:rsid w:val="00CA4991"/>
    <w:rsid w:val="00CA49D5"/>
    <w:rsid w:val="00CA4DBC"/>
    <w:rsid w:val="00CA4FF1"/>
    <w:rsid w:val="00CA511C"/>
    <w:rsid w:val="00CA6460"/>
    <w:rsid w:val="00CA6B73"/>
    <w:rsid w:val="00CB0796"/>
    <w:rsid w:val="00CB116D"/>
    <w:rsid w:val="00CB149A"/>
    <w:rsid w:val="00CB28B5"/>
    <w:rsid w:val="00CB2AE0"/>
    <w:rsid w:val="00CB2C84"/>
    <w:rsid w:val="00CB3204"/>
    <w:rsid w:val="00CB350B"/>
    <w:rsid w:val="00CB494C"/>
    <w:rsid w:val="00CB4FA5"/>
    <w:rsid w:val="00CB558C"/>
    <w:rsid w:val="00CB5A94"/>
    <w:rsid w:val="00CB5F18"/>
    <w:rsid w:val="00CB62D3"/>
    <w:rsid w:val="00CB6469"/>
    <w:rsid w:val="00CB6602"/>
    <w:rsid w:val="00CB79CF"/>
    <w:rsid w:val="00CB7CCC"/>
    <w:rsid w:val="00CC016E"/>
    <w:rsid w:val="00CC0777"/>
    <w:rsid w:val="00CC0B93"/>
    <w:rsid w:val="00CC102D"/>
    <w:rsid w:val="00CC103A"/>
    <w:rsid w:val="00CC1F74"/>
    <w:rsid w:val="00CC2838"/>
    <w:rsid w:val="00CC2AC6"/>
    <w:rsid w:val="00CC31CA"/>
    <w:rsid w:val="00CC3C32"/>
    <w:rsid w:val="00CC3F8E"/>
    <w:rsid w:val="00CC44C1"/>
    <w:rsid w:val="00CC4607"/>
    <w:rsid w:val="00CC484E"/>
    <w:rsid w:val="00CC4878"/>
    <w:rsid w:val="00CC4A69"/>
    <w:rsid w:val="00CC6A80"/>
    <w:rsid w:val="00CC6B88"/>
    <w:rsid w:val="00CC6C6D"/>
    <w:rsid w:val="00CC6ECF"/>
    <w:rsid w:val="00CC7199"/>
    <w:rsid w:val="00CC778B"/>
    <w:rsid w:val="00CC79CC"/>
    <w:rsid w:val="00CD05AF"/>
    <w:rsid w:val="00CD0A1F"/>
    <w:rsid w:val="00CD0C08"/>
    <w:rsid w:val="00CD1439"/>
    <w:rsid w:val="00CD2AF4"/>
    <w:rsid w:val="00CD32DF"/>
    <w:rsid w:val="00CD3ACC"/>
    <w:rsid w:val="00CD3F98"/>
    <w:rsid w:val="00CD469C"/>
    <w:rsid w:val="00CD5A30"/>
    <w:rsid w:val="00CD63D1"/>
    <w:rsid w:val="00CD796D"/>
    <w:rsid w:val="00CE00FE"/>
    <w:rsid w:val="00CE0122"/>
    <w:rsid w:val="00CE0317"/>
    <w:rsid w:val="00CE1882"/>
    <w:rsid w:val="00CE1C07"/>
    <w:rsid w:val="00CE1E5C"/>
    <w:rsid w:val="00CE23E5"/>
    <w:rsid w:val="00CE256D"/>
    <w:rsid w:val="00CE4187"/>
    <w:rsid w:val="00CE4C06"/>
    <w:rsid w:val="00CE56B9"/>
    <w:rsid w:val="00CE579C"/>
    <w:rsid w:val="00CE585D"/>
    <w:rsid w:val="00CE5B2A"/>
    <w:rsid w:val="00CE5EF8"/>
    <w:rsid w:val="00CE63D0"/>
    <w:rsid w:val="00CE6538"/>
    <w:rsid w:val="00CE67A1"/>
    <w:rsid w:val="00CE6D3D"/>
    <w:rsid w:val="00CE6ED2"/>
    <w:rsid w:val="00CE7171"/>
    <w:rsid w:val="00CE7330"/>
    <w:rsid w:val="00CE7BB2"/>
    <w:rsid w:val="00CE7D28"/>
    <w:rsid w:val="00CE7E86"/>
    <w:rsid w:val="00CE7FA8"/>
    <w:rsid w:val="00CF02C3"/>
    <w:rsid w:val="00CF076E"/>
    <w:rsid w:val="00CF194C"/>
    <w:rsid w:val="00CF1C7E"/>
    <w:rsid w:val="00CF1CCF"/>
    <w:rsid w:val="00CF1F7E"/>
    <w:rsid w:val="00CF23B4"/>
    <w:rsid w:val="00CF248C"/>
    <w:rsid w:val="00CF2491"/>
    <w:rsid w:val="00CF24D9"/>
    <w:rsid w:val="00CF250A"/>
    <w:rsid w:val="00CF2514"/>
    <w:rsid w:val="00CF29FE"/>
    <w:rsid w:val="00CF301A"/>
    <w:rsid w:val="00CF38C5"/>
    <w:rsid w:val="00CF3E8F"/>
    <w:rsid w:val="00CF41A7"/>
    <w:rsid w:val="00CF41C9"/>
    <w:rsid w:val="00CF4874"/>
    <w:rsid w:val="00CF4E57"/>
    <w:rsid w:val="00CF5F71"/>
    <w:rsid w:val="00CF6A61"/>
    <w:rsid w:val="00CF6C4D"/>
    <w:rsid w:val="00D00017"/>
    <w:rsid w:val="00D01EBF"/>
    <w:rsid w:val="00D02039"/>
    <w:rsid w:val="00D02594"/>
    <w:rsid w:val="00D0273D"/>
    <w:rsid w:val="00D02812"/>
    <w:rsid w:val="00D02FAC"/>
    <w:rsid w:val="00D034B7"/>
    <w:rsid w:val="00D04A0C"/>
    <w:rsid w:val="00D04E3A"/>
    <w:rsid w:val="00D051EE"/>
    <w:rsid w:val="00D0536D"/>
    <w:rsid w:val="00D057F3"/>
    <w:rsid w:val="00D05922"/>
    <w:rsid w:val="00D0601E"/>
    <w:rsid w:val="00D060E0"/>
    <w:rsid w:val="00D062F6"/>
    <w:rsid w:val="00D07058"/>
    <w:rsid w:val="00D07384"/>
    <w:rsid w:val="00D078F7"/>
    <w:rsid w:val="00D07999"/>
    <w:rsid w:val="00D10064"/>
    <w:rsid w:val="00D10081"/>
    <w:rsid w:val="00D1025F"/>
    <w:rsid w:val="00D1154F"/>
    <w:rsid w:val="00D11B58"/>
    <w:rsid w:val="00D12569"/>
    <w:rsid w:val="00D12656"/>
    <w:rsid w:val="00D12C0A"/>
    <w:rsid w:val="00D12D78"/>
    <w:rsid w:val="00D12E27"/>
    <w:rsid w:val="00D131D6"/>
    <w:rsid w:val="00D13941"/>
    <w:rsid w:val="00D13DBC"/>
    <w:rsid w:val="00D1472A"/>
    <w:rsid w:val="00D155D6"/>
    <w:rsid w:val="00D1617B"/>
    <w:rsid w:val="00D169D3"/>
    <w:rsid w:val="00D17A09"/>
    <w:rsid w:val="00D2025D"/>
    <w:rsid w:val="00D2050A"/>
    <w:rsid w:val="00D20728"/>
    <w:rsid w:val="00D20854"/>
    <w:rsid w:val="00D2108B"/>
    <w:rsid w:val="00D2221F"/>
    <w:rsid w:val="00D224C3"/>
    <w:rsid w:val="00D22A31"/>
    <w:rsid w:val="00D232BE"/>
    <w:rsid w:val="00D23345"/>
    <w:rsid w:val="00D2350C"/>
    <w:rsid w:val="00D23940"/>
    <w:rsid w:val="00D23DFF"/>
    <w:rsid w:val="00D23E36"/>
    <w:rsid w:val="00D2412A"/>
    <w:rsid w:val="00D24995"/>
    <w:rsid w:val="00D24C85"/>
    <w:rsid w:val="00D25674"/>
    <w:rsid w:val="00D256C8"/>
    <w:rsid w:val="00D2571E"/>
    <w:rsid w:val="00D260C7"/>
    <w:rsid w:val="00D26EAD"/>
    <w:rsid w:val="00D27002"/>
    <w:rsid w:val="00D273BF"/>
    <w:rsid w:val="00D2761E"/>
    <w:rsid w:val="00D27AD8"/>
    <w:rsid w:val="00D30658"/>
    <w:rsid w:val="00D307EB"/>
    <w:rsid w:val="00D30A47"/>
    <w:rsid w:val="00D315E6"/>
    <w:rsid w:val="00D31DF6"/>
    <w:rsid w:val="00D321A5"/>
    <w:rsid w:val="00D321BA"/>
    <w:rsid w:val="00D32960"/>
    <w:rsid w:val="00D329F4"/>
    <w:rsid w:val="00D32ECF"/>
    <w:rsid w:val="00D330E4"/>
    <w:rsid w:val="00D33177"/>
    <w:rsid w:val="00D33249"/>
    <w:rsid w:val="00D3356A"/>
    <w:rsid w:val="00D337FA"/>
    <w:rsid w:val="00D34127"/>
    <w:rsid w:val="00D343B2"/>
    <w:rsid w:val="00D34AD7"/>
    <w:rsid w:val="00D34BFC"/>
    <w:rsid w:val="00D353C4"/>
    <w:rsid w:val="00D356B0"/>
    <w:rsid w:val="00D3624B"/>
    <w:rsid w:val="00D36671"/>
    <w:rsid w:val="00D370FD"/>
    <w:rsid w:val="00D373D5"/>
    <w:rsid w:val="00D37C1E"/>
    <w:rsid w:val="00D37EA6"/>
    <w:rsid w:val="00D413CB"/>
    <w:rsid w:val="00D413F5"/>
    <w:rsid w:val="00D424FF"/>
    <w:rsid w:val="00D43164"/>
    <w:rsid w:val="00D435DF"/>
    <w:rsid w:val="00D43A83"/>
    <w:rsid w:val="00D442F3"/>
    <w:rsid w:val="00D443CA"/>
    <w:rsid w:val="00D4596E"/>
    <w:rsid w:val="00D45DBF"/>
    <w:rsid w:val="00D45EDF"/>
    <w:rsid w:val="00D463C7"/>
    <w:rsid w:val="00D46BEA"/>
    <w:rsid w:val="00D47AAF"/>
    <w:rsid w:val="00D50447"/>
    <w:rsid w:val="00D50CDD"/>
    <w:rsid w:val="00D5111E"/>
    <w:rsid w:val="00D511E3"/>
    <w:rsid w:val="00D51209"/>
    <w:rsid w:val="00D51798"/>
    <w:rsid w:val="00D51880"/>
    <w:rsid w:val="00D525FE"/>
    <w:rsid w:val="00D52B39"/>
    <w:rsid w:val="00D52E63"/>
    <w:rsid w:val="00D54082"/>
    <w:rsid w:val="00D540AF"/>
    <w:rsid w:val="00D552FC"/>
    <w:rsid w:val="00D55B5B"/>
    <w:rsid w:val="00D56082"/>
    <w:rsid w:val="00D560A7"/>
    <w:rsid w:val="00D569CF"/>
    <w:rsid w:val="00D56ECC"/>
    <w:rsid w:val="00D57296"/>
    <w:rsid w:val="00D57A8F"/>
    <w:rsid w:val="00D57DBE"/>
    <w:rsid w:val="00D61171"/>
    <w:rsid w:val="00D611E8"/>
    <w:rsid w:val="00D614DB"/>
    <w:rsid w:val="00D61723"/>
    <w:rsid w:val="00D620B0"/>
    <w:rsid w:val="00D62FD9"/>
    <w:rsid w:val="00D6301A"/>
    <w:rsid w:val="00D64928"/>
    <w:rsid w:val="00D655B8"/>
    <w:rsid w:val="00D66976"/>
    <w:rsid w:val="00D67BCE"/>
    <w:rsid w:val="00D7009B"/>
    <w:rsid w:val="00D70B7A"/>
    <w:rsid w:val="00D70FF4"/>
    <w:rsid w:val="00D711DE"/>
    <w:rsid w:val="00D71D47"/>
    <w:rsid w:val="00D72762"/>
    <w:rsid w:val="00D72BFF"/>
    <w:rsid w:val="00D72E14"/>
    <w:rsid w:val="00D733D9"/>
    <w:rsid w:val="00D739A7"/>
    <w:rsid w:val="00D74550"/>
    <w:rsid w:val="00D74CEA"/>
    <w:rsid w:val="00D7525A"/>
    <w:rsid w:val="00D75D09"/>
    <w:rsid w:val="00D768D1"/>
    <w:rsid w:val="00D76972"/>
    <w:rsid w:val="00D76B51"/>
    <w:rsid w:val="00D76BD4"/>
    <w:rsid w:val="00D76E4C"/>
    <w:rsid w:val="00D77075"/>
    <w:rsid w:val="00D7743B"/>
    <w:rsid w:val="00D77835"/>
    <w:rsid w:val="00D80199"/>
    <w:rsid w:val="00D80839"/>
    <w:rsid w:val="00D80CC5"/>
    <w:rsid w:val="00D81043"/>
    <w:rsid w:val="00D82771"/>
    <w:rsid w:val="00D833B1"/>
    <w:rsid w:val="00D835E2"/>
    <w:rsid w:val="00D836FD"/>
    <w:rsid w:val="00D83B30"/>
    <w:rsid w:val="00D84300"/>
    <w:rsid w:val="00D84999"/>
    <w:rsid w:val="00D84D65"/>
    <w:rsid w:val="00D84D8D"/>
    <w:rsid w:val="00D85616"/>
    <w:rsid w:val="00D85E82"/>
    <w:rsid w:val="00D8641F"/>
    <w:rsid w:val="00D874E8"/>
    <w:rsid w:val="00D876E8"/>
    <w:rsid w:val="00D878F0"/>
    <w:rsid w:val="00D9018D"/>
    <w:rsid w:val="00D91033"/>
    <w:rsid w:val="00D91040"/>
    <w:rsid w:val="00D91533"/>
    <w:rsid w:val="00D91DC2"/>
    <w:rsid w:val="00D928D7"/>
    <w:rsid w:val="00D92AE9"/>
    <w:rsid w:val="00D92BB1"/>
    <w:rsid w:val="00D93CE2"/>
    <w:rsid w:val="00D940C6"/>
    <w:rsid w:val="00D94D94"/>
    <w:rsid w:val="00D94F3A"/>
    <w:rsid w:val="00D957A5"/>
    <w:rsid w:val="00D96098"/>
    <w:rsid w:val="00D972FC"/>
    <w:rsid w:val="00D97C4B"/>
    <w:rsid w:val="00D97DBE"/>
    <w:rsid w:val="00DA05DE"/>
    <w:rsid w:val="00DA08DD"/>
    <w:rsid w:val="00DA171D"/>
    <w:rsid w:val="00DA2144"/>
    <w:rsid w:val="00DA2700"/>
    <w:rsid w:val="00DA3A48"/>
    <w:rsid w:val="00DA3D2C"/>
    <w:rsid w:val="00DA3FC3"/>
    <w:rsid w:val="00DA40E1"/>
    <w:rsid w:val="00DA40E6"/>
    <w:rsid w:val="00DA4E91"/>
    <w:rsid w:val="00DA50F6"/>
    <w:rsid w:val="00DA5125"/>
    <w:rsid w:val="00DA5586"/>
    <w:rsid w:val="00DA572E"/>
    <w:rsid w:val="00DA5BBB"/>
    <w:rsid w:val="00DA61D4"/>
    <w:rsid w:val="00DA6E4A"/>
    <w:rsid w:val="00DA7779"/>
    <w:rsid w:val="00DA77B2"/>
    <w:rsid w:val="00DA7848"/>
    <w:rsid w:val="00DA7F69"/>
    <w:rsid w:val="00DB0434"/>
    <w:rsid w:val="00DB0538"/>
    <w:rsid w:val="00DB0712"/>
    <w:rsid w:val="00DB0A9E"/>
    <w:rsid w:val="00DB0B94"/>
    <w:rsid w:val="00DB11AD"/>
    <w:rsid w:val="00DB1294"/>
    <w:rsid w:val="00DB1489"/>
    <w:rsid w:val="00DB16D9"/>
    <w:rsid w:val="00DB17AB"/>
    <w:rsid w:val="00DB198B"/>
    <w:rsid w:val="00DB1B36"/>
    <w:rsid w:val="00DB1C8E"/>
    <w:rsid w:val="00DB1E70"/>
    <w:rsid w:val="00DB20BE"/>
    <w:rsid w:val="00DB3109"/>
    <w:rsid w:val="00DB34D3"/>
    <w:rsid w:val="00DB3815"/>
    <w:rsid w:val="00DB3E52"/>
    <w:rsid w:val="00DB4212"/>
    <w:rsid w:val="00DB4867"/>
    <w:rsid w:val="00DB4AAD"/>
    <w:rsid w:val="00DB5073"/>
    <w:rsid w:val="00DB5187"/>
    <w:rsid w:val="00DB566F"/>
    <w:rsid w:val="00DB5C30"/>
    <w:rsid w:val="00DB5E60"/>
    <w:rsid w:val="00DB68DE"/>
    <w:rsid w:val="00DB718D"/>
    <w:rsid w:val="00DC0083"/>
    <w:rsid w:val="00DC0544"/>
    <w:rsid w:val="00DC170E"/>
    <w:rsid w:val="00DC1823"/>
    <w:rsid w:val="00DC20E5"/>
    <w:rsid w:val="00DC253F"/>
    <w:rsid w:val="00DC2DB6"/>
    <w:rsid w:val="00DC3E38"/>
    <w:rsid w:val="00DC3EE7"/>
    <w:rsid w:val="00DC4009"/>
    <w:rsid w:val="00DC4470"/>
    <w:rsid w:val="00DC458B"/>
    <w:rsid w:val="00DC4603"/>
    <w:rsid w:val="00DC4F12"/>
    <w:rsid w:val="00DC517A"/>
    <w:rsid w:val="00DC5682"/>
    <w:rsid w:val="00DC596B"/>
    <w:rsid w:val="00DC6630"/>
    <w:rsid w:val="00DC6B66"/>
    <w:rsid w:val="00DC6B6B"/>
    <w:rsid w:val="00DC6CC1"/>
    <w:rsid w:val="00DC7328"/>
    <w:rsid w:val="00DC7B69"/>
    <w:rsid w:val="00DD0079"/>
    <w:rsid w:val="00DD0548"/>
    <w:rsid w:val="00DD0F3D"/>
    <w:rsid w:val="00DD1348"/>
    <w:rsid w:val="00DD15E9"/>
    <w:rsid w:val="00DD17A3"/>
    <w:rsid w:val="00DD194C"/>
    <w:rsid w:val="00DD1D97"/>
    <w:rsid w:val="00DD1FCF"/>
    <w:rsid w:val="00DD27BA"/>
    <w:rsid w:val="00DD2ABD"/>
    <w:rsid w:val="00DD31C7"/>
    <w:rsid w:val="00DD409F"/>
    <w:rsid w:val="00DD491A"/>
    <w:rsid w:val="00DD4A07"/>
    <w:rsid w:val="00DD4BBF"/>
    <w:rsid w:val="00DD4D60"/>
    <w:rsid w:val="00DD54E4"/>
    <w:rsid w:val="00DD5B08"/>
    <w:rsid w:val="00DD5B15"/>
    <w:rsid w:val="00DD5BA7"/>
    <w:rsid w:val="00DD5C73"/>
    <w:rsid w:val="00DD61C1"/>
    <w:rsid w:val="00DD66BD"/>
    <w:rsid w:val="00DD6C2A"/>
    <w:rsid w:val="00DE00DB"/>
    <w:rsid w:val="00DE01AE"/>
    <w:rsid w:val="00DE076F"/>
    <w:rsid w:val="00DE0E82"/>
    <w:rsid w:val="00DE15C2"/>
    <w:rsid w:val="00DE16E4"/>
    <w:rsid w:val="00DE1863"/>
    <w:rsid w:val="00DE1AF7"/>
    <w:rsid w:val="00DE2673"/>
    <w:rsid w:val="00DE2B72"/>
    <w:rsid w:val="00DE34EE"/>
    <w:rsid w:val="00DE42B7"/>
    <w:rsid w:val="00DE4B99"/>
    <w:rsid w:val="00DE4C97"/>
    <w:rsid w:val="00DE4F71"/>
    <w:rsid w:val="00DE55E2"/>
    <w:rsid w:val="00DE585C"/>
    <w:rsid w:val="00DE5E0B"/>
    <w:rsid w:val="00DE6202"/>
    <w:rsid w:val="00DE6E4A"/>
    <w:rsid w:val="00DE7013"/>
    <w:rsid w:val="00DE75C8"/>
    <w:rsid w:val="00DE7743"/>
    <w:rsid w:val="00DF0C0C"/>
    <w:rsid w:val="00DF0DEB"/>
    <w:rsid w:val="00DF16DA"/>
    <w:rsid w:val="00DF1763"/>
    <w:rsid w:val="00DF1AF0"/>
    <w:rsid w:val="00DF1DD1"/>
    <w:rsid w:val="00DF267B"/>
    <w:rsid w:val="00DF2C45"/>
    <w:rsid w:val="00DF2CBB"/>
    <w:rsid w:val="00DF3727"/>
    <w:rsid w:val="00DF3A0F"/>
    <w:rsid w:val="00DF4241"/>
    <w:rsid w:val="00DF430C"/>
    <w:rsid w:val="00DF4626"/>
    <w:rsid w:val="00DF4E30"/>
    <w:rsid w:val="00DF5143"/>
    <w:rsid w:val="00DF55CF"/>
    <w:rsid w:val="00DF55F9"/>
    <w:rsid w:val="00DF5D04"/>
    <w:rsid w:val="00DF6252"/>
    <w:rsid w:val="00DF6BAA"/>
    <w:rsid w:val="00DF709A"/>
    <w:rsid w:val="00DF709F"/>
    <w:rsid w:val="00DF7246"/>
    <w:rsid w:val="00DF75C0"/>
    <w:rsid w:val="00DF7FEC"/>
    <w:rsid w:val="00E0073B"/>
    <w:rsid w:val="00E0086D"/>
    <w:rsid w:val="00E00885"/>
    <w:rsid w:val="00E00B6A"/>
    <w:rsid w:val="00E01865"/>
    <w:rsid w:val="00E019B8"/>
    <w:rsid w:val="00E02301"/>
    <w:rsid w:val="00E03656"/>
    <w:rsid w:val="00E03695"/>
    <w:rsid w:val="00E0426C"/>
    <w:rsid w:val="00E042CF"/>
    <w:rsid w:val="00E043C4"/>
    <w:rsid w:val="00E059DC"/>
    <w:rsid w:val="00E06E3F"/>
    <w:rsid w:val="00E0770D"/>
    <w:rsid w:val="00E077F2"/>
    <w:rsid w:val="00E0799A"/>
    <w:rsid w:val="00E07E20"/>
    <w:rsid w:val="00E07F9D"/>
    <w:rsid w:val="00E1063D"/>
    <w:rsid w:val="00E106DA"/>
    <w:rsid w:val="00E106DC"/>
    <w:rsid w:val="00E11D90"/>
    <w:rsid w:val="00E11EEF"/>
    <w:rsid w:val="00E1267D"/>
    <w:rsid w:val="00E12CFF"/>
    <w:rsid w:val="00E12E97"/>
    <w:rsid w:val="00E13203"/>
    <w:rsid w:val="00E1444F"/>
    <w:rsid w:val="00E144F4"/>
    <w:rsid w:val="00E14D9E"/>
    <w:rsid w:val="00E15A4F"/>
    <w:rsid w:val="00E15D52"/>
    <w:rsid w:val="00E16929"/>
    <w:rsid w:val="00E16C8C"/>
    <w:rsid w:val="00E17B90"/>
    <w:rsid w:val="00E17D05"/>
    <w:rsid w:val="00E20017"/>
    <w:rsid w:val="00E2068B"/>
    <w:rsid w:val="00E20A3B"/>
    <w:rsid w:val="00E20A5D"/>
    <w:rsid w:val="00E211F1"/>
    <w:rsid w:val="00E21BFB"/>
    <w:rsid w:val="00E21C48"/>
    <w:rsid w:val="00E23565"/>
    <w:rsid w:val="00E23C0D"/>
    <w:rsid w:val="00E23D5A"/>
    <w:rsid w:val="00E2412B"/>
    <w:rsid w:val="00E24A58"/>
    <w:rsid w:val="00E24AA1"/>
    <w:rsid w:val="00E25476"/>
    <w:rsid w:val="00E25AFF"/>
    <w:rsid w:val="00E25B52"/>
    <w:rsid w:val="00E25BD7"/>
    <w:rsid w:val="00E25C6C"/>
    <w:rsid w:val="00E25E38"/>
    <w:rsid w:val="00E25E65"/>
    <w:rsid w:val="00E262D3"/>
    <w:rsid w:val="00E2693B"/>
    <w:rsid w:val="00E26B41"/>
    <w:rsid w:val="00E26FFF"/>
    <w:rsid w:val="00E30350"/>
    <w:rsid w:val="00E3079B"/>
    <w:rsid w:val="00E3165E"/>
    <w:rsid w:val="00E320C0"/>
    <w:rsid w:val="00E321B3"/>
    <w:rsid w:val="00E32649"/>
    <w:rsid w:val="00E32C9F"/>
    <w:rsid w:val="00E32FE5"/>
    <w:rsid w:val="00E33098"/>
    <w:rsid w:val="00E332D6"/>
    <w:rsid w:val="00E33851"/>
    <w:rsid w:val="00E34305"/>
    <w:rsid w:val="00E34568"/>
    <w:rsid w:val="00E34FAE"/>
    <w:rsid w:val="00E35495"/>
    <w:rsid w:val="00E35769"/>
    <w:rsid w:val="00E35EE9"/>
    <w:rsid w:val="00E361FB"/>
    <w:rsid w:val="00E3630B"/>
    <w:rsid w:val="00E36394"/>
    <w:rsid w:val="00E36ABE"/>
    <w:rsid w:val="00E37034"/>
    <w:rsid w:val="00E37230"/>
    <w:rsid w:val="00E37251"/>
    <w:rsid w:val="00E37630"/>
    <w:rsid w:val="00E37A08"/>
    <w:rsid w:val="00E40231"/>
    <w:rsid w:val="00E4096A"/>
    <w:rsid w:val="00E40998"/>
    <w:rsid w:val="00E4126B"/>
    <w:rsid w:val="00E4168D"/>
    <w:rsid w:val="00E42645"/>
    <w:rsid w:val="00E42A13"/>
    <w:rsid w:val="00E42BBF"/>
    <w:rsid w:val="00E42F31"/>
    <w:rsid w:val="00E431A4"/>
    <w:rsid w:val="00E433A3"/>
    <w:rsid w:val="00E43487"/>
    <w:rsid w:val="00E436CB"/>
    <w:rsid w:val="00E43838"/>
    <w:rsid w:val="00E43A2C"/>
    <w:rsid w:val="00E43FFA"/>
    <w:rsid w:val="00E44001"/>
    <w:rsid w:val="00E44238"/>
    <w:rsid w:val="00E445B5"/>
    <w:rsid w:val="00E4472F"/>
    <w:rsid w:val="00E45502"/>
    <w:rsid w:val="00E45B08"/>
    <w:rsid w:val="00E45C7A"/>
    <w:rsid w:val="00E46068"/>
    <w:rsid w:val="00E46393"/>
    <w:rsid w:val="00E4644C"/>
    <w:rsid w:val="00E467C8"/>
    <w:rsid w:val="00E4688C"/>
    <w:rsid w:val="00E475E5"/>
    <w:rsid w:val="00E5064E"/>
    <w:rsid w:val="00E50E97"/>
    <w:rsid w:val="00E51118"/>
    <w:rsid w:val="00E51740"/>
    <w:rsid w:val="00E5188F"/>
    <w:rsid w:val="00E51960"/>
    <w:rsid w:val="00E519DC"/>
    <w:rsid w:val="00E51B32"/>
    <w:rsid w:val="00E528B2"/>
    <w:rsid w:val="00E529BF"/>
    <w:rsid w:val="00E52EA8"/>
    <w:rsid w:val="00E53151"/>
    <w:rsid w:val="00E533FD"/>
    <w:rsid w:val="00E53621"/>
    <w:rsid w:val="00E537E3"/>
    <w:rsid w:val="00E543AE"/>
    <w:rsid w:val="00E54D45"/>
    <w:rsid w:val="00E54E7C"/>
    <w:rsid w:val="00E5545C"/>
    <w:rsid w:val="00E55898"/>
    <w:rsid w:val="00E55F35"/>
    <w:rsid w:val="00E570E1"/>
    <w:rsid w:val="00E57384"/>
    <w:rsid w:val="00E600B4"/>
    <w:rsid w:val="00E603BB"/>
    <w:rsid w:val="00E606FC"/>
    <w:rsid w:val="00E60936"/>
    <w:rsid w:val="00E62637"/>
    <w:rsid w:val="00E62A09"/>
    <w:rsid w:val="00E62A4E"/>
    <w:rsid w:val="00E63022"/>
    <w:rsid w:val="00E63897"/>
    <w:rsid w:val="00E63C14"/>
    <w:rsid w:val="00E64432"/>
    <w:rsid w:val="00E64874"/>
    <w:rsid w:val="00E648E6"/>
    <w:rsid w:val="00E64B92"/>
    <w:rsid w:val="00E65072"/>
    <w:rsid w:val="00E65BCA"/>
    <w:rsid w:val="00E6618E"/>
    <w:rsid w:val="00E66613"/>
    <w:rsid w:val="00E67167"/>
    <w:rsid w:val="00E677B9"/>
    <w:rsid w:val="00E70518"/>
    <w:rsid w:val="00E707C0"/>
    <w:rsid w:val="00E718A2"/>
    <w:rsid w:val="00E71CCC"/>
    <w:rsid w:val="00E72DE7"/>
    <w:rsid w:val="00E72F93"/>
    <w:rsid w:val="00E73492"/>
    <w:rsid w:val="00E73A60"/>
    <w:rsid w:val="00E73D20"/>
    <w:rsid w:val="00E73E85"/>
    <w:rsid w:val="00E74132"/>
    <w:rsid w:val="00E7486C"/>
    <w:rsid w:val="00E74E95"/>
    <w:rsid w:val="00E7502B"/>
    <w:rsid w:val="00E757FD"/>
    <w:rsid w:val="00E75D6C"/>
    <w:rsid w:val="00E777D9"/>
    <w:rsid w:val="00E778AD"/>
    <w:rsid w:val="00E77E82"/>
    <w:rsid w:val="00E804E1"/>
    <w:rsid w:val="00E809AF"/>
    <w:rsid w:val="00E80E1B"/>
    <w:rsid w:val="00E81408"/>
    <w:rsid w:val="00E814F8"/>
    <w:rsid w:val="00E816A5"/>
    <w:rsid w:val="00E81B37"/>
    <w:rsid w:val="00E831B1"/>
    <w:rsid w:val="00E832C6"/>
    <w:rsid w:val="00E83927"/>
    <w:rsid w:val="00E83A49"/>
    <w:rsid w:val="00E84063"/>
    <w:rsid w:val="00E84452"/>
    <w:rsid w:val="00E84DCF"/>
    <w:rsid w:val="00E8507C"/>
    <w:rsid w:val="00E852A1"/>
    <w:rsid w:val="00E8559F"/>
    <w:rsid w:val="00E85630"/>
    <w:rsid w:val="00E8642D"/>
    <w:rsid w:val="00E8648B"/>
    <w:rsid w:val="00E865F4"/>
    <w:rsid w:val="00E87080"/>
    <w:rsid w:val="00E871AC"/>
    <w:rsid w:val="00E878CD"/>
    <w:rsid w:val="00E87B91"/>
    <w:rsid w:val="00E87BA9"/>
    <w:rsid w:val="00E903A0"/>
    <w:rsid w:val="00E904A2"/>
    <w:rsid w:val="00E90AF0"/>
    <w:rsid w:val="00E90D2B"/>
    <w:rsid w:val="00E90FD5"/>
    <w:rsid w:val="00E91056"/>
    <w:rsid w:val="00E91167"/>
    <w:rsid w:val="00E91A1B"/>
    <w:rsid w:val="00E9234C"/>
    <w:rsid w:val="00E92B9E"/>
    <w:rsid w:val="00E92BC4"/>
    <w:rsid w:val="00E936B8"/>
    <w:rsid w:val="00E93745"/>
    <w:rsid w:val="00E937FD"/>
    <w:rsid w:val="00E93D4D"/>
    <w:rsid w:val="00E94346"/>
    <w:rsid w:val="00E94E96"/>
    <w:rsid w:val="00E95A48"/>
    <w:rsid w:val="00E95B63"/>
    <w:rsid w:val="00E95BEF"/>
    <w:rsid w:val="00E96D32"/>
    <w:rsid w:val="00E96FDF"/>
    <w:rsid w:val="00E97013"/>
    <w:rsid w:val="00EA089F"/>
    <w:rsid w:val="00EA0BA7"/>
    <w:rsid w:val="00EA0D86"/>
    <w:rsid w:val="00EA133B"/>
    <w:rsid w:val="00EA1378"/>
    <w:rsid w:val="00EA13C6"/>
    <w:rsid w:val="00EA1407"/>
    <w:rsid w:val="00EA162F"/>
    <w:rsid w:val="00EA1C73"/>
    <w:rsid w:val="00EA2C39"/>
    <w:rsid w:val="00EA30DE"/>
    <w:rsid w:val="00EA34E5"/>
    <w:rsid w:val="00EA37F2"/>
    <w:rsid w:val="00EA3B81"/>
    <w:rsid w:val="00EA4007"/>
    <w:rsid w:val="00EA43AE"/>
    <w:rsid w:val="00EA483D"/>
    <w:rsid w:val="00EA5B9C"/>
    <w:rsid w:val="00EA5BFC"/>
    <w:rsid w:val="00EA5C9C"/>
    <w:rsid w:val="00EA655D"/>
    <w:rsid w:val="00EA6CCC"/>
    <w:rsid w:val="00EA70E0"/>
    <w:rsid w:val="00EB0A71"/>
    <w:rsid w:val="00EB13AC"/>
    <w:rsid w:val="00EB1885"/>
    <w:rsid w:val="00EB1E6E"/>
    <w:rsid w:val="00EB2685"/>
    <w:rsid w:val="00EB26AA"/>
    <w:rsid w:val="00EB2952"/>
    <w:rsid w:val="00EB3682"/>
    <w:rsid w:val="00EB3D5B"/>
    <w:rsid w:val="00EB3D93"/>
    <w:rsid w:val="00EB3EF5"/>
    <w:rsid w:val="00EB4566"/>
    <w:rsid w:val="00EB46D1"/>
    <w:rsid w:val="00EB51E8"/>
    <w:rsid w:val="00EB6F44"/>
    <w:rsid w:val="00EB72C9"/>
    <w:rsid w:val="00EB78C9"/>
    <w:rsid w:val="00EB7C00"/>
    <w:rsid w:val="00EB7EA1"/>
    <w:rsid w:val="00EC1F86"/>
    <w:rsid w:val="00EC27CD"/>
    <w:rsid w:val="00EC293F"/>
    <w:rsid w:val="00EC2EF9"/>
    <w:rsid w:val="00EC2FFC"/>
    <w:rsid w:val="00EC313E"/>
    <w:rsid w:val="00EC3643"/>
    <w:rsid w:val="00EC36F8"/>
    <w:rsid w:val="00EC4DC1"/>
    <w:rsid w:val="00EC4F46"/>
    <w:rsid w:val="00EC539B"/>
    <w:rsid w:val="00EC5987"/>
    <w:rsid w:val="00EC5A9B"/>
    <w:rsid w:val="00EC5BED"/>
    <w:rsid w:val="00EC5EC8"/>
    <w:rsid w:val="00EC73A0"/>
    <w:rsid w:val="00EC7552"/>
    <w:rsid w:val="00EC7686"/>
    <w:rsid w:val="00ED0CDC"/>
    <w:rsid w:val="00ED16D8"/>
    <w:rsid w:val="00ED1E29"/>
    <w:rsid w:val="00ED1EC5"/>
    <w:rsid w:val="00ED2C1B"/>
    <w:rsid w:val="00ED2F21"/>
    <w:rsid w:val="00ED34D6"/>
    <w:rsid w:val="00ED3818"/>
    <w:rsid w:val="00ED39FE"/>
    <w:rsid w:val="00ED3F30"/>
    <w:rsid w:val="00ED416A"/>
    <w:rsid w:val="00ED4367"/>
    <w:rsid w:val="00ED464D"/>
    <w:rsid w:val="00ED4E25"/>
    <w:rsid w:val="00ED513D"/>
    <w:rsid w:val="00ED51A5"/>
    <w:rsid w:val="00ED5735"/>
    <w:rsid w:val="00ED57AD"/>
    <w:rsid w:val="00ED597B"/>
    <w:rsid w:val="00ED6A1F"/>
    <w:rsid w:val="00ED6B5A"/>
    <w:rsid w:val="00ED6FC2"/>
    <w:rsid w:val="00ED7413"/>
    <w:rsid w:val="00ED7488"/>
    <w:rsid w:val="00ED76D3"/>
    <w:rsid w:val="00ED7A17"/>
    <w:rsid w:val="00ED7AA3"/>
    <w:rsid w:val="00ED7DD0"/>
    <w:rsid w:val="00EE072A"/>
    <w:rsid w:val="00EE07A6"/>
    <w:rsid w:val="00EE0900"/>
    <w:rsid w:val="00EE1250"/>
    <w:rsid w:val="00EE12CA"/>
    <w:rsid w:val="00EE1AFC"/>
    <w:rsid w:val="00EE2ABD"/>
    <w:rsid w:val="00EE3056"/>
    <w:rsid w:val="00EE33C9"/>
    <w:rsid w:val="00EE3C26"/>
    <w:rsid w:val="00EE3C30"/>
    <w:rsid w:val="00EE3CCC"/>
    <w:rsid w:val="00EE46CF"/>
    <w:rsid w:val="00EE4B83"/>
    <w:rsid w:val="00EE4D52"/>
    <w:rsid w:val="00EE53F7"/>
    <w:rsid w:val="00EE5981"/>
    <w:rsid w:val="00EE5C99"/>
    <w:rsid w:val="00EE5DF1"/>
    <w:rsid w:val="00EE6F57"/>
    <w:rsid w:val="00EE7369"/>
    <w:rsid w:val="00EE789B"/>
    <w:rsid w:val="00EE7DC4"/>
    <w:rsid w:val="00EF039A"/>
    <w:rsid w:val="00EF0E66"/>
    <w:rsid w:val="00EF14A8"/>
    <w:rsid w:val="00EF14DD"/>
    <w:rsid w:val="00EF1657"/>
    <w:rsid w:val="00EF1D3B"/>
    <w:rsid w:val="00EF21E9"/>
    <w:rsid w:val="00EF25B4"/>
    <w:rsid w:val="00EF2999"/>
    <w:rsid w:val="00EF43A1"/>
    <w:rsid w:val="00EF4445"/>
    <w:rsid w:val="00EF4C80"/>
    <w:rsid w:val="00EF4CA7"/>
    <w:rsid w:val="00EF4DBD"/>
    <w:rsid w:val="00EF4EBE"/>
    <w:rsid w:val="00EF4FF1"/>
    <w:rsid w:val="00EF51F2"/>
    <w:rsid w:val="00EF5303"/>
    <w:rsid w:val="00EF5E80"/>
    <w:rsid w:val="00EF61D0"/>
    <w:rsid w:val="00EF6478"/>
    <w:rsid w:val="00EF65D0"/>
    <w:rsid w:val="00EF69A7"/>
    <w:rsid w:val="00EF7319"/>
    <w:rsid w:val="00EF73B3"/>
    <w:rsid w:val="00EF74C4"/>
    <w:rsid w:val="00EF7538"/>
    <w:rsid w:val="00F0015A"/>
    <w:rsid w:val="00F004FE"/>
    <w:rsid w:val="00F0053F"/>
    <w:rsid w:val="00F006D0"/>
    <w:rsid w:val="00F00D33"/>
    <w:rsid w:val="00F00FD3"/>
    <w:rsid w:val="00F011EA"/>
    <w:rsid w:val="00F02437"/>
    <w:rsid w:val="00F02467"/>
    <w:rsid w:val="00F02815"/>
    <w:rsid w:val="00F028FE"/>
    <w:rsid w:val="00F02C01"/>
    <w:rsid w:val="00F03111"/>
    <w:rsid w:val="00F0397B"/>
    <w:rsid w:val="00F03AB3"/>
    <w:rsid w:val="00F03AB5"/>
    <w:rsid w:val="00F03C72"/>
    <w:rsid w:val="00F03D54"/>
    <w:rsid w:val="00F04B40"/>
    <w:rsid w:val="00F05234"/>
    <w:rsid w:val="00F06AD9"/>
    <w:rsid w:val="00F0711C"/>
    <w:rsid w:val="00F0729F"/>
    <w:rsid w:val="00F079E5"/>
    <w:rsid w:val="00F10619"/>
    <w:rsid w:val="00F1189C"/>
    <w:rsid w:val="00F11B2C"/>
    <w:rsid w:val="00F13226"/>
    <w:rsid w:val="00F13637"/>
    <w:rsid w:val="00F1391B"/>
    <w:rsid w:val="00F13C1F"/>
    <w:rsid w:val="00F14034"/>
    <w:rsid w:val="00F1444F"/>
    <w:rsid w:val="00F145EC"/>
    <w:rsid w:val="00F14FEB"/>
    <w:rsid w:val="00F15109"/>
    <w:rsid w:val="00F152B4"/>
    <w:rsid w:val="00F1545E"/>
    <w:rsid w:val="00F156EF"/>
    <w:rsid w:val="00F158DD"/>
    <w:rsid w:val="00F15B66"/>
    <w:rsid w:val="00F16324"/>
    <w:rsid w:val="00F165A0"/>
    <w:rsid w:val="00F1665E"/>
    <w:rsid w:val="00F166AF"/>
    <w:rsid w:val="00F16C82"/>
    <w:rsid w:val="00F16D34"/>
    <w:rsid w:val="00F1733D"/>
    <w:rsid w:val="00F177B9"/>
    <w:rsid w:val="00F17F9B"/>
    <w:rsid w:val="00F207FA"/>
    <w:rsid w:val="00F20B49"/>
    <w:rsid w:val="00F20E57"/>
    <w:rsid w:val="00F21066"/>
    <w:rsid w:val="00F2117A"/>
    <w:rsid w:val="00F21744"/>
    <w:rsid w:val="00F21F95"/>
    <w:rsid w:val="00F2368A"/>
    <w:rsid w:val="00F23C7E"/>
    <w:rsid w:val="00F24620"/>
    <w:rsid w:val="00F24780"/>
    <w:rsid w:val="00F24828"/>
    <w:rsid w:val="00F25952"/>
    <w:rsid w:val="00F26916"/>
    <w:rsid w:val="00F26B99"/>
    <w:rsid w:val="00F27218"/>
    <w:rsid w:val="00F30545"/>
    <w:rsid w:val="00F30949"/>
    <w:rsid w:val="00F30D74"/>
    <w:rsid w:val="00F30E21"/>
    <w:rsid w:val="00F314C6"/>
    <w:rsid w:val="00F3172C"/>
    <w:rsid w:val="00F318D4"/>
    <w:rsid w:val="00F32737"/>
    <w:rsid w:val="00F328DB"/>
    <w:rsid w:val="00F33077"/>
    <w:rsid w:val="00F334C3"/>
    <w:rsid w:val="00F334D1"/>
    <w:rsid w:val="00F338D4"/>
    <w:rsid w:val="00F33CF4"/>
    <w:rsid w:val="00F33D55"/>
    <w:rsid w:val="00F34796"/>
    <w:rsid w:val="00F34A46"/>
    <w:rsid w:val="00F34B7A"/>
    <w:rsid w:val="00F34F33"/>
    <w:rsid w:val="00F35129"/>
    <w:rsid w:val="00F353B1"/>
    <w:rsid w:val="00F356F6"/>
    <w:rsid w:val="00F359E5"/>
    <w:rsid w:val="00F35AC8"/>
    <w:rsid w:val="00F37ABD"/>
    <w:rsid w:val="00F37DF6"/>
    <w:rsid w:val="00F37EBB"/>
    <w:rsid w:val="00F40D82"/>
    <w:rsid w:val="00F41043"/>
    <w:rsid w:val="00F4123E"/>
    <w:rsid w:val="00F41B29"/>
    <w:rsid w:val="00F41FD1"/>
    <w:rsid w:val="00F41FF2"/>
    <w:rsid w:val="00F42083"/>
    <w:rsid w:val="00F420A6"/>
    <w:rsid w:val="00F42FC3"/>
    <w:rsid w:val="00F442B1"/>
    <w:rsid w:val="00F44402"/>
    <w:rsid w:val="00F4448A"/>
    <w:rsid w:val="00F446DC"/>
    <w:rsid w:val="00F446EE"/>
    <w:rsid w:val="00F44745"/>
    <w:rsid w:val="00F454BA"/>
    <w:rsid w:val="00F45B75"/>
    <w:rsid w:val="00F45D60"/>
    <w:rsid w:val="00F462F5"/>
    <w:rsid w:val="00F46D35"/>
    <w:rsid w:val="00F46E89"/>
    <w:rsid w:val="00F47298"/>
    <w:rsid w:val="00F4729A"/>
    <w:rsid w:val="00F4744B"/>
    <w:rsid w:val="00F504D0"/>
    <w:rsid w:val="00F50544"/>
    <w:rsid w:val="00F5085A"/>
    <w:rsid w:val="00F512C5"/>
    <w:rsid w:val="00F512E7"/>
    <w:rsid w:val="00F5156E"/>
    <w:rsid w:val="00F5177E"/>
    <w:rsid w:val="00F517BE"/>
    <w:rsid w:val="00F518B7"/>
    <w:rsid w:val="00F51933"/>
    <w:rsid w:val="00F51BBD"/>
    <w:rsid w:val="00F53152"/>
    <w:rsid w:val="00F537B0"/>
    <w:rsid w:val="00F53AC3"/>
    <w:rsid w:val="00F53C2A"/>
    <w:rsid w:val="00F53E2B"/>
    <w:rsid w:val="00F54623"/>
    <w:rsid w:val="00F54F79"/>
    <w:rsid w:val="00F554E3"/>
    <w:rsid w:val="00F55AA8"/>
    <w:rsid w:val="00F55AED"/>
    <w:rsid w:val="00F55E2F"/>
    <w:rsid w:val="00F572D3"/>
    <w:rsid w:val="00F578F6"/>
    <w:rsid w:val="00F60430"/>
    <w:rsid w:val="00F60A31"/>
    <w:rsid w:val="00F60AB9"/>
    <w:rsid w:val="00F60F00"/>
    <w:rsid w:val="00F613C8"/>
    <w:rsid w:val="00F61419"/>
    <w:rsid w:val="00F617B8"/>
    <w:rsid w:val="00F62111"/>
    <w:rsid w:val="00F6218A"/>
    <w:rsid w:val="00F621E3"/>
    <w:rsid w:val="00F6224E"/>
    <w:rsid w:val="00F624E0"/>
    <w:rsid w:val="00F628E7"/>
    <w:rsid w:val="00F6315C"/>
    <w:rsid w:val="00F63D9C"/>
    <w:rsid w:val="00F645AC"/>
    <w:rsid w:val="00F64AD7"/>
    <w:rsid w:val="00F6591E"/>
    <w:rsid w:val="00F65D37"/>
    <w:rsid w:val="00F65EB7"/>
    <w:rsid w:val="00F65FCF"/>
    <w:rsid w:val="00F66101"/>
    <w:rsid w:val="00F66A14"/>
    <w:rsid w:val="00F67288"/>
    <w:rsid w:val="00F67995"/>
    <w:rsid w:val="00F702B4"/>
    <w:rsid w:val="00F70912"/>
    <w:rsid w:val="00F70B0C"/>
    <w:rsid w:val="00F7145D"/>
    <w:rsid w:val="00F71485"/>
    <w:rsid w:val="00F716A6"/>
    <w:rsid w:val="00F72367"/>
    <w:rsid w:val="00F728FA"/>
    <w:rsid w:val="00F72BC4"/>
    <w:rsid w:val="00F730B4"/>
    <w:rsid w:val="00F73451"/>
    <w:rsid w:val="00F7395F"/>
    <w:rsid w:val="00F73E70"/>
    <w:rsid w:val="00F742FA"/>
    <w:rsid w:val="00F74D5D"/>
    <w:rsid w:val="00F75DE3"/>
    <w:rsid w:val="00F7669F"/>
    <w:rsid w:val="00F76709"/>
    <w:rsid w:val="00F76824"/>
    <w:rsid w:val="00F76927"/>
    <w:rsid w:val="00F76FFB"/>
    <w:rsid w:val="00F77D5F"/>
    <w:rsid w:val="00F8014B"/>
    <w:rsid w:val="00F80570"/>
    <w:rsid w:val="00F80738"/>
    <w:rsid w:val="00F80AE7"/>
    <w:rsid w:val="00F81F88"/>
    <w:rsid w:val="00F8274C"/>
    <w:rsid w:val="00F82AFC"/>
    <w:rsid w:val="00F832E9"/>
    <w:rsid w:val="00F835B8"/>
    <w:rsid w:val="00F83891"/>
    <w:rsid w:val="00F83E04"/>
    <w:rsid w:val="00F83EB5"/>
    <w:rsid w:val="00F84254"/>
    <w:rsid w:val="00F84B9E"/>
    <w:rsid w:val="00F852C9"/>
    <w:rsid w:val="00F8533F"/>
    <w:rsid w:val="00F85382"/>
    <w:rsid w:val="00F854F8"/>
    <w:rsid w:val="00F86758"/>
    <w:rsid w:val="00F868A8"/>
    <w:rsid w:val="00F86CB5"/>
    <w:rsid w:val="00F870F9"/>
    <w:rsid w:val="00F87274"/>
    <w:rsid w:val="00F877D2"/>
    <w:rsid w:val="00F904E8"/>
    <w:rsid w:val="00F906FB"/>
    <w:rsid w:val="00F907B1"/>
    <w:rsid w:val="00F90AC2"/>
    <w:rsid w:val="00F90C42"/>
    <w:rsid w:val="00F91942"/>
    <w:rsid w:val="00F91D45"/>
    <w:rsid w:val="00F92C11"/>
    <w:rsid w:val="00F92F2F"/>
    <w:rsid w:val="00F93402"/>
    <w:rsid w:val="00F93C04"/>
    <w:rsid w:val="00F94922"/>
    <w:rsid w:val="00F94F48"/>
    <w:rsid w:val="00F96082"/>
    <w:rsid w:val="00F969F4"/>
    <w:rsid w:val="00F96C70"/>
    <w:rsid w:val="00F9744B"/>
    <w:rsid w:val="00F979A2"/>
    <w:rsid w:val="00F97F0B"/>
    <w:rsid w:val="00FA076E"/>
    <w:rsid w:val="00FA0CAF"/>
    <w:rsid w:val="00FA1337"/>
    <w:rsid w:val="00FA1449"/>
    <w:rsid w:val="00FA245A"/>
    <w:rsid w:val="00FA26BE"/>
    <w:rsid w:val="00FA2D75"/>
    <w:rsid w:val="00FA2F83"/>
    <w:rsid w:val="00FA3202"/>
    <w:rsid w:val="00FA341B"/>
    <w:rsid w:val="00FA3D4F"/>
    <w:rsid w:val="00FA3FC2"/>
    <w:rsid w:val="00FA4047"/>
    <w:rsid w:val="00FA41F9"/>
    <w:rsid w:val="00FA48BC"/>
    <w:rsid w:val="00FA4931"/>
    <w:rsid w:val="00FA5007"/>
    <w:rsid w:val="00FA5331"/>
    <w:rsid w:val="00FA53A2"/>
    <w:rsid w:val="00FA672E"/>
    <w:rsid w:val="00FA6B1E"/>
    <w:rsid w:val="00FA720A"/>
    <w:rsid w:val="00FB058A"/>
    <w:rsid w:val="00FB103F"/>
    <w:rsid w:val="00FB283D"/>
    <w:rsid w:val="00FB2963"/>
    <w:rsid w:val="00FB29BC"/>
    <w:rsid w:val="00FB2A0F"/>
    <w:rsid w:val="00FB2E88"/>
    <w:rsid w:val="00FB35ED"/>
    <w:rsid w:val="00FB4001"/>
    <w:rsid w:val="00FB470B"/>
    <w:rsid w:val="00FB4829"/>
    <w:rsid w:val="00FB4AE0"/>
    <w:rsid w:val="00FB4BE5"/>
    <w:rsid w:val="00FB4C6E"/>
    <w:rsid w:val="00FB4D0E"/>
    <w:rsid w:val="00FB4D3B"/>
    <w:rsid w:val="00FB4DE3"/>
    <w:rsid w:val="00FB4E63"/>
    <w:rsid w:val="00FB511E"/>
    <w:rsid w:val="00FB5456"/>
    <w:rsid w:val="00FB58AE"/>
    <w:rsid w:val="00FB5A39"/>
    <w:rsid w:val="00FB5EA8"/>
    <w:rsid w:val="00FB6342"/>
    <w:rsid w:val="00FB68AA"/>
    <w:rsid w:val="00FB6CBF"/>
    <w:rsid w:val="00FB723E"/>
    <w:rsid w:val="00FB770C"/>
    <w:rsid w:val="00FB7791"/>
    <w:rsid w:val="00FB7898"/>
    <w:rsid w:val="00FB789C"/>
    <w:rsid w:val="00FB7A31"/>
    <w:rsid w:val="00FB7B94"/>
    <w:rsid w:val="00FB7C08"/>
    <w:rsid w:val="00FC0D88"/>
    <w:rsid w:val="00FC1492"/>
    <w:rsid w:val="00FC18CB"/>
    <w:rsid w:val="00FC19D6"/>
    <w:rsid w:val="00FC1A9A"/>
    <w:rsid w:val="00FC1BF7"/>
    <w:rsid w:val="00FC2056"/>
    <w:rsid w:val="00FC2182"/>
    <w:rsid w:val="00FC262C"/>
    <w:rsid w:val="00FC2C8A"/>
    <w:rsid w:val="00FC2FC6"/>
    <w:rsid w:val="00FC3628"/>
    <w:rsid w:val="00FC3B05"/>
    <w:rsid w:val="00FC3C6F"/>
    <w:rsid w:val="00FC3F58"/>
    <w:rsid w:val="00FC4006"/>
    <w:rsid w:val="00FC42AA"/>
    <w:rsid w:val="00FC522E"/>
    <w:rsid w:val="00FC628D"/>
    <w:rsid w:val="00FC6CA8"/>
    <w:rsid w:val="00FC7EB5"/>
    <w:rsid w:val="00FC7F0C"/>
    <w:rsid w:val="00FC7F53"/>
    <w:rsid w:val="00FD0785"/>
    <w:rsid w:val="00FD0CD7"/>
    <w:rsid w:val="00FD103F"/>
    <w:rsid w:val="00FD146A"/>
    <w:rsid w:val="00FD1CB9"/>
    <w:rsid w:val="00FD212B"/>
    <w:rsid w:val="00FD28B3"/>
    <w:rsid w:val="00FD297C"/>
    <w:rsid w:val="00FD3013"/>
    <w:rsid w:val="00FD3F98"/>
    <w:rsid w:val="00FD46CB"/>
    <w:rsid w:val="00FD47B5"/>
    <w:rsid w:val="00FD4826"/>
    <w:rsid w:val="00FD4F38"/>
    <w:rsid w:val="00FD5A6C"/>
    <w:rsid w:val="00FD5E21"/>
    <w:rsid w:val="00FD6446"/>
    <w:rsid w:val="00FD6BD2"/>
    <w:rsid w:val="00FD6CF0"/>
    <w:rsid w:val="00FD6D0F"/>
    <w:rsid w:val="00FD7191"/>
    <w:rsid w:val="00FD7A5F"/>
    <w:rsid w:val="00FE07FB"/>
    <w:rsid w:val="00FE1191"/>
    <w:rsid w:val="00FE1210"/>
    <w:rsid w:val="00FE131E"/>
    <w:rsid w:val="00FE165E"/>
    <w:rsid w:val="00FE1980"/>
    <w:rsid w:val="00FE1AE8"/>
    <w:rsid w:val="00FE1C83"/>
    <w:rsid w:val="00FE1C9E"/>
    <w:rsid w:val="00FE231A"/>
    <w:rsid w:val="00FE2566"/>
    <w:rsid w:val="00FE2C47"/>
    <w:rsid w:val="00FE31FD"/>
    <w:rsid w:val="00FE43CC"/>
    <w:rsid w:val="00FE4A8F"/>
    <w:rsid w:val="00FE5775"/>
    <w:rsid w:val="00FE5BC5"/>
    <w:rsid w:val="00FE6257"/>
    <w:rsid w:val="00FE6A0E"/>
    <w:rsid w:val="00FE7518"/>
    <w:rsid w:val="00FE7B31"/>
    <w:rsid w:val="00FF0109"/>
    <w:rsid w:val="00FF0CAB"/>
    <w:rsid w:val="00FF0E57"/>
    <w:rsid w:val="00FF0FDB"/>
    <w:rsid w:val="00FF115A"/>
    <w:rsid w:val="00FF1360"/>
    <w:rsid w:val="00FF1798"/>
    <w:rsid w:val="00FF18BC"/>
    <w:rsid w:val="00FF1FF7"/>
    <w:rsid w:val="00FF3495"/>
    <w:rsid w:val="00FF3579"/>
    <w:rsid w:val="00FF35A7"/>
    <w:rsid w:val="00FF3682"/>
    <w:rsid w:val="00FF3929"/>
    <w:rsid w:val="00FF3938"/>
    <w:rsid w:val="00FF3B42"/>
    <w:rsid w:val="00FF3B9F"/>
    <w:rsid w:val="00FF3D14"/>
    <w:rsid w:val="00FF42B3"/>
    <w:rsid w:val="00FF44A4"/>
    <w:rsid w:val="00FF486E"/>
    <w:rsid w:val="00FF4D84"/>
    <w:rsid w:val="00FF4E74"/>
    <w:rsid w:val="00FF4F86"/>
    <w:rsid w:val="00FF4FB9"/>
    <w:rsid w:val="00FF52D5"/>
    <w:rsid w:val="00FF539A"/>
    <w:rsid w:val="00FF5AD7"/>
    <w:rsid w:val="00FF6C3B"/>
    <w:rsid w:val="00FF7154"/>
    <w:rsid w:val="00FF7205"/>
    <w:rsid w:val="00FF7211"/>
    <w:rsid w:val="00FF77AF"/>
    <w:rsid w:val="00FF78CA"/>
    <w:rsid w:val="018A1D77"/>
    <w:rsid w:val="01C2647C"/>
    <w:rsid w:val="02AFC3F9"/>
    <w:rsid w:val="02F338C8"/>
    <w:rsid w:val="03A8B7CD"/>
    <w:rsid w:val="0475AE50"/>
    <w:rsid w:val="05A4BBE9"/>
    <w:rsid w:val="0664A46C"/>
    <w:rsid w:val="095DA778"/>
    <w:rsid w:val="09FB3CA8"/>
    <w:rsid w:val="0D6615A9"/>
    <w:rsid w:val="0E52A1A9"/>
    <w:rsid w:val="0EBCCCED"/>
    <w:rsid w:val="119659AD"/>
    <w:rsid w:val="11E95249"/>
    <w:rsid w:val="11F942DA"/>
    <w:rsid w:val="123A4361"/>
    <w:rsid w:val="127E061B"/>
    <w:rsid w:val="13C1E822"/>
    <w:rsid w:val="1443094C"/>
    <w:rsid w:val="15DAD50F"/>
    <w:rsid w:val="16FBB423"/>
    <w:rsid w:val="196F072F"/>
    <w:rsid w:val="1A340A26"/>
    <w:rsid w:val="1A910C11"/>
    <w:rsid w:val="1B26F562"/>
    <w:rsid w:val="1BB801CC"/>
    <w:rsid w:val="1DD587BB"/>
    <w:rsid w:val="1E4BD776"/>
    <w:rsid w:val="1EAAB342"/>
    <w:rsid w:val="20BF42F6"/>
    <w:rsid w:val="20C55C17"/>
    <w:rsid w:val="2142C568"/>
    <w:rsid w:val="22F99115"/>
    <w:rsid w:val="2343B81F"/>
    <w:rsid w:val="2551BED1"/>
    <w:rsid w:val="265A5AC4"/>
    <w:rsid w:val="268FB2C6"/>
    <w:rsid w:val="282B480E"/>
    <w:rsid w:val="2A0E1675"/>
    <w:rsid w:val="2A31651A"/>
    <w:rsid w:val="2C8A34D3"/>
    <w:rsid w:val="31A5C773"/>
    <w:rsid w:val="334D3F95"/>
    <w:rsid w:val="337A552E"/>
    <w:rsid w:val="344CBA3E"/>
    <w:rsid w:val="360408F5"/>
    <w:rsid w:val="373101ED"/>
    <w:rsid w:val="373CCF3B"/>
    <w:rsid w:val="387F8A35"/>
    <w:rsid w:val="391947B1"/>
    <w:rsid w:val="3B7C0232"/>
    <w:rsid w:val="3C0B6EF0"/>
    <w:rsid w:val="3C1439ED"/>
    <w:rsid w:val="3F518B27"/>
    <w:rsid w:val="404ABC1E"/>
    <w:rsid w:val="4387D477"/>
    <w:rsid w:val="459F7D54"/>
    <w:rsid w:val="4607D309"/>
    <w:rsid w:val="46BCD27C"/>
    <w:rsid w:val="4C380189"/>
    <w:rsid w:val="4C7AAEB0"/>
    <w:rsid w:val="4CBE2D93"/>
    <w:rsid w:val="4D2B5103"/>
    <w:rsid w:val="4EC0C016"/>
    <w:rsid w:val="500EF1A7"/>
    <w:rsid w:val="5170BE9F"/>
    <w:rsid w:val="53FD03D3"/>
    <w:rsid w:val="568A89F4"/>
    <w:rsid w:val="5815FD83"/>
    <w:rsid w:val="59481823"/>
    <w:rsid w:val="5B9988AA"/>
    <w:rsid w:val="5C6B1EB3"/>
    <w:rsid w:val="5F210773"/>
    <w:rsid w:val="5FEB85BE"/>
    <w:rsid w:val="6305C6A8"/>
    <w:rsid w:val="6338FE9E"/>
    <w:rsid w:val="6349689D"/>
    <w:rsid w:val="635C9FF8"/>
    <w:rsid w:val="65777E3D"/>
    <w:rsid w:val="658CC815"/>
    <w:rsid w:val="6611F61C"/>
    <w:rsid w:val="6AD52391"/>
    <w:rsid w:val="6DA9C5CB"/>
    <w:rsid w:val="6E54DA66"/>
    <w:rsid w:val="712F01CE"/>
    <w:rsid w:val="71D99DDD"/>
    <w:rsid w:val="737C8272"/>
    <w:rsid w:val="7537419B"/>
    <w:rsid w:val="755BF774"/>
    <w:rsid w:val="776738C8"/>
    <w:rsid w:val="78171D6D"/>
    <w:rsid w:val="7873A8C0"/>
    <w:rsid w:val="78CEAE2C"/>
    <w:rsid w:val="7AED9B58"/>
    <w:rsid w:val="7DDD124E"/>
    <w:rsid w:val="7F4300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3170F"/>
  <w15:docId w15:val="{7EE434CD-5ABE-47E7-AF33-8B2AEBA1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02D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1D2466"/>
    <w:pPr>
      <w:keepNext/>
      <w:spacing w:before="180" w:after="60"/>
      <w:outlineLvl w:val="2"/>
    </w:pPr>
    <w:rPr>
      <w:rFonts w:ascii="Arial" w:hAnsi="Arial" w:cs="Arial"/>
      <w:b/>
      <w:bCs/>
      <w:color w:val="033636" w:themeColor="text1"/>
      <w:szCs w:val="26"/>
      <w:lang w:eastAsia="en-US"/>
    </w:rPr>
  </w:style>
  <w:style w:type="paragraph" w:styleId="Heading4">
    <w:name w:val="heading 4"/>
    <w:next w:val="Normal"/>
    <w:autoRedefine/>
    <w:qFormat/>
    <w:rsid w:val="00B65642"/>
    <w:pPr>
      <w:keepNext/>
      <w:spacing w:before="240" w:after="60"/>
      <w:outlineLvl w:val="3"/>
    </w:pPr>
    <w:rPr>
      <w:rFonts w:ascii="Arial" w:hAnsi="Arial"/>
      <w:b/>
      <w:bCs/>
      <w:i/>
      <w:iCs/>
      <w:color w:val="033636" w:themeColor="text1"/>
      <w:sz w:val="24"/>
      <w:szCs w:val="24"/>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240704"/>
    <w:pPr>
      <w:spacing w:before="192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240704"/>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ListParagraph"/>
    <w:qFormat/>
    <w:rsid w:val="001D2466"/>
    <w:pPr>
      <w:numPr>
        <w:numId w:val="58"/>
      </w:numPr>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1D2466"/>
    <w:pPr>
      <w:keepNext/>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0E02DC"/>
    <w:pPr>
      <w:spacing w:before="0" w:after="0"/>
      <w:contextualSpacing/>
    </w:pPr>
    <w:rPr>
      <w:sz w:val="14"/>
    </w:rPr>
  </w:style>
  <w:style w:type="character" w:customStyle="1" w:styleId="SmalltextChar">
    <w:name w:val="Smalltext Char"/>
    <w:basedOn w:val="DefaultParagraphFont"/>
    <w:link w:val="Smalltext"/>
    <w:rsid w:val="000E02DC"/>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uiPriority w:val="99"/>
    <w:semiHidden/>
    <w:unhideWhenUsed/>
    <w:rsid w:val="00FF7205"/>
    <w:rPr>
      <w:sz w:val="16"/>
      <w:szCs w:val="16"/>
    </w:rPr>
  </w:style>
  <w:style w:type="paragraph" w:styleId="CommentSubject">
    <w:name w:val="annotation subject"/>
    <w:basedOn w:val="CommentText"/>
    <w:next w:val="CommentText"/>
    <w:link w:val="CommentSubjectChar"/>
    <w:semiHidden/>
    <w:unhideWhenUsed/>
    <w:rsid w:val="00FF7205"/>
    <w:rPr>
      <w:b/>
      <w:bCs/>
      <w:szCs w:val="20"/>
    </w:rPr>
  </w:style>
  <w:style w:type="character" w:customStyle="1" w:styleId="CommentSubjectChar">
    <w:name w:val="Comment Subject Char"/>
    <w:basedOn w:val="CommentTextChar"/>
    <w:link w:val="CommentSubject"/>
    <w:semiHidden/>
    <w:rsid w:val="00FF7205"/>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782BE7"/>
    <w:rPr>
      <w:color w:val="605E5C"/>
      <w:shd w:val="clear" w:color="auto" w:fill="E1DFDD"/>
    </w:rPr>
  </w:style>
  <w:style w:type="character" w:styleId="Mention">
    <w:name w:val="Mention"/>
    <w:basedOn w:val="DefaultParagraphFont"/>
    <w:uiPriority w:val="99"/>
    <w:unhideWhenUsed/>
    <w:rsid w:val="00000357"/>
    <w:rPr>
      <w:color w:val="2B579A"/>
      <w:shd w:val="clear" w:color="auto" w:fill="E1DFDD"/>
    </w:rPr>
  </w:style>
  <w:style w:type="paragraph" w:styleId="Revision">
    <w:name w:val="Revision"/>
    <w:hidden/>
    <w:uiPriority w:val="99"/>
    <w:semiHidden/>
    <w:rsid w:val="00681A46"/>
    <w:rPr>
      <w:rFonts w:ascii="Arial" w:hAnsi="Arial"/>
      <w:color w:val="033636" w:themeColor="text1"/>
      <w:szCs w:val="24"/>
      <w:lang w:eastAsia="en-US"/>
    </w:rPr>
  </w:style>
  <w:style w:type="paragraph" w:customStyle="1" w:styleId="EndNoteBibliographyTitle">
    <w:name w:val="EndNote Bibliography Title"/>
    <w:basedOn w:val="Normal"/>
    <w:link w:val="EndNoteBibliographyTitleChar"/>
    <w:rsid w:val="008742D9"/>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8742D9"/>
    <w:rPr>
      <w:rFonts w:ascii="Arial" w:hAnsi="Arial" w:cs="Arial"/>
      <w:noProof/>
      <w:color w:val="033636" w:themeColor="text1"/>
      <w:szCs w:val="24"/>
      <w:lang w:val="en-US" w:eastAsia="en-US"/>
    </w:rPr>
  </w:style>
  <w:style w:type="paragraph" w:customStyle="1" w:styleId="EndNoteBibliography">
    <w:name w:val="EndNote Bibliography"/>
    <w:basedOn w:val="Normal"/>
    <w:link w:val="EndNoteBibliographyChar"/>
    <w:rsid w:val="008742D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8742D9"/>
    <w:rPr>
      <w:rFonts w:ascii="Arial" w:hAnsi="Arial" w:cs="Arial"/>
      <w:noProof/>
      <w:color w:val="033636" w:themeColor="text1"/>
      <w:szCs w:val="24"/>
      <w:lang w:val="en-US" w:eastAsia="en-US"/>
    </w:rPr>
  </w:style>
  <w:style w:type="paragraph" w:customStyle="1" w:styleId="Copyrightversotext">
    <w:name w:val="Copyright_verso text"/>
    <w:qFormat/>
    <w:rsid w:val="005C4F73"/>
    <w:pPr>
      <w:spacing w:before="120" w:after="120" w:line="276" w:lineRule="auto"/>
    </w:pPr>
    <w:rPr>
      <w:rFonts w:ascii="Arial" w:hAnsi="Arial" w:cs="Arial"/>
      <w:color w:val="000000"/>
      <w:sz w:val="18"/>
      <w:szCs w:val="18"/>
      <w:lang w:eastAsia="en-GB"/>
    </w:rPr>
  </w:style>
  <w:style w:type="paragraph" w:styleId="TOCHeading">
    <w:name w:val="TOC Heading"/>
    <w:basedOn w:val="Heading1"/>
    <w:next w:val="Normal"/>
    <w:uiPriority w:val="39"/>
    <w:unhideWhenUsed/>
    <w:qFormat/>
    <w:rsid w:val="007719D3"/>
    <w:pPr>
      <w:keepLines/>
      <w:pBdr>
        <w:bottom w:val="none" w:sz="0" w:space="0" w:color="auto"/>
      </w:pBdr>
      <w:spacing w:after="0" w:line="259" w:lineRule="auto"/>
      <w:outlineLvl w:val="9"/>
    </w:pPr>
    <w:rPr>
      <w:rFonts w:asciiTheme="majorHAnsi" w:eastAsiaTheme="majorEastAsia" w:hAnsiTheme="majorHAnsi" w:cstheme="majorBidi"/>
      <w:b w:val="0"/>
      <w:bCs w:val="0"/>
      <w:color w:val="062E74" w:themeColor="accent1" w:themeShade="BF"/>
      <w:kern w:val="0"/>
      <w:sz w:val="32"/>
      <w:szCs w:val="32"/>
      <w:lang w:val="en-US"/>
    </w:rPr>
  </w:style>
  <w:style w:type="paragraph" w:styleId="TOC1">
    <w:name w:val="toc 1"/>
    <w:basedOn w:val="Normal"/>
    <w:next w:val="Normal"/>
    <w:autoRedefine/>
    <w:uiPriority w:val="39"/>
    <w:unhideWhenUsed/>
    <w:rsid w:val="007719D3"/>
    <w:pPr>
      <w:spacing w:after="100"/>
    </w:pPr>
  </w:style>
  <w:style w:type="paragraph" w:styleId="TOC3">
    <w:name w:val="toc 3"/>
    <w:basedOn w:val="Normal"/>
    <w:next w:val="Normal"/>
    <w:autoRedefine/>
    <w:uiPriority w:val="39"/>
    <w:unhideWhenUsed/>
    <w:rsid w:val="007719D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5813">
      <w:bodyDiv w:val="1"/>
      <w:marLeft w:val="0"/>
      <w:marRight w:val="0"/>
      <w:marTop w:val="0"/>
      <w:marBottom w:val="0"/>
      <w:divBdr>
        <w:top w:val="none" w:sz="0" w:space="0" w:color="auto"/>
        <w:left w:val="none" w:sz="0" w:space="0" w:color="auto"/>
        <w:bottom w:val="none" w:sz="0" w:space="0" w:color="auto"/>
        <w:right w:val="none" w:sz="0" w:space="0" w:color="auto"/>
      </w:divBdr>
    </w:div>
    <w:div w:id="32028069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5171714">
      <w:bodyDiv w:val="1"/>
      <w:marLeft w:val="0"/>
      <w:marRight w:val="0"/>
      <w:marTop w:val="0"/>
      <w:marBottom w:val="0"/>
      <w:divBdr>
        <w:top w:val="none" w:sz="0" w:space="0" w:color="auto"/>
        <w:left w:val="none" w:sz="0" w:space="0" w:color="auto"/>
        <w:bottom w:val="none" w:sz="0" w:space="0" w:color="auto"/>
        <w:right w:val="none" w:sz="0" w:space="0" w:color="auto"/>
      </w:divBdr>
    </w:div>
    <w:div w:id="45602901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2426524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3118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svgz"/><Relationship Id="rId42" Type="http://schemas.openxmlformats.org/officeDocument/2006/relationships/image" Target="media/image25.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yperlink" Target="https://www.abs.gov.au/statistics/people/population/national-state-and-territory-population/jun-2024" TargetMode="External"/><Relationship Id="rId68" Type="http://schemas.openxmlformats.org/officeDocument/2006/relationships/hyperlink" Target="https://www.abs.gov.au/methodologies/provisional-mortality-statistics-methodology" TargetMode="External"/><Relationship Id="rId76" Type="http://schemas.openxmlformats.org/officeDocument/2006/relationships/hyperlink" Target="https://www.cdgn.org.au/austrakka" TargetMode="External"/><Relationship Id="rId84" Type="http://schemas.openxmlformats.org/officeDocument/2006/relationships/hyperlink" Target="https://doi.org/10.1016/S1473-3099(24)00415-8" TargetMode="External"/><Relationship Id="rId89" Type="http://schemas.openxmlformats.org/officeDocument/2006/relationships/hyperlink" Target="https://doi.org/10.1016/S2666-5247(24)00066-1"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info.flutracking.net/methods/" TargetMode="External"/><Relationship Id="rId92" Type="http://schemas.openxmlformats.org/officeDocument/2006/relationships/hyperlink" Target="https://www.health.gov.au/topics/immunisation/vaccines/respiratory-syncytial-virus-rsv-vaccin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respiratory.surveillance@health.gov.au" TargetMode="External"/><Relationship Id="rId24" Type="http://schemas.openxmlformats.org/officeDocument/2006/relationships/image" Target="media/image12.png"/><Relationship Id="rId32" Type="http://schemas.openxmlformats.org/officeDocument/2006/relationships/image" Target="media/image20.svgz"/><Relationship Id="rId37" Type="http://schemas.openxmlformats.org/officeDocument/2006/relationships/hyperlink" Target="https://www.health.gov.au/resources/publications/australian-national-disease-surveillance-plan-for-covid-19-influenza-and-rsv" TargetMode="External"/><Relationship Id="rId40" Type="http://schemas.openxmlformats.org/officeDocument/2006/relationships/hyperlink" Target="https://paeds.org.au/respiratory-syncytial-virus-rsv/paediatric-rsv-australia" TargetMode="External"/><Relationship Id="rId45" Type="http://schemas.openxmlformats.org/officeDocument/2006/relationships/image" Target="media/image28.svgz"/><Relationship Id="rId53" Type="http://schemas.openxmlformats.org/officeDocument/2006/relationships/image" Target="media/image35.png"/><Relationship Id="rId58" Type="http://schemas.openxmlformats.org/officeDocument/2006/relationships/image" Target="media/image40.svg"/><Relationship Id="rId66" Type="http://schemas.openxmlformats.org/officeDocument/2006/relationships/hyperlink" Target="https://www.health.gov.au/resources/collections/cdna-surveillance-case-definitions" TargetMode="External"/><Relationship Id="rId74" Type="http://schemas.openxmlformats.org/officeDocument/2006/relationships/hyperlink" Target="https://doi.org/10.5694/mja2.50988" TargetMode="External"/><Relationship Id="rId79" Type="http://schemas.openxmlformats.org/officeDocument/2006/relationships/hyperlink" Target="https://www.who.int/initiatives/global-influenza-surveillance-and-response-system/who-collaboration-center-erl" TargetMode="External"/><Relationship Id="rId87" Type="http://schemas.openxmlformats.org/officeDocument/2006/relationships/hyperlink" Target="https://www.health.gov.au/resources/publications/aisr-2020-national-influenza-season-summary" TargetMode="External"/><Relationship Id="rId5" Type="http://schemas.openxmlformats.org/officeDocument/2006/relationships/numbering" Target="numbering.xml"/><Relationship Id="rId61" Type="http://schemas.openxmlformats.org/officeDocument/2006/relationships/hyperlink" Target="https://www.legislation.gov.au/F2018L00450" TargetMode="External"/><Relationship Id="rId82" Type="http://schemas.openxmlformats.org/officeDocument/2006/relationships/hyperlink" Target="https://doi.org/10.1016/j.jiph.2024.102620" TargetMode="External"/><Relationship Id="rId90" Type="http://schemas.openxmlformats.org/officeDocument/2006/relationships/hyperlink" Target="https://www.health.gov.au/our-work/covid-19-vaccines" TargetMode="External"/><Relationship Id="rId95" Type="http://schemas.openxmlformats.org/officeDocument/2006/relationships/hyperlink" Target="https://www.health.gov.au/resources/publications/aisr-2019-national-influenza-season-summary"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svgz"/><Relationship Id="rId27" Type="http://schemas.openxmlformats.org/officeDocument/2006/relationships/image" Target="media/image15.svgz"/><Relationship Id="rId30" Type="http://schemas.openxmlformats.org/officeDocument/2006/relationships/image" Target="media/image18.svgz"/><Relationship Id="rId35" Type="http://schemas.openxmlformats.org/officeDocument/2006/relationships/image" Target="media/image23.png"/><Relationship Id="rId43" Type="http://schemas.openxmlformats.org/officeDocument/2006/relationships/image" Target="media/image26.svgz"/><Relationship Id="rId48" Type="http://schemas.openxmlformats.org/officeDocument/2006/relationships/image" Target="media/image31.png"/><Relationship Id="rId56" Type="http://schemas.openxmlformats.org/officeDocument/2006/relationships/image" Target="media/image38.svg"/><Relationship Id="rId64" Type="http://schemas.openxmlformats.org/officeDocument/2006/relationships/hyperlink" Target="https://meteor.aihw.gov.au/content/602543" TargetMode="External"/><Relationship Id="rId69" Type="http://schemas.openxmlformats.org/officeDocument/2006/relationships/hyperlink" Target="https://ncirs.org.au/health-professionals/history-immunisation-australia" TargetMode="External"/><Relationship Id="rId77" Type="http://schemas.openxmlformats.org/officeDocument/2006/relationships/hyperlink" Target="https://doi.org/10.1038/s41564-020-0770-5"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svgz"/><Relationship Id="rId72" Type="http://schemas.openxmlformats.org/officeDocument/2006/relationships/hyperlink" Target="https://www.who.int/teams/global-influenza-programme/surveillance-and-monitoring/case-definitions-for-ili-and-sari" TargetMode="External"/><Relationship Id="rId80" Type="http://schemas.openxmlformats.org/officeDocument/2006/relationships/hyperlink" Target="https://doi.org/10.1128/mbio.01426-23" TargetMode="External"/><Relationship Id="rId85" Type="http://schemas.openxmlformats.org/officeDocument/2006/relationships/hyperlink" Target="https://doi.org/10.1016/S1473-3099(24)00505-X" TargetMode="External"/><Relationship Id="rId93" Type="http://schemas.openxmlformats.org/officeDocument/2006/relationships/hyperlink" Target="https://doi.org/10.3390/vaccines10050714" TargetMode="External"/><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opyright@health.gov.au" TargetMode="External"/><Relationship Id="rId17" Type="http://schemas.openxmlformats.org/officeDocument/2006/relationships/image" Target="media/image5.svgz"/><Relationship Id="rId25" Type="http://schemas.openxmlformats.org/officeDocument/2006/relationships/image" Target="media/image13.svgz"/><Relationship Id="rId33" Type="http://schemas.openxmlformats.org/officeDocument/2006/relationships/image" Target="media/image21.png"/><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9.png"/><Relationship Id="rId59" Type="http://schemas.openxmlformats.org/officeDocument/2006/relationships/hyperlink" Target="https://www.health.gov.au/resources/publications/australian-national-disease-surveillance-plan-for-covid-19-influenza-and-rsv" TargetMode="External"/><Relationship Id="rId67" Type="http://schemas.openxmlformats.org/officeDocument/2006/relationships/hyperlink" Target="https://www.abs.gov.au/articles/deaths-due-covid-19-influenza-and-rsv-australia-2022-january-2025" TargetMode="External"/><Relationship Id="rId20" Type="http://schemas.openxmlformats.org/officeDocument/2006/relationships/image" Target="media/image8.svgz"/><Relationship Id="rId41" Type="http://schemas.openxmlformats.org/officeDocument/2006/relationships/hyperlink" Target="https://paeds.org.au/" TargetMode="External"/><Relationship Id="rId54" Type="http://schemas.openxmlformats.org/officeDocument/2006/relationships/image" Target="media/image36.svgz"/><Relationship Id="rId62" Type="http://schemas.openxmlformats.org/officeDocument/2006/relationships/hyperlink" Target="https://www.health.gov.au/resources/publications/national-health-security-agreement" TargetMode="External"/><Relationship Id="rId70" Type="http://schemas.openxmlformats.org/officeDocument/2006/relationships/hyperlink" Target="https://doi.org/10.33321/cdi.2023.47.14" TargetMode="External"/><Relationship Id="rId75" Type="http://schemas.openxmlformats.org/officeDocument/2006/relationships/hyperlink" Target="https://www.who.int/initiatives/global-influenza-surveillance-and-response-system/national-influenza-centres" TargetMode="External"/><Relationship Id="rId83" Type="http://schemas.openxmlformats.org/officeDocument/2006/relationships/hyperlink" Target="https://www.abs.gov.au/articles/deaths-due-covid-19-influenza-and-rsv-australia-2022-november-2024" TargetMode="External"/><Relationship Id="rId88" Type="http://schemas.openxmlformats.org/officeDocument/2006/relationships/hyperlink" Target="https://doi.org/10.1038/s41541-024-01010-y" TargetMode="External"/><Relationship Id="rId91" Type="http://schemas.openxmlformats.org/officeDocument/2006/relationships/hyperlink" Target="https://www.health.gov.au/topics/immunisation/vaccines/influenza-flu-vaccine" TargetMode="External"/><Relationship Id="rId96" Type="http://schemas.openxmlformats.org/officeDocument/2006/relationships/hyperlink" Target="https://www.health.gov.au/resources/publications/aisr-2023-national-influenza-season-summa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z"/><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svgz"/><Relationship Id="rId49" Type="http://schemas.openxmlformats.org/officeDocument/2006/relationships/image" Target="media/image32.svgz"/><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hyperlink" Target="https://www.abs.gov.au/articles/deaths-due-covid-19-influenza-and-rsv-australia-2022-january-2025" TargetMode="External"/><Relationship Id="rId60" Type="http://schemas.openxmlformats.org/officeDocument/2006/relationships/hyperlink" Target="https://www.legislation.gov.au/C2007A00174" TargetMode="External"/><Relationship Id="rId65" Type="http://schemas.openxmlformats.org/officeDocument/2006/relationships/hyperlink" Target="https://www.lowitja.org.au/resource/deficit-discourse-strengths-based/" TargetMode="External"/><Relationship Id="rId73" Type="http://schemas.openxmlformats.org/officeDocument/2006/relationships/hyperlink" Target="https://www.monash.edu/medicine/sphpm/anzicrc/research/sprint-sari" TargetMode="External"/><Relationship Id="rId78" Type="http://schemas.openxmlformats.org/officeDocument/2006/relationships/hyperlink" Target="https://www.who.int/activities/tracking-SARS-CoV-2-variants" TargetMode="External"/><Relationship Id="rId81" Type="http://schemas.openxmlformats.org/officeDocument/2006/relationships/hyperlink" Target="https://nindss.health.gov.au/pbi-dashboard/" TargetMode="External"/><Relationship Id="rId86" Type="http://schemas.openxmlformats.org/officeDocument/2006/relationships/hyperlink" Target="https://www.who.int/docs/default-source/coronaviruse/09122024_xec_ire.pdf" TargetMode="External"/><Relationship Id="rId94" Type="http://schemas.openxmlformats.org/officeDocument/2006/relationships/hyperlink" Target="https://www.health.gov.au/resources/publications/aisr-2022-national-influenza-season-summary"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health.gov.au/resources/publications/atagi-statement-on-the-administration-of-seasonal-influenza-vaccines-in-202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F886998A-A647-4666-A216-DFB221558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D5A8E-CE75-4E6C-8FAD-6B576A0B8215}">
  <ds:schemaRefs>
    <ds:schemaRef ds:uri="http://schemas.openxmlformats.org/officeDocument/2006/bibliography"/>
  </ds:schemaRefs>
</ds:datastoreItem>
</file>

<file path=customXml/itemProps3.xml><?xml version="1.0" encoding="utf-8"?>
<ds:datastoreItem xmlns:ds="http://schemas.openxmlformats.org/officeDocument/2006/customXml" ds:itemID="{4DB21985-B0BE-4DAA-901C-434BCE002F8D}">
  <ds:schemaRefs>
    <ds:schemaRef ds:uri="http://schemas.microsoft.com/sharepoint/v3/contenttype/forms"/>
  </ds:schemaRefs>
</ds:datastoreItem>
</file>

<file path=customXml/itemProps4.xml><?xml version="1.0" encoding="utf-8"?>
<ds:datastoreItem xmlns:ds="http://schemas.openxmlformats.org/officeDocument/2006/customXml" ds:itemID="{A3FA23CF-393F-49B8-BF44-39348712F59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47</Pages>
  <Words>27597</Words>
  <Characters>157303</Characters>
  <Application>Microsoft Office Word</Application>
  <DocSecurity>0</DocSecurity>
  <Lines>1310</Lines>
  <Paragraphs>369</Paragraphs>
  <ScaleCrop>false</ScaleCrop>
  <Company/>
  <LinksUpToDate>false</LinksUpToDate>
  <CharactersWithSpaces>184531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Annual Australian Respiratory Surveillance Report</dc:title>
  <dc:subject/>
  <dc:creator/>
  <cp:keywords/>
  <cp:lastModifiedBy>MASCHKE, Elvia</cp:lastModifiedBy>
  <cp:revision>4201</cp:revision>
  <dcterms:created xsi:type="dcterms:W3CDTF">2025-03-12T01:29:00Z</dcterms:created>
  <dcterms:modified xsi:type="dcterms:W3CDTF">2025-04-08T05:08:00Z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