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EF7E8" w14:textId="3C98AC14" w:rsidR="00B15CB7" w:rsidRDefault="001E1B49" w:rsidP="00D92559">
      <w:pPr>
        <w:pStyle w:val="Title"/>
      </w:pPr>
      <w:r>
        <w:t xml:space="preserve">The Aged Care On-site Pharmacist Measure </w:t>
      </w:r>
    </w:p>
    <w:p w14:paraId="70B2EC53" w14:textId="542459ED" w:rsidR="00B15CB7" w:rsidRPr="00B15CB7" w:rsidRDefault="001E1B49" w:rsidP="00B15CB7">
      <w:pPr>
        <w:pStyle w:val="Subtitle"/>
        <w:rPr>
          <w:b/>
        </w:rPr>
      </w:pPr>
      <w:bookmarkStart w:id="0" w:name="_Hlk187233835"/>
      <w:r>
        <w:rPr>
          <w:bCs/>
        </w:rPr>
        <w:t>Primary Health Network</w:t>
      </w:r>
      <w:r w:rsidR="00966132">
        <w:rPr>
          <w:bCs/>
        </w:rPr>
        <w:t xml:space="preserve"> </w:t>
      </w:r>
      <w:r w:rsidR="00966132" w:rsidRPr="00966132">
        <w:rPr>
          <w:bCs/>
        </w:rPr>
        <w:t>– Residential Aged Care Home Support Grant Program</w:t>
      </w:r>
      <w:r>
        <w:rPr>
          <w:bCs/>
        </w:rPr>
        <w:t xml:space="preserve"> Guide</w:t>
      </w:r>
    </w:p>
    <w:bookmarkEnd w:id="0"/>
    <w:p w14:paraId="7A8D0BAB" w14:textId="1B211461" w:rsidR="00CA79CF" w:rsidRDefault="00B15CB7" w:rsidP="00CA79CF">
      <w:pPr>
        <w:pStyle w:val="Subtitle"/>
        <w:sectPr w:rsidR="00CA79CF" w:rsidSect="00CA79CF">
          <w:headerReference w:type="default" r:id="rId11"/>
          <w:headerReference w:type="first" r:id="rId12"/>
          <w:type w:val="continuous"/>
          <w:pgSz w:w="11906" w:h="16838"/>
          <w:pgMar w:top="1701" w:right="1418" w:bottom="1418" w:left="1418" w:header="709" w:footer="709" w:gutter="0"/>
          <w:cols w:space="708"/>
          <w:titlePg/>
          <w:docGrid w:linePitch="360"/>
        </w:sectPr>
      </w:pPr>
      <w:r>
        <w:t xml:space="preserve"> </w:t>
      </w:r>
    </w:p>
    <w:sdt>
      <w:sdtPr>
        <w:rPr>
          <w:rFonts w:ascii="Arial" w:eastAsia="Times New Roman" w:hAnsi="Arial" w:cs="Times New Roman"/>
          <w:b w:val="0"/>
          <w:color w:val="000000" w:themeColor="text1"/>
          <w:sz w:val="22"/>
          <w:szCs w:val="24"/>
          <w:lang w:val="en-AU"/>
        </w:rPr>
        <w:id w:val="1371735110"/>
        <w:docPartObj>
          <w:docPartGallery w:val="Table of Contents"/>
          <w:docPartUnique/>
        </w:docPartObj>
      </w:sdtPr>
      <w:sdtEndPr/>
      <w:sdtContent>
        <w:p w14:paraId="7B11A8C1" w14:textId="31D08DF0" w:rsidR="007A750C" w:rsidRDefault="007A750C">
          <w:pPr>
            <w:pStyle w:val="TOCHeading"/>
          </w:pPr>
          <w:r>
            <w:t>Contents</w:t>
          </w:r>
        </w:p>
        <w:p w14:paraId="1A26DCD4" w14:textId="677F8339" w:rsidR="000851E0" w:rsidRDefault="007A750C">
          <w:pPr>
            <w:pStyle w:val="TOC1"/>
            <w:rPr>
              <w:rFonts w:asciiTheme="minorHAnsi" w:eastAsiaTheme="minorEastAsia" w:hAnsiTheme="minorHAnsi" w:cstheme="minorBidi"/>
              <w:noProof/>
              <w:lang w:eastAsia="en-AU"/>
            </w:rPr>
          </w:pPr>
          <w:r>
            <w:fldChar w:fldCharType="begin"/>
          </w:r>
          <w:r>
            <w:instrText xml:space="preserve"> TOC \o "1-3" \h \z \u </w:instrText>
          </w:r>
          <w:r>
            <w:fldChar w:fldCharType="separate"/>
          </w:r>
          <w:hyperlink w:anchor="_Toc194492183" w:history="1">
            <w:r w:rsidR="000851E0" w:rsidRPr="00F2294D">
              <w:rPr>
                <w:rStyle w:val="Hyperlink"/>
                <w:noProof/>
              </w:rPr>
              <w:t>Introduction</w:t>
            </w:r>
            <w:r w:rsidR="000851E0">
              <w:rPr>
                <w:noProof/>
                <w:webHidden/>
              </w:rPr>
              <w:tab/>
            </w:r>
            <w:r w:rsidR="000851E0">
              <w:rPr>
                <w:noProof/>
                <w:webHidden/>
              </w:rPr>
              <w:fldChar w:fldCharType="begin"/>
            </w:r>
            <w:r w:rsidR="000851E0">
              <w:rPr>
                <w:noProof/>
                <w:webHidden/>
              </w:rPr>
              <w:instrText xml:space="preserve"> PAGEREF _Toc194492183 \h </w:instrText>
            </w:r>
            <w:r w:rsidR="000851E0">
              <w:rPr>
                <w:noProof/>
                <w:webHidden/>
              </w:rPr>
            </w:r>
            <w:r w:rsidR="000851E0">
              <w:rPr>
                <w:noProof/>
                <w:webHidden/>
              </w:rPr>
              <w:fldChar w:fldCharType="separate"/>
            </w:r>
            <w:r w:rsidR="000851E0">
              <w:rPr>
                <w:noProof/>
                <w:webHidden/>
              </w:rPr>
              <w:t>3</w:t>
            </w:r>
            <w:r w:rsidR="000851E0">
              <w:rPr>
                <w:noProof/>
                <w:webHidden/>
              </w:rPr>
              <w:fldChar w:fldCharType="end"/>
            </w:r>
          </w:hyperlink>
        </w:p>
        <w:p w14:paraId="5FF274F9" w14:textId="2799205D" w:rsidR="000851E0" w:rsidRDefault="000851E0">
          <w:pPr>
            <w:pStyle w:val="TOC1"/>
            <w:rPr>
              <w:rFonts w:asciiTheme="minorHAnsi" w:eastAsiaTheme="minorEastAsia" w:hAnsiTheme="minorHAnsi" w:cstheme="minorBidi"/>
              <w:noProof/>
              <w:lang w:eastAsia="en-AU"/>
            </w:rPr>
          </w:pPr>
          <w:hyperlink w:anchor="_Toc194492184" w:history="1">
            <w:r w:rsidRPr="00F2294D">
              <w:rPr>
                <w:rStyle w:val="Hyperlink"/>
                <w:noProof/>
              </w:rPr>
              <w:t>Background</w:t>
            </w:r>
            <w:r>
              <w:rPr>
                <w:noProof/>
                <w:webHidden/>
              </w:rPr>
              <w:tab/>
            </w:r>
            <w:r>
              <w:rPr>
                <w:noProof/>
                <w:webHidden/>
              </w:rPr>
              <w:fldChar w:fldCharType="begin"/>
            </w:r>
            <w:r>
              <w:rPr>
                <w:noProof/>
                <w:webHidden/>
              </w:rPr>
              <w:instrText xml:space="preserve"> PAGEREF _Toc194492184 \h </w:instrText>
            </w:r>
            <w:r>
              <w:rPr>
                <w:noProof/>
                <w:webHidden/>
              </w:rPr>
            </w:r>
            <w:r>
              <w:rPr>
                <w:noProof/>
                <w:webHidden/>
              </w:rPr>
              <w:fldChar w:fldCharType="separate"/>
            </w:r>
            <w:r>
              <w:rPr>
                <w:noProof/>
                <w:webHidden/>
              </w:rPr>
              <w:t>3</w:t>
            </w:r>
            <w:r>
              <w:rPr>
                <w:noProof/>
                <w:webHidden/>
              </w:rPr>
              <w:fldChar w:fldCharType="end"/>
            </w:r>
          </w:hyperlink>
        </w:p>
        <w:p w14:paraId="737E6AFE" w14:textId="3093272E" w:rsidR="000851E0" w:rsidRDefault="000851E0">
          <w:pPr>
            <w:pStyle w:val="TOC1"/>
            <w:tabs>
              <w:tab w:val="left" w:pos="720"/>
            </w:tabs>
            <w:rPr>
              <w:rFonts w:asciiTheme="minorHAnsi" w:eastAsiaTheme="minorEastAsia" w:hAnsiTheme="minorHAnsi" w:cstheme="minorBidi"/>
              <w:noProof/>
              <w:lang w:eastAsia="en-AU"/>
            </w:rPr>
          </w:pPr>
          <w:hyperlink w:anchor="_Toc194492185" w:history="1">
            <w:r w:rsidRPr="00F2294D">
              <w:rPr>
                <w:rStyle w:val="Hyperlink"/>
                <w:noProof/>
              </w:rPr>
              <w:t>1</w:t>
            </w:r>
            <w:r>
              <w:rPr>
                <w:rFonts w:asciiTheme="minorHAnsi" w:eastAsiaTheme="minorEastAsia" w:hAnsiTheme="minorHAnsi" w:cstheme="minorBidi"/>
                <w:noProof/>
                <w:lang w:eastAsia="en-AU"/>
              </w:rPr>
              <w:tab/>
            </w:r>
            <w:r w:rsidRPr="00F2294D">
              <w:rPr>
                <w:rStyle w:val="Hyperlink"/>
                <w:noProof/>
              </w:rPr>
              <w:t>Role of PHNs</w:t>
            </w:r>
            <w:r>
              <w:rPr>
                <w:noProof/>
                <w:webHidden/>
              </w:rPr>
              <w:tab/>
            </w:r>
            <w:r>
              <w:rPr>
                <w:noProof/>
                <w:webHidden/>
              </w:rPr>
              <w:fldChar w:fldCharType="begin"/>
            </w:r>
            <w:r>
              <w:rPr>
                <w:noProof/>
                <w:webHidden/>
              </w:rPr>
              <w:instrText xml:space="preserve"> PAGEREF _Toc194492185 \h </w:instrText>
            </w:r>
            <w:r>
              <w:rPr>
                <w:noProof/>
                <w:webHidden/>
              </w:rPr>
            </w:r>
            <w:r>
              <w:rPr>
                <w:noProof/>
                <w:webHidden/>
              </w:rPr>
              <w:fldChar w:fldCharType="separate"/>
            </w:r>
            <w:r>
              <w:rPr>
                <w:noProof/>
                <w:webHidden/>
              </w:rPr>
              <w:t>4</w:t>
            </w:r>
            <w:r>
              <w:rPr>
                <w:noProof/>
                <w:webHidden/>
              </w:rPr>
              <w:fldChar w:fldCharType="end"/>
            </w:r>
          </w:hyperlink>
        </w:p>
        <w:p w14:paraId="53DB79C0" w14:textId="3A4D9CDD" w:rsidR="000851E0" w:rsidRDefault="000851E0">
          <w:pPr>
            <w:pStyle w:val="TOC1"/>
            <w:tabs>
              <w:tab w:val="left" w:pos="720"/>
            </w:tabs>
            <w:rPr>
              <w:rFonts w:asciiTheme="minorHAnsi" w:eastAsiaTheme="minorEastAsia" w:hAnsiTheme="minorHAnsi" w:cstheme="minorBidi"/>
              <w:noProof/>
              <w:lang w:eastAsia="en-AU"/>
            </w:rPr>
          </w:pPr>
          <w:hyperlink w:anchor="_Toc194492186" w:history="1">
            <w:r w:rsidRPr="00F2294D">
              <w:rPr>
                <w:rStyle w:val="Hyperlink"/>
                <w:noProof/>
              </w:rPr>
              <w:t>2</w:t>
            </w:r>
            <w:r>
              <w:rPr>
                <w:rFonts w:asciiTheme="minorHAnsi" w:eastAsiaTheme="minorEastAsia" w:hAnsiTheme="minorHAnsi" w:cstheme="minorBidi"/>
                <w:noProof/>
                <w:lang w:eastAsia="en-AU"/>
              </w:rPr>
              <w:tab/>
            </w:r>
            <w:r w:rsidRPr="00F2294D">
              <w:rPr>
                <w:rStyle w:val="Hyperlink"/>
                <w:noProof/>
              </w:rPr>
              <w:t>Overview of the Aged Care On-site Pharmacist Measure</w:t>
            </w:r>
            <w:r>
              <w:rPr>
                <w:noProof/>
                <w:webHidden/>
              </w:rPr>
              <w:tab/>
            </w:r>
            <w:r>
              <w:rPr>
                <w:noProof/>
                <w:webHidden/>
              </w:rPr>
              <w:fldChar w:fldCharType="begin"/>
            </w:r>
            <w:r>
              <w:rPr>
                <w:noProof/>
                <w:webHidden/>
              </w:rPr>
              <w:instrText xml:space="preserve"> PAGEREF _Toc194492186 \h </w:instrText>
            </w:r>
            <w:r>
              <w:rPr>
                <w:noProof/>
                <w:webHidden/>
              </w:rPr>
            </w:r>
            <w:r>
              <w:rPr>
                <w:noProof/>
                <w:webHidden/>
              </w:rPr>
              <w:fldChar w:fldCharType="separate"/>
            </w:r>
            <w:r>
              <w:rPr>
                <w:noProof/>
                <w:webHidden/>
              </w:rPr>
              <w:t>5</w:t>
            </w:r>
            <w:r>
              <w:rPr>
                <w:noProof/>
                <w:webHidden/>
              </w:rPr>
              <w:fldChar w:fldCharType="end"/>
            </w:r>
          </w:hyperlink>
        </w:p>
        <w:p w14:paraId="25DA8EBF" w14:textId="547BE158" w:rsidR="000851E0" w:rsidRDefault="000851E0">
          <w:pPr>
            <w:pStyle w:val="TOC2"/>
            <w:tabs>
              <w:tab w:val="left" w:pos="1320"/>
            </w:tabs>
            <w:rPr>
              <w:rFonts w:asciiTheme="minorHAnsi" w:eastAsiaTheme="minorEastAsia" w:hAnsiTheme="minorHAnsi" w:cstheme="minorBidi"/>
              <w:noProof/>
              <w:lang w:eastAsia="en-AU"/>
            </w:rPr>
          </w:pPr>
          <w:hyperlink w:anchor="_Toc194492187" w:history="1">
            <w:r w:rsidRPr="00F2294D">
              <w:rPr>
                <w:rStyle w:val="Hyperlink"/>
                <w:noProof/>
              </w:rPr>
              <w:t>2.1</w:t>
            </w:r>
            <w:r>
              <w:rPr>
                <w:rFonts w:asciiTheme="minorHAnsi" w:eastAsiaTheme="minorEastAsia" w:hAnsiTheme="minorHAnsi" w:cstheme="minorBidi"/>
                <w:noProof/>
                <w:lang w:eastAsia="en-AU"/>
              </w:rPr>
              <w:tab/>
            </w:r>
            <w:r w:rsidRPr="00F2294D">
              <w:rPr>
                <w:rStyle w:val="Hyperlink"/>
                <w:noProof/>
              </w:rPr>
              <w:t>Measure Administration and Payments</w:t>
            </w:r>
            <w:r>
              <w:rPr>
                <w:noProof/>
                <w:webHidden/>
              </w:rPr>
              <w:tab/>
            </w:r>
            <w:r>
              <w:rPr>
                <w:noProof/>
                <w:webHidden/>
              </w:rPr>
              <w:fldChar w:fldCharType="begin"/>
            </w:r>
            <w:r>
              <w:rPr>
                <w:noProof/>
                <w:webHidden/>
              </w:rPr>
              <w:instrText xml:space="preserve"> PAGEREF _Toc194492187 \h </w:instrText>
            </w:r>
            <w:r>
              <w:rPr>
                <w:noProof/>
                <w:webHidden/>
              </w:rPr>
            </w:r>
            <w:r>
              <w:rPr>
                <w:noProof/>
                <w:webHidden/>
              </w:rPr>
              <w:fldChar w:fldCharType="separate"/>
            </w:r>
            <w:r>
              <w:rPr>
                <w:noProof/>
                <w:webHidden/>
              </w:rPr>
              <w:t>5</w:t>
            </w:r>
            <w:r>
              <w:rPr>
                <w:noProof/>
                <w:webHidden/>
              </w:rPr>
              <w:fldChar w:fldCharType="end"/>
            </w:r>
          </w:hyperlink>
        </w:p>
        <w:p w14:paraId="4CA3009D" w14:textId="1960B02B" w:rsidR="000851E0" w:rsidRDefault="000851E0">
          <w:pPr>
            <w:pStyle w:val="TOC2"/>
            <w:tabs>
              <w:tab w:val="left" w:pos="1320"/>
            </w:tabs>
            <w:rPr>
              <w:rFonts w:asciiTheme="minorHAnsi" w:eastAsiaTheme="minorEastAsia" w:hAnsiTheme="minorHAnsi" w:cstheme="minorBidi"/>
              <w:noProof/>
              <w:lang w:eastAsia="en-AU"/>
            </w:rPr>
          </w:pPr>
          <w:hyperlink w:anchor="_Toc194492188" w:history="1">
            <w:r w:rsidRPr="00F2294D">
              <w:rPr>
                <w:rStyle w:val="Hyperlink"/>
                <w:noProof/>
              </w:rPr>
              <w:t>2.2</w:t>
            </w:r>
            <w:r>
              <w:rPr>
                <w:rFonts w:asciiTheme="minorHAnsi" w:eastAsiaTheme="minorEastAsia" w:hAnsiTheme="minorHAnsi" w:cstheme="minorBidi"/>
                <w:noProof/>
                <w:lang w:eastAsia="en-AU"/>
              </w:rPr>
              <w:tab/>
            </w:r>
            <w:r w:rsidRPr="00F2294D">
              <w:rPr>
                <w:rStyle w:val="Hyperlink"/>
                <w:noProof/>
              </w:rPr>
              <w:t>Residential Aged Care Homes accessing an ACOP</w:t>
            </w:r>
            <w:r>
              <w:rPr>
                <w:noProof/>
                <w:webHidden/>
              </w:rPr>
              <w:tab/>
            </w:r>
            <w:r>
              <w:rPr>
                <w:noProof/>
                <w:webHidden/>
              </w:rPr>
              <w:fldChar w:fldCharType="begin"/>
            </w:r>
            <w:r>
              <w:rPr>
                <w:noProof/>
                <w:webHidden/>
              </w:rPr>
              <w:instrText xml:space="preserve"> PAGEREF _Toc194492188 \h </w:instrText>
            </w:r>
            <w:r>
              <w:rPr>
                <w:noProof/>
                <w:webHidden/>
              </w:rPr>
            </w:r>
            <w:r>
              <w:rPr>
                <w:noProof/>
                <w:webHidden/>
              </w:rPr>
              <w:fldChar w:fldCharType="separate"/>
            </w:r>
            <w:r>
              <w:rPr>
                <w:noProof/>
                <w:webHidden/>
              </w:rPr>
              <w:t>5</w:t>
            </w:r>
            <w:r>
              <w:rPr>
                <w:noProof/>
                <w:webHidden/>
              </w:rPr>
              <w:fldChar w:fldCharType="end"/>
            </w:r>
          </w:hyperlink>
        </w:p>
        <w:p w14:paraId="245B6EF6" w14:textId="1A8C9E1B" w:rsidR="000851E0" w:rsidRDefault="000851E0">
          <w:pPr>
            <w:pStyle w:val="TOC2"/>
            <w:tabs>
              <w:tab w:val="left" w:pos="1320"/>
            </w:tabs>
            <w:rPr>
              <w:rFonts w:asciiTheme="minorHAnsi" w:eastAsiaTheme="minorEastAsia" w:hAnsiTheme="minorHAnsi" w:cstheme="minorBidi"/>
              <w:noProof/>
              <w:lang w:eastAsia="en-AU"/>
            </w:rPr>
          </w:pPr>
          <w:hyperlink w:anchor="_Toc194492189" w:history="1">
            <w:r w:rsidRPr="00F2294D">
              <w:rPr>
                <w:rStyle w:val="Hyperlink"/>
                <w:noProof/>
              </w:rPr>
              <w:t>2.3</w:t>
            </w:r>
            <w:r>
              <w:rPr>
                <w:rFonts w:asciiTheme="minorHAnsi" w:eastAsiaTheme="minorEastAsia" w:hAnsiTheme="minorHAnsi" w:cstheme="minorBidi"/>
                <w:noProof/>
                <w:lang w:eastAsia="en-AU"/>
              </w:rPr>
              <w:tab/>
            </w:r>
            <w:r w:rsidRPr="00F2294D">
              <w:rPr>
                <w:rStyle w:val="Hyperlink"/>
                <w:noProof/>
              </w:rPr>
              <w:t>Measure Funding</w:t>
            </w:r>
            <w:r>
              <w:rPr>
                <w:noProof/>
                <w:webHidden/>
              </w:rPr>
              <w:tab/>
            </w:r>
            <w:r>
              <w:rPr>
                <w:noProof/>
                <w:webHidden/>
              </w:rPr>
              <w:fldChar w:fldCharType="begin"/>
            </w:r>
            <w:r>
              <w:rPr>
                <w:noProof/>
                <w:webHidden/>
              </w:rPr>
              <w:instrText xml:space="preserve"> PAGEREF _Toc194492189 \h </w:instrText>
            </w:r>
            <w:r>
              <w:rPr>
                <w:noProof/>
                <w:webHidden/>
              </w:rPr>
            </w:r>
            <w:r>
              <w:rPr>
                <w:noProof/>
                <w:webHidden/>
              </w:rPr>
              <w:fldChar w:fldCharType="separate"/>
            </w:r>
            <w:r>
              <w:rPr>
                <w:noProof/>
                <w:webHidden/>
              </w:rPr>
              <w:t>6</w:t>
            </w:r>
            <w:r>
              <w:rPr>
                <w:noProof/>
                <w:webHidden/>
              </w:rPr>
              <w:fldChar w:fldCharType="end"/>
            </w:r>
          </w:hyperlink>
        </w:p>
        <w:p w14:paraId="62BCAABB" w14:textId="72AE0D1D" w:rsidR="000851E0" w:rsidRDefault="000851E0">
          <w:pPr>
            <w:pStyle w:val="TOC2"/>
            <w:tabs>
              <w:tab w:val="left" w:pos="1320"/>
            </w:tabs>
            <w:rPr>
              <w:rFonts w:asciiTheme="minorHAnsi" w:eastAsiaTheme="minorEastAsia" w:hAnsiTheme="minorHAnsi" w:cstheme="minorBidi"/>
              <w:noProof/>
              <w:lang w:eastAsia="en-AU"/>
            </w:rPr>
          </w:pPr>
          <w:hyperlink w:anchor="_Toc194492190" w:history="1">
            <w:r w:rsidRPr="00F2294D">
              <w:rPr>
                <w:rStyle w:val="Hyperlink"/>
                <w:noProof/>
              </w:rPr>
              <w:t>2.4</w:t>
            </w:r>
            <w:r>
              <w:rPr>
                <w:rFonts w:asciiTheme="minorHAnsi" w:eastAsiaTheme="minorEastAsia" w:hAnsiTheme="minorHAnsi" w:cstheme="minorBidi"/>
                <w:noProof/>
                <w:lang w:eastAsia="en-AU"/>
              </w:rPr>
              <w:tab/>
            </w:r>
            <w:r w:rsidRPr="00F2294D">
              <w:rPr>
                <w:rStyle w:val="Hyperlink"/>
                <w:noProof/>
              </w:rPr>
              <w:t>RACH Funding Entitlement</w:t>
            </w:r>
            <w:r>
              <w:rPr>
                <w:noProof/>
                <w:webHidden/>
              </w:rPr>
              <w:tab/>
            </w:r>
            <w:r>
              <w:rPr>
                <w:noProof/>
                <w:webHidden/>
              </w:rPr>
              <w:fldChar w:fldCharType="begin"/>
            </w:r>
            <w:r>
              <w:rPr>
                <w:noProof/>
                <w:webHidden/>
              </w:rPr>
              <w:instrText xml:space="preserve"> PAGEREF _Toc194492190 \h </w:instrText>
            </w:r>
            <w:r>
              <w:rPr>
                <w:noProof/>
                <w:webHidden/>
              </w:rPr>
            </w:r>
            <w:r>
              <w:rPr>
                <w:noProof/>
                <w:webHidden/>
              </w:rPr>
              <w:fldChar w:fldCharType="separate"/>
            </w:r>
            <w:r>
              <w:rPr>
                <w:noProof/>
                <w:webHidden/>
              </w:rPr>
              <w:t>6</w:t>
            </w:r>
            <w:r>
              <w:rPr>
                <w:noProof/>
                <w:webHidden/>
              </w:rPr>
              <w:fldChar w:fldCharType="end"/>
            </w:r>
          </w:hyperlink>
        </w:p>
        <w:p w14:paraId="7AEEC031" w14:textId="2C3AA6B2" w:rsidR="000851E0" w:rsidRDefault="000851E0">
          <w:pPr>
            <w:pStyle w:val="TOC1"/>
            <w:tabs>
              <w:tab w:val="left" w:pos="720"/>
            </w:tabs>
            <w:rPr>
              <w:rFonts w:asciiTheme="minorHAnsi" w:eastAsiaTheme="minorEastAsia" w:hAnsiTheme="minorHAnsi" w:cstheme="minorBidi"/>
              <w:noProof/>
              <w:lang w:eastAsia="en-AU"/>
            </w:rPr>
          </w:pPr>
          <w:hyperlink w:anchor="_Toc194492191" w:history="1">
            <w:r w:rsidRPr="00F2294D">
              <w:rPr>
                <w:rStyle w:val="Hyperlink"/>
                <w:noProof/>
              </w:rPr>
              <w:t>3</w:t>
            </w:r>
            <w:r>
              <w:rPr>
                <w:rFonts w:asciiTheme="minorHAnsi" w:eastAsiaTheme="minorEastAsia" w:hAnsiTheme="minorHAnsi" w:cstheme="minorBidi"/>
                <w:noProof/>
                <w:lang w:eastAsia="en-AU"/>
              </w:rPr>
              <w:tab/>
            </w:r>
            <w:r w:rsidRPr="00F2294D">
              <w:rPr>
                <w:rStyle w:val="Hyperlink"/>
                <w:noProof/>
              </w:rPr>
              <w:t>Participation</w:t>
            </w:r>
            <w:r>
              <w:rPr>
                <w:noProof/>
                <w:webHidden/>
              </w:rPr>
              <w:tab/>
            </w:r>
            <w:r>
              <w:rPr>
                <w:noProof/>
                <w:webHidden/>
              </w:rPr>
              <w:fldChar w:fldCharType="begin"/>
            </w:r>
            <w:r>
              <w:rPr>
                <w:noProof/>
                <w:webHidden/>
              </w:rPr>
              <w:instrText xml:space="preserve"> PAGEREF _Toc194492191 \h </w:instrText>
            </w:r>
            <w:r>
              <w:rPr>
                <w:noProof/>
                <w:webHidden/>
              </w:rPr>
            </w:r>
            <w:r>
              <w:rPr>
                <w:noProof/>
                <w:webHidden/>
              </w:rPr>
              <w:fldChar w:fldCharType="separate"/>
            </w:r>
            <w:r>
              <w:rPr>
                <w:noProof/>
                <w:webHidden/>
              </w:rPr>
              <w:t>7</w:t>
            </w:r>
            <w:r>
              <w:rPr>
                <w:noProof/>
                <w:webHidden/>
              </w:rPr>
              <w:fldChar w:fldCharType="end"/>
            </w:r>
          </w:hyperlink>
        </w:p>
        <w:p w14:paraId="34500619" w14:textId="179227ED" w:rsidR="000851E0" w:rsidRDefault="000851E0">
          <w:pPr>
            <w:pStyle w:val="TOC2"/>
            <w:tabs>
              <w:tab w:val="left" w:pos="1320"/>
            </w:tabs>
            <w:rPr>
              <w:rFonts w:asciiTheme="minorHAnsi" w:eastAsiaTheme="minorEastAsia" w:hAnsiTheme="minorHAnsi" w:cstheme="minorBidi"/>
              <w:noProof/>
              <w:lang w:eastAsia="en-AU"/>
            </w:rPr>
          </w:pPr>
          <w:hyperlink w:anchor="_Toc194492192" w:history="1">
            <w:r w:rsidRPr="00F2294D">
              <w:rPr>
                <w:rStyle w:val="Hyperlink"/>
                <w:noProof/>
              </w:rPr>
              <w:t>3.1</w:t>
            </w:r>
            <w:r>
              <w:rPr>
                <w:rFonts w:asciiTheme="minorHAnsi" w:eastAsiaTheme="minorEastAsia" w:hAnsiTheme="minorHAnsi" w:cstheme="minorBidi"/>
                <w:noProof/>
                <w:lang w:eastAsia="en-AU"/>
              </w:rPr>
              <w:tab/>
            </w:r>
            <w:r w:rsidRPr="00F2294D">
              <w:rPr>
                <w:rStyle w:val="Hyperlink"/>
                <w:noProof/>
              </w:rPr>
              <w:t>Community Pharmacy Eligibility</w:t>
            </w:r>
            <w:r>
              <w:rPr>
                <w:noProof/>
                <w:webHidden/>
              </w:rPr>
              <w:tab/>
            </w:r>
            <w:r>
              <w:rPr>
                <w:noProof/>
                <w:webHidden/>
              </w:rPr>
              <w:fldChar w:fldCharType="begin"/>
            </w:r>
            <w:r>
              <w:rPr>
                <w:noProof/>
                <w:webHidden/>
              </w:rPr>
              <w:instrText xml:space="preserve"> PAGEREF _Toc194492192 \h </w:instrText>
            </w:r>
            <w:r>
              <w:rPr>
                <w:noProof/>
                <w:webHidden/>
              </w:rPr>
            </w:r>
            <w:r>
              <w:rPr>
                <w:noProof/>
                <w:webHidden/>
              </w:rPr>
              <w:fldChar w:fldCharType="separate"/>
            </w:r>
            <w:r>
              <w:rPr>
                <w:noProof/>
                <w:webHidden/>
              </w:rPr>
              <w:t>7</w:t>
            </w:r>
            <w:r>
              <w:rPr>
                <w:noProof/>
                <w:webHidden/>
              </w:rPr>
              <w:fldChar w:fldCharType="end"/>
            </w:r>
          </w:hyperlink>
        </w:p>
        <w:p w14:paraId="7D06AEF1" w14:textId="48D9DC28" w:rsidR="000851E0" w:rsidRDefault="000851E0">
          <w:pPr>
            <w:pStyle w:val="TOC2"/>
            <w:tabs>
              <w:tab w:val="left" w:pos="1320"/>
            </w:tabs>
            <w:rPr>
              <w:rFonts w:asciiTheme="minorHAnsi" w:eastAsiaTheme="minorEastAsia" w:hAnsiTheme="minorHAnsi" w:cstheme="minorBidi"/>
              <w:noProof/>
              <w:lang w:eastAsia="en-AU"/>
            </w:rPr>
          </w:pPr>
          <w:hyperlink w:anchor="_Toc194492193" w:history="1">
            <w:r w:rsidRPr="00F2294D">
              <w:rPr>
                <w:rStyle w:val="Hyperlink"/>
                <w:noProof/>
              </w:rPr>
              <w:t>3.2</w:t>
            </w:r>
            <w:r>
              <w:rPr>
                <w:rFonts w:asciiTheme="minorHAnsi" w:eastAsiaTheme="minorEastAsia" w:hAnsiTheme="minorHAnsi" w:cstheme="minorBidi"/>
                <w:noProof/>
                <w:lang w:eastAsia="en-AU"/>
              </w:rPr>
              <w:tab/>
            </w:r>
            <w:r w:rsidRPr="00F2294D">
              <w:rPr>
                <w:rStyle w:val="Hyperlink"/>
                <w:noProof/>
              </w:rPr>
              <w:t>RACH Eligibility</w:t>
            </w:r>
            <w:r>
              <w:rPr>
                <w:noProof/>
                <w:webHidden/>
              </w:rPr>
              <w:tab/>
            </w:r>
            <w:r>
              <w:rPr>
                <w:noProof/>
                <w:webHidden/>
              </w:rPr>
              <w:fldChar w:fldCharType="begin"/>
            </w:r>
            <w:r>
              <w:rPr>
                <w:noProof/>
                <w:webHidden/>
              </w:rPr>
              <w:instrText xml:space="preserve"> PAGEREF _Toc194492193 \h </w:instrText>
            </w:r>
            <w:r>
              <w:rPr>
                <w:noProof/>
                <w:webHidden/>
              </w:rPr>
            </w:r>
            <w:r>
              <w:rPr>
                <w:noProof/>
                <w:webHidden/>
              </w:rPr>
              <w:fldChar w:fldCharType="separate"/>
            </w:r>
            <w:r>
              <w:rPr>
                <w:noProof/>
                <w:webHidden/>
              </w:rPr>
              <w:t>7</w:t>
            </w:r>
            <w:r>
              <w:rPr>
                <w:noProof/>
                <w:webHidden/>
              </w:rPr>
              <w:fldChar w:fldCharType="end"/>
            </w:r>
          </w:hyperlink>
        </w:p>
        <w:p w14:paraId="047246CB" w14:textId="5896E7B8" w:rsidR="000851E0" w:rsidRDefault="000851E0">
          <w:pPr>
            <w:pStyle w:val="TOC2"/>
            <w:tabs>
              <w:tab w:val="left" w:pos="1320"/>
            </w:tabs>
            <w:rPr>
              <w:rFonts w:asciiTheme="minorHAnsi" w:eastAsiaTheme="minorEastAsia" w:hAnsiTheme="minorHAnsi" w:cstheme="minorBidi"/>
              <w:noProof/>
              <w:lang w:eastAsia="en-AU"/>
            </w:rPr>
          </w:pPr>
          <w:hyperlink w:anchor="_Toc194492194" w:history="1">
            <w:r w:rsidRPr="00F2294D">
              <w:rPr>
                <w:rStyle w:val="Hyperlink"/>
                <w:noProof/>
              </w:rPr>
              <w:t>3.3</w:t>
            </w:r>
            <w:r>
              <w:rPr>
                <w:rFonts w:asciiTheme="minorHAnsi" w:eastAsiaTheme="minorEastAsia" w:hAnsiTheme="minorHAnsi" w:cstheme="minorBidi"/>
                <w:noProof/>
                <w:lang w:eastAsia="en-AU"/>
              </w:rPr>
              <w:tab/>
            </w:r>
            <w:r w:rsidRPr="00F2294D">
              <w:rPr>
                <w:rStyle w:val="Hyperlink"/>
                <w:noProof/>
              </w:rPr>
              <w:t>Pharmacist Eligibility</w:t>
            </w:r>
            <w:r>
              <w:rPr>
                <w:noProof/>
                <w:webHidden/>
              </w:rPr>
              <w:tab/>
            </w:r>
            <w:r>
              <w:rPr>
                <w:noProof/>
                <w:webHidden/>
              </w:rPr>
              <w:fldChar w:fldCharType="begin"/>
            </w:r>
            <w:r>
              <w:rPr>
                <w:noProof/>
                <w:webHidden/>
              </w:rPr>
              <w:instrText xml:space="preserve"> PAGEREF _Toc194492194 \h </w:instrText>
            </w:r>
            <w:r>
              <w:rPr>
                <w:noProof/>
                <w:webHidden/>
              </w:rPr>
            </w:r>
            <w:r>
              <w:rPr>
                <w:noProof/>
                <w:webHidden/>
              </w:rPr>
              <w:fldChar w:fldCharType="separate"/>
            </w:r>
            <w:r>
              <w:rPr>
                <w:noProof/>
                <w:webHidden/>
              </w:rPr>
              <w:t>8</w:t>
            </w:r>
            <w:r>
              <w:rPr>
                <w:noProof/>
                <w:webHidden/>
              </w:rPr>
              <w:fldChar w:fldCharType="end"/>
            </w:r>
          </w:hyperlink>
        </w:p>
        <w:p w14:paraId="2F129B4F" w14:textId="21A94B63" w:rsidR="000851E0" w:rsidRDefault="000851E0">
          <w:pPr>
            <w:pStyle w:val="TOC1"/>
            <w:tabs>
              <w:tab w:val="left" w:pos="720"/>
            </w:tabs>
            <w:rPr>
              <w:rFonts w:asciiTheme="minorHAnsi" w:eastAsiaTheme="minorEastAsia" w:hAnsiTheme="minorHAnsi" w:cstheme="minorBidi"/>
              <w:noProof/>
              <w:lang w:eastAsia="en-AU"/>
            </w:rPr>
          </w:pPr>
          <w:hyperlink w:anchor="_Toc194492195" w:history="1">
            <w:r w:rsidRPr="00F2294D">
              <w:rPr>
                <w:rStyle w:val="Hyperlink"/>
                <w:noProof/>
              </w:rPr>
              <w:t>4</w:t>
            </w:r>
            <w:r>
              <w:rPr>
                <w:rFonts w:asciiTheme="minorHAnsi" w:eastAsiaTheme="minorEastAsia" w:hAnsiTheme="minorHAnsi" w:cstheme="minorBidi"/>
                <w:noProof/>
                <w:lang w:eastAsia="en-AU"/>
              </w:rPr>
              <w:tab/>
            </w:r>
            <w:r w:rsidRPr="00F2294D">
              <w:rPr>
                <w:rStyle w:val="Hyperlink"/>
                <w:noProof/>
              </w:rPr>
              <w:t>The ACOP working arrangements, role and activities</w:t>
            </w:r>
            <w:r>
              <w:rPr>
                <w:noProof/>
                <w:webHidden/>
              </w:rPr>
              <w:tab/>
            </w:r>
            <w:r>
              <w:rPr>
                <w:noProof/>
                <w:webHidden/>
              </w:rPr>
              <w:fldChar w:fldCharType="begin"/>
            </w:r>
            <w:r>
              <w:rPr>
                <w:noProof/>
                <w:webHidden/>
              </w:rPr>
              <w:instrText xml:space="preserve"> PAGEREF _Toc194492195 \h </w:instrText>
            </w:r>
            <w:r>
              <w:rPr>
                <w:noProof/>
                <w:webHidden/>
              </w:rPr>
            </w:r>
            <w:r>
              <w:rPr>
                <w:noProof/>
                <w:webHidden/>
              </w:rPr>
              <w:fldChar w:fldCharType="separate"/>
            </w:r>
            <w:r>
              <w:rPr>
                <w:noProof/>
                <w:webHidden/>
              </w:rPr>
              <w:t>8</w:t>
            </w:r>
            <w:r>
              <w:rPr>
                <w:noProof/>
                <w:webHidden/>
              </w:rPr>
              <w:fldChar w:fldCharType="end"/>
            </w:r>
          </w:hyperlink>
        </w:p>
        <w:p w14:paraId="77DCFD10" w14:textId="0A5D651B" w:rsidR="000851E0" w:rsidRDefault="000851E0">
          <w:pPr>
            <w:pStyle w:val="TOC2"/>
            <w:tabs>
              <w:tab w:val="left" w:pos="1320"/>
            </w:tabs>
            <w:rPr>
              <w:rFonts w:asciiTheme="minorHAnsi" w:eastAsiaTheme="minorEastAsia" w:hAnsiTheme="minorHAnsi" w:cstheme="minorBidi"/>
              <w:noProof/>
              <w:lang w:eastAsia="en-AU"/>
            </w:rPr>
          </w:pPr>
          <w:hyperlink w:anchor="_Toc194492196" w:history="1">
            <w:r w:rsidRPr="00F2294D">
              <w:rPr>
                <w:rStyle w:val="Hyperlink"/>
                <w:noProof/>
              </w:rPr>
              <w:t>4.1</w:t>
            </w:r>
            <w:r>
              <w:rPr>
                <w:rFonts w:asciiTheme="minorHAnsi" w:eastAsiaTheme="minorEastAsia" w:hAnsiTheme="minorHAnsi" w:cstheme="minorBidi"/>
                <w:noProof/>
                <w:lang w:eastAsia="en-AU"/>
              </w:rPr>
              <w:tab/>
            </w:r>
            <w:r w:rsidRPr="00F2294D">
              <w:rPr>
                <w:rStyle w:val="Hyperlink"/>
                <w:noProof/>
              </w:rPr>
              <w:t>Working Arrangements</w:t>
            </w:r>
            <w:r>
              <w:rPr>
                <w:noProof/>
                <w:webHidden/>
              </w:rPr>
              <w:tab/>
            </w:r>
            <w:r>
              <w:rPr>
                <w:noProof/>
                <w:webHidden/>
              </w:rPr>
              <w:fldChar w:fldCharType="begin"/>
            </w:r>
            <w:r>
              <w:rPr>
                <w:noProof/>
                <w:webHidden/>
              </w:rPr>
              <w:instrText xml:space="preserve"> PAGEREF _Toc194492196 \h </w:instrText>
            </w:r>
            <w:r>
              <w:rPr>
                <w:noProof/>
                <w:webHidden/>
              </w:rPr>
            </w:r>
            <w:r>
              <w:rPr>
                <w:noProof/>
                <w:webHidden/>
              </w:rPr>
              <w:fldChar w:fldCharType="separate"/>
            </w:r>
            <w:r>
              <w:rPr>
                <w:noProof/>
                <w:webHidden/>
              </w:rPr>
              <w:t>8</w:t>
            </w:r>
            <w:r>
              <w:rPr>
                <w:noProof/>
                <w:webHidden/>
              </w:rPr>
              <w:fldChar w:fldCharType="end"/>
            </w:r>
          </w:hyperlink>
        </w:p>
        <w:p w14:paraId="73E54712" w14:textId="292303F7" w:rsidR="000851E0" w:rsidRDefault="000851E0">
          <w:pPr>
            <w:pStyle w:val="TOC2"/>
            <w:tabs>
              <w:tab w:val="left" w:pos="1320"/>
            </w:tabs>
            <w:rPr>
              <w:rFonts w:asciiTheme="minorHAnsi" w:eastAsiaTheme="minorEastAsia" w:hAnsiTheme="minorHAnsi" w:cstheme="minorBidi"/>
              <w:noProof/>
              <w:lang w:eastAsia="en-AU"/>
            </w:rPr>
          </w:pPr>
          <w:hyperlink w:anchor="_Toc194492197" w:history="1">
            <w:r w:rsidRPr="00F2294D">
              <w:rPr>
                <w:rStyle w:val="Hyperlink"/>
                <w:noProof/>
              </w:rPr>
              <w:t>4.2</w:t>
            </w:r>
            <w:r>
              <w:rPr>
                <w:rFonts w:asciiTheme="minorHAnsi" w:eastAsiaTheme="minorEastAsia" w:hAnsiTheme="minorHAnsi" w:cstheme="minorBidi"/>
                <w:noProof/>
                <w:lang w:eastAsia="en-AU"/>
              </w:rPr>
              <w:tab/>
            </w:r>
            <w:r w:rsidRPr="00F2294D">
              <w:rPr>
                <w:rStyle w:val="Hyperlink"/>
                <w:noProof/>
              </w:rPr>
              <w:t>The ACOP Role</w:t>
            </w:r>
            <w:r>
              <w:rPr>
                <w:noProof/>
                <w:webHidden/>
              </w:rPr>
              <w:tab/>
            </w:r>
            <w:r>
              <w:rPr>
                <w:noProof/>
                <w:webHidden/>
              </w:rPr>
              <w:fldChar w:fldCharType="begin"/>
            </w:r>
            <w:r>
              <w:rPr>
                <w:noProof/>
                <w:webHidden/>
              </w:rPr>
              <w:instrText xml:space="preserve"> PAGEREF _Toc194492197 \h </w:instrText>
            </w:r>
            <w:r>
              <w:rPr>
                <w:noProof/>
                <w:webHidden/>
              </w:rPr>
            </w:r>
            <w:r>
              <w:rPr>
                <w:noProof/>
                <w:webHidden/>
              </w:rPr>
              <w:fldChar w:fldCharType="separate"/>
            </w:r>
            <w:r>
              <w:rPr>
                <w:noProof/>
                <w:webHidden/>
              </w:rPr>
              <w:t>9</w:t>
            </w:r>
            <w:r>
              <w:rPr>
                <w:noProof/>
                <w:webHidden/>
              </w:rPr>
              <w:fldChar w:fldCharType="end"/>
            </w:r>
          </w:hyperlink>
        </w:p>
        <w:p w14:paraId="3DE46BE9" w14:textId="673DDC5C" w:rsidR="000851E0" w:rsidRDefault="000851E0">
          <w:pPr>
            <w:pStyle w:val="TOC2"/>
            <w:tabs>
              <w:tab w:val="left" w:pos="1320"/>
            </w:tabs>
            <w:rPr>
              <w:rFonts w:asciiTheme="minorHAnsi" w:eastAsiaTheme="minorEastAsia" w:hAnsiTheme="minorHAnsi" w:cstheme="minorBidi"/>
              <w:noProof/>
              <w:lang w:eastAsia="en-AU"/>
            </w:rPr>
          </w:pPr>
          <w:hyperlink w:anchor="_Toc194492198" w:history="1">
            <w:r w:rsidRPr="00F2294D">
              <w:rPr>
                <w:rStyle w:val="Hyperlink"/>
                <w:rFonts w:eastAsia="Calibri"/>
                <w:noProof/>
              </w:rPr>
              <w:t>4.3</w:t>
            </w:r>
            <w:r>
              <w:rPr>
                <w:rFonts w:asciiTheme="minorHAnsi" w:eastAsiaTheme="minorEastAsia" w:hAnsiTheme="minorHAnsi" w:cstheme="minorBidi"/>
                <w:noProof/>
                <w:lang w:eastAsia="en-AU"/>
              </w:rPr>
              <w:tab/>
            </w:r>
            <w:r w:rsidRPr="00F2294D">
              <w:rPr>
                <w:rStyle w:val="Hyperlink"/>
                <w:rFonts w:eastAsia="Calibri"/>
                <w:noProof/>
              </w:rPr>
              <w:t>ACOP Activity Guidance</w:t>
            </w:r>
            <w:r>
              <w:rPr>
                <w:noProof/>
                <w:webHidden/>
              </w:rPr>
              <w:tab/>
            </w:r>
            <w:r>
              <w:rPr>
                <w:noProof/>
                <w:webHidden/>
              </w:rPr>
              <w:fldChar w:fldCharType="begin"/>
            </w:r>
            <w:r>
              <w:rPr>
                <w:noProof/>
                <w:webHidden/>
              </w:rPr>
              <w:instrText xml:space="preserve"> PAGEREF _Toc194492198 \h </w:instrText>
            </w:r>
            <w:r>
              <w:rPr>
                <w:noProof/>
                <w:webHidden/>
              </w:rPr>
            </w:r>
            <w:r>
              <w:rPr>
                <w:noProof/>
                <w:webHidden/>
              </w:rPr>
              <w:fldChar w:fldCharType="separate"/>
            </w:r>
            <w:r>
              <w:rPr>
                <w:noProof/>
                <w:webHidden/>
              </w:rPr>
              <w:t>9</w:t>
            </w:r>
            <w:r>
              <w:rPr>
                <w:noProof/>
                <w:webHidden/>
              </w:rPr>
              <w:fldChar w:fldCharType="end"/>
            </w:r>
          </w:hyperlink>
        </w:p>
        <w:p w14:paraId="7F0C928C" w14:textId="71F96CBF" w:rsidR="000851E0" w:rsidRDefault="000851E0">
          <w:pPr>
            <w:pStyle w:val="TOC2"/>
            <w:tabs>
              <w:tab w:val="left" w:pos="1320"/>
            </w:tabs>
            <w:rPr>
              <w:rFonts w:asciiTheme="minorHAnsi" w:eastAsiaTheme="minorEastAsia" w:hAnsiTheme="minorHAnsi" w:cstheme="minorBidi"/>
              <w:noProof/>
              <w:lang w:eastAsia="en-AU"/>
            </w:rPr>
          </w:pPr>
          <w:hyperlink w:anchor="_Toc194492199" w:history="1">
            <w:r w:rsidRPr="00F2294D">
              <w:rPr>
                <w:rStyle w:val="Hyperlink"/>
                <w:rFonts w:eastAsia="Calibri"/>
                <w:noProof/>
              </w:rPr>
              <w:t>4.4</w:t>
            </w:r>
            <w:r>
              <w:rPr>
                <w:rFonts w:asciiTheme="minorHAnsi" w:eastAsiaTheme="minorEastAsia" w:hAnsiTheme="minorHAnsi" w:cstheme="minorBidi"/>
                <w:noProof/>
                <w:lang w:eastAsia="en-AU"/>
              </w:rPr>
              <w:tab/>
            </w:r>
            <w:r w:rsidRPr="00F2294D">
              <w:rPr>
                <w:rStyle w:val="Hyperlink"/>
                <w:rFonts w:eastAsia="Calibri"/>
                <w:noProof/>
              </w:rPr>
              <w:t>ACOP and RACH Resources</w:t>
            </w:r>
            <w:r>
              <w:rPr>
                <w:noProof/>
                <w:webHidden/>
              </w:rPr>
              <w:tab/>
            </w:r>
            <w:r>
              <w:rPr>
                <w:noProof/>
                <w:webHidden/>
              </w:rPr>
              <w:fldChar w:fldCharType="begin"/>
            </w:r>
            <w:r>
              <w:rPr>
                <w:noProof/>
                <w:webHidden/>
              </w:rPr>
              <w:instrText xml:space="preserve"> PAGEREF _Toc194492199 \h </w:instrText>
            </w:r>
            <w:r>
              <w:rPr>
                <w:noProof/>
                <w:webHidden/>
              </w:rPr>
            </w:r>
            <w:r>
              <w:rPr>
                <w:noProof/>
                <w:webHidden/>
              </w:rPr>
              <w:fldChar w:fldCharType="separate"/>
            </w:r>
            <w:r>
              <w:rPr>
                <w:noProof/>
                <w:webHidden/>
              </w:rPr>
              <w:t>9</w:t>
            </w:r>
            <w:r>
              <w:rPr>
                <w:noProof/>
                <w:webHidden/>
              </w:rPr>
              <w:fldChar w:fldCharType="end"/>
            </w:r>
          </w:hyperlink>
        </w:p>
        <w:p w14:paraId="205EFAF3" w14:textId="5C980E9E" w:rsidR="000851E0" w:rsidRDefault="000851E0">
          <w:pPr>
            <w:pStyle w:val="TOC1"/>
            <w:tabs>
              <w:tab w:val="left" w:pos="720"/>
            </w:tabs>
            <w:rPr>
              <w:rFonts w:asciiTheme="minorHAnsi" w:eastAsiaTheme="minorEastAsia" w:hAnsiTheme="minorHAnsi" w:cstheme="minorBidi"/>
              <w:noProof/>
              <w:lang w:eastAsia="en-AU"/>
            </w:rPr>
          </w:pPr>
          <w:hyperlink w:anchor="_Toc194492200" w:history="1">
            <w:r w:rsidRPr="00F2294D">
              <w:rPr>
                <w:rStyle w:val="Hyperlink"/>
                <w:noProof/>
              </w:rPr>
              <w:t>5</w:t>
            </w:r>
            <w:r>
              <w:rPr>
                <w:rFonts w:asciiTheme="minorHAnsi" w:eastAsiaTheme="minorEastAsia" w:hAnsiTheme="minorHAnsi" w:cstheme="minorBidi"/>
                <w:noProof/>
                <w:lang w:eastAsia="en-AU"/>
              </w:rPr>
              <w:tab/>
            </w:r>
            <w:r w:rsidRPr="00F2294D">
              <w:rPr>
                <w:rStyle w:val="Hyperlink"/>
                <w:noProof/>
              </w:rPr>
              <w:t>Frequently Asked Questions</w:t>
            </w:r>
            <w:r>
              <w:rPr>
                <w:noProof/>
                <w:webHidden/>
              </w:rPr>
              <w:tab/>
            </w:r>
            <w:r>
              <w:rPr>
                <w:noProof/>
                <w:webHidden/>
              </w:rPr>
              <w:fldChar w:fldCharType="begin"/>
            </w:r>
            <w:r>
              <w:rPr>
                <w:noProof/>
                <w:webHidden/>
              </w:rPr>
              <w:instrText xml:space="preserve"> PAGEREF _Toc194492200 \h </w:instrText>
            </w:r>
            <w:r>
              <w:rPr>
                <w:noProof/>
                <w:webHidden/>
              </w:rPr>
            </w:r>
            <w:r>
              <w:rPr>
                <w:noProof/>
                <w:webHidden/>
              </w:rPr>
              <w:fldChar w:fldCharType="separate"/>
            </w:r>
            <w:r>
              <w:rPr>
                <w:noProof/>
                <w:webHidden/>
              </w:rPr>
              <w:t>9</w:t>
            </w:r>
            <w:r>
              <w:rPr>
                <w:noProof/>
                <w:webHidden/>
              </w:rPr>
              <w:fldChar w:fldCharType="end"/>
            </w:r>
          </w:hyperlink>
        </w:p>
        <w:p w14:paraId="76CDF9F1" w14:textId="130BE7C2" w:rsidR="000851E0" w:rsidRDefault="000851E0">
          <w:pPr>
            <w:pStyle w:val="TOC2"/>
            <w:tabs>
              <w:tab w:val="left" w:pos="1320"/>
            </w:tabs>
            <w:rPr>
              <w:rFonts w:asciiTheme="minorHAnsi" w:eastAsiaTheme="minorEastAsia" w:hAnsiTheme="minorHAnsi" w:cstheme="minorBidi"/>
              <w:noProof/>
              <w:lang w:eastAsia="en-AU"/>
            </w:rPr>
          </w:pPr>
          <w:hyperlink w:anchor="_Toc194492201" w:history="1">
            <w:r w:rsidRPr="00F2294D">
              <w:rPr>
                <w:rStyle w:val="Hyperlink"/>
                <w:noProof/>
              </w:rPr>
              <w:t>5.1</w:t>
            </w:r>
            <w:r>
              <w:rPr>
                <w:rFonts w:asciiTheme="minorHAnsi" w:eastAsiaTheme="minorEastAsia" w:hAnsiTheme="minorHAnsi" w:cstheme="minorBidi"/>
                <w:noProof/>
                <w:lang w:eastAsia="en-AU"/>
              </w:rPr>
              <w:tab/>
            </w:r>
            <w:r w:rsidRPr="00F2294D">
              <w:rPr>
                <w:rStyle w:val="Hyperlink"/>
                <w:noProof/>
              </w:rPr>
              <w:t>Participation</w:t>
            </w:r>
            <w:r>
              <w:rPr>
                <w:noProof/>
                <w:webHidden/>
              </w:rPr>
              <w:tab/>
            </w:r>
            <w:r>
              <w:rPr>
                <w:noProof/>
                <w:webHidden/>
              </w:rPr>
              <w:fldChar w:fldCharType="begin"/>
            </w:r>
            <w:r>
              <w:rPr>
                <w:noProof/>
                <w:webHidden/>
              </w:rPr>
              <w:instrText xml:space="preserve"> PAGEREF _Toc194492201 \h </w:instrText>
            </w:r>
            <w:r>
              <w:rPr>
                <w:noProof/>
                <w:webHidden/>
              </w:rPr>
            </w:r>
            <w:r>
              <w:rPr>
                <w:noProof/>
                <w:webHidden/>
              </w:rPr>
              <w:fldChar w:fldCharType="separate"/>
            </w:r>
            <w:r>
              <w:rPr>
                <w:noProof/>
                <w:webHidden/>
              </w:rPr>
              <w:t>9</w:t>
            </w:r>
            <w:r>
              <w:rPr>
                <w:noProof/>
                <w:webHidden/>
              </w:rPr>
              <w:fldChar w:fldCharType="end"/>
            </w:r>
          </w:hyperlink>
        </w:p>
        <w:p w14:paraId="56FA7F32" w14:textId="31F1B43F" w:rsidR="000851E0" w:rsidRDefault="000851E0">
          <w:pPr>
            <w:pStyle w:val="TOC2"/>
            <w:tabs>
              <w:tab w:val="left" w:pos="1320"/>
            </w:tabs>
            <w:rPr>
              <w:rFonts w:asciiTheme="minorHAnsi" w:eastAsiaTheme="minorEastAsia" w:hAnsiTheme="minorHAnsi" w:cstheme="minorBidi"/>
              <w:noProof/>
              <w:lang w:eastAsia="en-AU"/>
            </w:rPr>
          </w:pPr>
          <w:hyperlink w:anchor="_Toc194492203" w:history="1">
            <w:r w:rsidRPr="00F2294D">
              <w:rPr>
                <w:rStyle w:val="Hyperlink"/>
                <w:noProof/>
              </w:rPr>
              <w:t>5.2</w:t>
            </w:r>
            <w:r>
              <w:rPr>
                <w:rFonts w:asciiTheme="minorHAnsi" w:eastAsiaTheme="minorEastAsia" w:hAnsiTheme="minorHAnsi" w:cstheme="minorBidi"/>
                <w:noProof/>
                <w:lang w:eastAsia="en-AU"/>
              </w:rPr>
              <w:tab/>
            </w:r>
            <w:r w:rsidRPr="00F2294D">
              <w:rPr>
                <w:rStyle w:val="Hyperlink"/>
                <w:noProof/>
              </w:rPr>
              <w:t>Claiming and ACOP salary payments</w:t>
            </w:r>
            <w:r>
              <w:rPr>
                <w:noProof/>
                <w:webHidden/>
              </w:rPr>
              <w:tab/>
            </w:r>
            <w:r>
              <w:rPr>
                <w:noProof/>
                <w:webHidden/>
              </w:rPr>
              <w:fldChar w:fldCharType="begin"/>
            </w:r>
            <w:r>
              <w:rPr>
                <w:noProof/>
                <w:webHidden/>
              </w:rPr>
              <w:instrText xml:space="preserve"> PAGEREF _Toc194492203 \h </w:instrText>
            </w:r>
            <w:r>
              <w:rPr>
                <w:noProof/>
                <w:webHidden/>
              </w:rPr>
            </w:r>
            <w:r>
              <w:rPr>
                <w:noProof/>
                <w:webHidden/>
              </w:rPr>
              <w:fldChar w:fldCharType="separate"/>
            </w:r>
            <w:r>
              <w:rPr>
                <w:noProof/>
                <w:webHidden/>
              </w:rPr>
              <w:t>10</w:t>
            </w:r>
            <w:r>
              <w:rPr>
                <w:noProof/>
                <w:webHidden/>
              </w:rPr>
              <w:fldChar w:fldCharType="end"/>
            </w:r>
          </w:hyperlink>
        </w:p>
        <w:p w14:paraId="62EE89B0" w14:textId="3DED1CDB" w:rsidR="000851E0" w:rsidRDefault="000851E0">
          <w:pPr>
            <w:pStyle w:val="TOC2"/>
            <w:tabs>
              <w:tab w:val="left" w:pos="1320"/>
            </w:tabs>
            <w:rPr>
              <w:rFonts w:asciiTheme="minorHAnsi" w:eastAsiaTheme="minorEastAsia" w:hAnsiTheme="minorHAnsi" w:cstheme="minorBidi"/>
              <w:noProof/>
              <w:lang w:eastAsia="en-AU"/>
            </w:rPr>
          </w:pPr>
          <w:hyperlink w:anchor="_Toc194492204" w:history="1">
            <w:r w:rsidRPr="00F2294D">
              <w:rPr>
                <w:rStyle w:val="Hyperlink"/>
                <w:noProof/>
              </w:rPr>
              <w:t>5.3</w:t>
            </w:r>
            <w:r>
              <w:rPr>
                <w:rFonts w:asciiTheme="minorHAnsi" w:eastAsiaTheme="minorEastAsia" w:hAnsiTheme="minorHAnsi" w:cstheme="minorBidi"/>
                <w:noProof/>
                <w:lang w:eastAsia="en-AU"/>
              </w:rPr>
              <w:tab/>
            </w:r>
            <w:r w:rsidRPr="00F2294D">
              <w:rPr>
                <w:rStyle w:val="Hyperlink"/>
                <w:noProof/>
              </w:rPr>
              <w:t>The ACOP</w:t>
            </w:r>
            <w:r>
              <w:rPr>
                <w:noProof/>
                <w:webHidden/>
              </w:rPr>
              <w:tab/>
            </w:r>
            <w:r>
              <w:rPr>
                <w:noProof/>
                <w:webHidden/>
              </w:rPr>
              <w:fldChar w:fldCharType="begin"/>
            </w:r>
            <w:r>
              <w:rPr>
                <w:noProof/>
                <w:webHidden/>
              </w:rPr>
              <w:instrText xml:space="preserve"> PAGEREF _Toc194492204 \h </w:instrText>
            </w:r>
            <w:r>
              <w:rPr>
                <w:noProof/>
                <w:webHidden/>
              </w:rPr>
            </w:r>
            <w:r>
              <w:rPr>
                <w:noProof/>
                <w:webHidden/>
              </w:rPr>
              <w:fldChar w:fldCharType="separate"/>
            </w:r>
            <w:r>
              <w:rPr>
                <w:noProof/>
                <w:webHidden/>
              </w:rPr>
              <w:t>10</w:t>
            </w:r>
            <w:r>
              <w:rPr>
                <w:noProof/>
                <w:webHidden/>
              </w:rPr>
              <w:fldChar w:fldCharType="end"/>
            </w:r>
          </w:hyperlink>
        </w:p>
        <w:p w14:paraId="74250DAF" w14:textId="1FE65A98" w:rsidR="000851E0" w:rsidRDefault="000851E0">
          <w:pPr>
            <w:pStyle w:val="TOC2"/>
            <w:tabs>
              <w:tab w:val="left" w:pos="1320"/>
            </w:tabs>
            <w:rPr>
              <w:rFonts w:asciiTheme="minorHAnsi" w:eastAsiaTheme="minorEastAsia" w:hAnsiTheme="minorHAnsi" w:cstheme="minorBidi"/>
              <w:noProof/>
              <w:lang w:eastAsia="en-AU"/>
            </w:rPr>
          </w:pPr>
          <w:hyperlink w:anchor="_Toc194492205" w:history="1">
            <w:r w:rsidRPr="00F2294D">
              <w:rPr>
                <w:rStyle w:val="Hyperlink"/>
                <w:noProof/>
              </w:rPr>
              <w:t>5.4</w:t>
            </w:r>
            <w:r>
              <w:rPr>
                <w:rFonts w:asciiTheme="minorHAnsi" w:eastAsiaTheme="minorEastAsia" w:hAnsiTheme="minorHAnsi" w:cstheme="minorBidi"/>
                <w:noProof/>
                <w:lang w:eastAsia="en-AU"/>
              </w:rPr>
              <w:tab/>
            </w:r>
            <w:r w:rsidRPr="00F2294D">
              <w:rPr>
                <w:rStyle w:val="Hyperlink"/>
                <w:noProof/>
              </w:rPr>
              <w:t>General Practitioners</w:t>
            </w:r>
            <w:r>
              <w:rPr>
                <w:noProof/>
                <w:webHidden/>
              </w:rPr>
              <w:tab/>
            </w:r>
            <w:r>
              <w:rPr>
                <w:noProof/>
                <w:webHidden/>
              </w:rPr>
              <w:fldChar w:fldCharType="begin"/>
            </w:r>
            <w:r>
              <w:rPr>
                <w:noProof/>
                <w:webHidden/>
              </w:rPr>
              <w:instrText xml:space="preserve"> PAGEREF _Toc194492205 \h </w:instrText>
            </w:r>
            <w:r>
              <w:rPr>
                <w:noProof/>
                <w:webHidden/>
              </w:rPr>
            </w:r>
            <w:r>
              <w:rPr>
                <w:noProof/>
                <w:webHidden/>
              </w:rPr>
              <w:fldChar w:fldCharType="separate"/>
            </w:r>
            <w:r>
              <w:rPr>
                <w:noProof/>
                <w:webHidden/>
              </w:rPr>
              <w:t>11</w:t>
            </w:r>
            <w:r>
              <w:rPr>
                <w:noProof/>
                <w:webHidden/>
              </w:rPr>
              <w:fldChar w:fldCharType="end"/>
            </w:r>
          </w:hyperlink>
        </w:p>
        <w:p w14:paraId="4C8AF03B" w14:textId="2A0E2CCE" w:rsidR="000851E0" w:rsidRDefault="000851E0">
          <w:pPr>
            <w:pStyle w:val="TOC1"/>
            <w:tabs>
              <w:tab w:val="left" w:pos="720"/>
            </w:tabs>
            <w:rPr>
              <w:rFonts w:asciiTheme="minorHAnsi" w:eastAsiaTheme="minorEastAsia" w:hAnsiTheme="minorHAnsi" w:cstheme="minorBidi"/>
              <w:noProof/>
              <w:lang w:eastAsia="en-AU"/>
            </w:rPr>
          </w:pPr>
          <w:hyperlink w:anchor="_Toc194492206" w:history="1">
            <w:r w:rsidRPr="00F2294D">
              <w:rPr>
                <w:rStyle w:val="Hyperlink"/>
                <w:noProof/>
              </w:rPr>
              <w:t>6</w:t>
            </w:r>
            <w:r>
              <w:rPr>
                <w:rFonts w:asciiTheme="minorHAnsi" w:eastAsiaTheme="minorEastAsia" w:hAnsiTheme="minorHAnsi" w:cstheme="minorBidi"/>
                <w:noProof/>
                <w:lang w:eastAsia="en-AU"/>
              </w:rPr>
              <w:tab/>
            </w:r>
            <w:r w:rsidRPr="00F2294D">
              <w:rPr>
                <w:rStyle w:val="Hyperlink"/>
                <w:noProof/>
              </w:rPr>
              <w:t>Glossary</w:t>
            </w:r>
            <w:r>
              <w:rPr>
                <w:noProof/>
                <w:webHidden/>
              </w:rPr>
              <w:tab/>
            </w:r>
            <w:r>
              <w:rPr>
                <w:noProof/>
                <w:webHidden/>
              </w:rPr>
              <w:fldChar w:fldCharType="begin"/>
            </w:r>
            <w:r>
              <w:rPr>
                <w:noProof/>
                <w:webHidden/>
              </w:rPr>
              <w:instrText xml:space="preserve"> PAGEREF _Toc194492206 \h </w:instrText>
            </w:r>
            <w:r>
              <w:rPr>
                <w:noProof/>
                <w:webHidden/>
              </w:rPr>
            </w:r>
            <w:r>
              <w:rPr>
                <w:noProof/>
                <w:webHidden/>
              </w:rPr>
              <w:fldChar w:fldCharType="separate"/>
            </w:r>
            <w:r>
              <w:rPr>
                <w:noProof/>
                <w:webHidden/>
              </w:rPr>
              <w:t>13</w:t>
            </w:r>
            <w:r>
              <w:rPr>
                <w:noProof/>
                <w:webHidden/>
              </w:rPr>
              <w:fldChar w:fldCharType="end"/>
            </w:r>
          </w:hyperlink>
        </w:p>
        <w:p w14:paraId="6F83F8A9" w14:textId="092ED271" w:rsidR="007A750C" w:rsidRPr="007A750C" w:rsidRDefault="007A750C" w:rsidP="007A750C">
          <w:r>
            <w:rPr>
              <w:b/>
              <w:bCs/>
              <w:noProof/>
            </w:rPr>
            <w:fldChar w:fldCharType="end"/>
          </w:r>
        </w:p>
      </w:sdtContent>
    </w:sdt>
    <w:p w14:paraId="753D4E7C" w14:textId="77777777" w:rsidR="00CF14A6" w:rsidRPr="004D1339" w:rsidRDefault="00CF14A6" w:rsidP="00346C4A">
      <w:pPr>
        <w:sectPr w:rsidR="00CF14A6" w:rsidRPr="004D1339" w:rsidSect="00CF14A6">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418" w:left="1418" w:header="709" w:footer="709" w:gutter="0"/>
          <w:pgNumType w:fmt="lowerRoman"/>
          <w:cols w:space="708"/>
          <w:docGrid w:linePitch="360"/>
        </w:sectPr>
      </w:pPr>
    </w:p>
    <w:p w14:paraId="7D6A2C97" w14:textId="500BB841" w:rsidR="00B84125" w:rsidRDefault="00CF14A6" w:rsidP="00A45C3D">
      <w:pPr>
        <w:pStyle w:val="Heading1"/>
        <w:numPr>
          <w:ilvl w:val="0"/>
          <w:numId w:val="0"/>
        </w:numPr>
        <w:ind w:left="432" w:hanging="432"/>
      </w:pPr>
      <w:bookmarkStart w:id="1" w:name="_Toc194492183"/>
      <w:r w:rsidRPr="004D1339">
        <w:lastRenderedPageBreak/>
        <w:t>Introduction</w:t>
      </w:r>
      <w:bookmarkEnd w:id="1"/>
    </w:p>
    <w:p w14:paraId="16D88F46" w14:textId="7C057958" w:rsidR="000A6321" w:rsidRPr="00ED47E9" w:rsidRDefault="00401932" w:rsidP="00ED47E9">
      <w:r>
        <w:t>U</w:t>
      </w:r>
      <w:r w:rsidR="009B173F">
        <w:t>nder the Aged Care On-site Pharmacist (ACOP) Measure</w:t>
      </w:r>
      <w:r w:rsidR="00521BC2">
        <w:t>,</w:t>
      </w:r>
      <w:r>
        <w:t xml:space="preserve"> </w:t>
      </w:r>
      <w:r w:rsidRPr="00ED47E9">
        <w:t xml:space="preserve">the Australian Government is providing funding </w:t>
      </w:r>
      <w:r w:rsidR="00ED47E9" w:rsidRPr="00ED47E9">
        <w:t xml:space="preserve">for </w:t>
      </w:r>
      <w:r w:rsidR="009B173F">
        <w:t>credentialed pharmacists</w:t>
      </w:r>
      <w:r w:rsidR="00ED47E9" w:rsidRPr="00ED47E9">
        <w:t xml:space="preserve"> to </w:t>
      </w:r>
      <w:r w:rsidR="000D5104">
        <w:t xml:space="preserve">undertake </w:t>
      </w:r>
      <w:r w:rsidR="00A425CF">
        <w:t xml:space="preserve">a </w:t>
      </w:r>
      <w:r w:rsidR="000D5104">
        <w:t xml:space="preserve">clinical role </w:t>
      </w:r>
      <w:r w:rsidR="00ED47E9" w:rsidRPr="00ED47E9">
        <w:t>on-site in residential aged care homes (RACH</w:t>
      </w:r>
      <w:r w:rsidR="009A390A">
        <w:t>s</w:t>
      </w:r>
      <w:r w:rsidR="00ED47E9" w:rsidRPr="00ED47E9">
        <w:t>)</w:t>
      </w:r>
      <w:r w:rsidR="00521BC2">
        <w:t>.</w:t>
      </w:r>
      <w:r>
        <w:t xml:space="preserve"> </w:t>
      </w:r>
      <w:r w:rsidR="000B4EC3" w:rsidRPr="000A6321">
        <w:t>On-site pharmacists will regularly review medications</w:t>
      </w:r>
      <w:r w:rsidR="000D5104">
        <w:t>,</w:t>
      </w:r>
      <w:r w:rsidR="000B4EC3" w:rsidRPr="000A6321">
        <w:t xml:space="preserve"> </w:t>
      </w:r>
      <w:r w:rsidR="009A390A">
        <w:t xml:space="preserve">aiming </w:t>
      </w:r>
      <w:r w:rsidR="000B4EC3" w:rsidRPr="000A6321">
        <w:t>to reduce medication related harm and optimise the use of medicines. </w:t>
      </w:r>
    </w:p>
    <w:p w14:paraId="19C009C7" w14:textId="36F1B48C" w:rsidR="00ED47E9" w:rsidRDefault="00ED47E9" w:rsidP="00ED47E9">
      <w:r w:rsidRPr="00ED47E9">
        <w:t>Th</w:t>
      </w:r>
      <w:r w:rsidR="00ED0D01">
        <w:t>e Measure</w:t>
      </w:r>
      <w:r w:rsidRPr="00ED47E9">
        <w:t xml:space="preserve"> is a direct response to the Royal Commission into Aged Care Quality and Safety</w:t>
      </w:r>
      <w:r w:rsidR="000D5104">
        <w:t xml:space="preserve">. The Royal Commission </w:t>
      </w:r>
      <w:r w:rsidRPr="00ED47E9">
        <w:t>recommended that aged care providers actively e</w:t>
      </w:r>
      <w:r w:rsidR="000D5104">
        <w:t xml:space="preserve">ngage </w:t>
      </w:r>
      <w:r w:rsidRPr="00ED47E9">
        <w:t>allied health practitioners, including pharmacists, by no later than 1 July 2024 (Recommendation 38).</w:t>
      </w:r>
    </w:p>
    <w:p w14:paraId="7743D39B" w14:textId="550DD5AB" w:rsidR="00ED47E9" w:rsidRPr="00ED47E9" w:rsidRDefault="00ED47E9" w:rsidP="00ED47E9">
      <w:r w:rsidRPr="00ED47E9">
        <w:t xml:space="preserve">This document is intended to </w:t>
      </w:r>
      <w:r w:rsidR="000D5104">
        <w:t>support</w:t>
      </w:r>
      <w:r w:rsidR="00401932">
        <w:t>:</w:t>
      </w:r>
    </w:p>
    <w:p w14:paraId="4366B4B4" w14:textId="6A51B498" w:rsidR="00041A98" w:rsidRPr="00041A98" w:rsidRDefault="00107309" w:rsidP="00C402B3">
      <w:pPr>
        <w:pStyle w:val="ListBullet"/>
      </w:pPr>
      <w:r>
        <w:t xml:space="preserve">Primary Health Networks </w:t>
      </w:r>
      <w:r w:rsidR="00F25A40">
        <w:t>(PHN</w:t>
      </w:r>
      <w:r w:rsidR="00E45D7E">
        <w:t>s</w:t>
      </w:r>
      <w:r w:rsidR="00F25A40">
        <w:t xml:space="preserve">) </w:t>
      </w:r>
      <w:r>
        <w:t xml:space="preserve">that are </w:t>
      </w:r>
      <w:r w:rsidR="00206C38">
        <w:t xml:space="preserve">participating in the </w:t>
      </w:r>
      <w:bookmarkStart w:id="2" w:name="_Hlk189213988"/>
      <w:r w:rsidR="00206C38" w:rsidRPr="00206C38">
        <w:t>Aged Care On-site Pharmacist Measure – Residential Aged Care Home Support Grant Program</w:t>
      </w:r>
      <w:r w:rsidR="00041A98">
        <w:t xml:space="preserve">. </w:t>
      </w:r>
    </w:p>
    <w:p w14:paraId="10114C22" w14:textId="2F115AA9" w:rsidR="008B37F3" w:rsidRPr="00041A98" w:rsidRDefault="00041A98" w:rsidP="00C402B3">
      <w:pPr>
        <w:pStyle w:val="ListBullet"/>
        <w:numPr>
          <w:ilvl w:val="0"/>
          <w:numId w:val="0"/>
        </w:numPr>
      </w:pPr>
      <w:r w:rsidRPr="00041A98">
        <w:t xml:space="preserve">This </w:t>
      </w:r>
      <w:r>
        <w:t xml:space="preserve">document </w:t>
      </w:r>
      <w:r w:rsidRPr="00041A98">
        <w:t>should be read</w:t>
      </w:r>
      <w:r w:rsidR="00577760" w:rsidRPr="00041A98">
        <w:t xml:space="preserve"> </w:t>
      </w:r>
      <w:r w:rsidR="000D5104">
        <w:t>together</w:t>
      </w:r>
      <w:r w:rsidR="00F21379">
        <w:t xml:space="preserve"> with the </w:t>
      </w:r>
      <w:r w:rsidR="00401932">
        <w:t xml:space="preserve">below </w:t>
      </w:r>
      <w:r w:rsidR="00F21379">
        <w:t>Grant Opportunity Guidelines and</w:t>
      </w:r>
      <w:r w:rsidR="00577760" w:rsidRPr="00041A98">
        <w:t xml:space="preserve"> the ACOP Measure rules</w:t>
      </w:r>
      <w:bookmarkEnd w:id="2"/>
      <w:r w:rsidR="00401932">
        <w:t>:</w:t>
      </w:r>
    </w:p>
    <w:p w14:paraId="4DA7D2D0" w14:textId="386AA047" w:rsidR="004C5FD5" w:rsidRDefault="004C5FD5" w:rsidP="00C402B3">
      <w:pPr>
        <w:pStyle w:val="ListBullet"/>
      </w:pPr>
      <w:bookmarkStart w:id="3" w:name="_Hlk189663655"/>
      <w:r>
        <w:t xml:space="preserve">Aged Care On-site Pharmacist Measure – Residential Aged Care Home Support Grant Program Grant Opportunity Guidelines </w:t>
      </w:r>
      <w:hyperlink r:id="rId19" w:history="1">
        <w:r w:rsidRPr="008E0CF0">
          <w:rPr>
            <w:rStyle w:val="Hyperlink"/>
          </w:rPr>
          <w:t>GO7254</w:t>
        </w:r>
      </w:hyperlink>
    </w:p>
    <w:bookmarkEnd w:id="3"/>
    <w:p w14:paraId="59605467" w14:textId="41DCAD99" w:rsidR="000A1CE0" w:rsidRPr="00ED47E9" w:rsidRDefault="000A1CE0" w:rsidP="00C402B3">
      <w:pPr>
        <w:pStyle w:val="ListBullet"/>
      </w:pPr>
      <w:r>
        <w:fldChar w:fldCharType="begin"/>
      </w:r>
      <w:r w:rsidR="0031571C">
        <w:instrText>HYPERLINK "https://www.ppaonline.com.au/programs/aged-care-on-site-pharmacist-measure/tier-1"</w:instrText>
      </w:r>
      <w:r>
        <w:fldChar w:fldCharType="separate"/>
      </w:r>
      <w:r w:rsidR="0031571C">
        <w:rPr>
          <w:rStyle w:val="Hyperlink"/>
        </w:rPr>
        <w:t>Aged Care On-site Pharmacist (ACOP) Measure - Community Pharmacy claims and receives payments</w:t>
      </w:r>
      <w:r>
        <w:fldChar w:fldCharType="end"/>
      </w:r>
    </w:p>
    <w:p w14:paraId="719182D2" w14:textId="49FC9196" w:rsidR="000A1CE0" w:rsidRPr="00F25A40" w:rsidRDefault="0031571C" w:rsidP="00C402B3">
      <w:pPr>
        <w:pStyle w:val="ListBullet"/>
      </w:pPr>
      <w:hyperlink r:id="rId20" w:history="1">
        <w:r>
          <w:rPr>
            <w:rStyle w:val="Hyperlink"/>
          </w:rPr>
          <w:t>Aged Care On-site Pharmacist (ACOP) Measure - RACH claims and receives payments</w:t>
        </w:r>
      </w:hyperlink>
    </w:p>
    <w:p w14:paraId="2A66C0A4" w14:textId="6FD52D21" w:rsidR="008B37F3" w:rsidRDefault="00EA6B45" w:rsidP="008B37F3">
      <w:pPr>
        <w:pStyle w:val="ListBullet"/>
        <w:numPr>
          <w:ilvl w:val="0"/>
          <w:numId w:val="0"/>
        </w:numPr>
        <w:rPr>
          <w:szCs w:val="22"/>
        </w:rPr>
      </w:pPr>
      <w:r w:rsidRPr="008B37F3">
        <w:rPr>
          <w:szCs w:val="22"/>
        </w:rPr>
        <w:t xml:space="preserve">The objectives of the </w:t>
      </w:r>
      <w:r w:rsidR="00217B15">
        <w:rPr>
          <w:szCs w:val="22"/>
        </w:rPr>
        <w:t>Grant P</w:t>
      </w:r>
      <w:r w:rsidRPr="008B37F3">
        <w:rPr>
          <w:szCs w:val="22"/>
        </w:rPr>
        <w:t xml:space="preserve">rogram are to: </w:t>
      </w:r>
    </w:p>
    <w:p w14:paraId="523F6DFC" w14:textId="4F2A3975" w:rsidR="008B37F3" w:rsidRPr="008B37F3" w:rsidRDefault="00EA6B45" w:rsidP="00C402B3">
      <w:pPr>
        <w:pStyle w:val="ListBullet"/>
      </w:pPr>
      <w:r>
        <w:t xml:space="preserve">increase uptake of aged care on-site pharmacists by RACHs around Australia </w:t>
      </w:r>
    </w:p>
    <w:p w14:paraId="21478C9A" w14:textId="77777777" w:rsidR="008B37F3" w:rsidRPr="008B37F3" w:rsidRDefault="00EA6B45" w:rsidP="00C402B3">
      <w:pPr>
        <w:pStyle w:val="ListBullet"/>
      </w:pPr>
      <w:r w:rsidRPr="008B37F3">
        <w:t xml:space="preserve">improve access to aged care on-site pharmacists in RACHs. </w:t>
      </w:r>
    </w:p>
    <w:p w14:paraId="1FCEB5F8" w14:textId="09F09D14" w:rsidR="008B37F3" w:rsidRDefault="00EA6B45" w:rsidP="008B37F3">
      <w:pPr>
        <w:pStyle w:val="ListBullet"/>
        <w:numPr>
          <w:ilvl w:val="0"/>
          <w:numId w:val="0"/>
        </w:numPr>
        <w:rPr>
          <w:szCs w:val="22"/>
        </w:rPr>
      </w:pPr>
      <w:r w:rsidRPr="008B37F3">
        <w:rPr>
          <w:szCs w:val="22"/>
        </w:rPr>
        <w:t xml:space="preserve">The intended outcomes of the </w:t>
      </w:r>
      <w:r w:rsidR="00217B15">
        <w:rPr>
          <w:szCs w:val="22"/>
        </w:rPr>
        <w:t>Grant P</w:t>
      </w:r>
      <w:r w:rsidRPr="008B37F3">
        <w:rPr>
          <w:szCs w:val="22"/>
        </w:rPr>
        <w:t xml:space="preserve">rogram are: </w:t>
      </w:r>
    </w:p>
    <w:p w14:paraId="5E3DB531" w14:textId="5AD01BC5" w:rsidR="008B37F3" w:rsidRPr="008B37F3" w:rsidRDefault="00401932">
      <w:pPr>
        <w:pStyle w:val="ListBullet"/>
        <w:numPr>
          <w:ilvl w:val="0"/>
          <w:numId w:val="12"/>
        </w:numPr>
      </w:pPr>
      <w:r>
        <w:rPr>
          <w:szCs w:val="22"/>
        </w:rPr>
        <w:t>i</w:t>
      </w:r>
      <w:r w:rsidR="00EA6B45">
        <w:rPr>
          <w:szCs w:val="22"/>
        </w:rPr>
        <w:t xml:space="preserve">mproved medication management and safety in RACHs </w:t>
      </w:r>
    </w:p>
    <w:p w14:paraId="0B5EBDE1" w14:textId="57CE12AC" w:rsidR="00EA6B45" w:rsidRPr="003F74A6" w:rsidRDefault="00401932">
      <w:pPr>
        <w:pStyle w:val="ListBullet"/>
        <w:numPr>
          <w:ilvl w:val="0"/>
          <w:numId w:val="12"/>
        </w:numPr>
      </w:pPr>
      <w:r>
        <w:rPr>
          <w:szCs w:val="22"/>
        </w:rPr>
        <w:t>i</w:t>
      </w:r>
      <w:r w:rsidR="00EA6B45" w:rsidRPr="008B37F3">
        <w:rPr>
          <w:szCs w:val="22"/>
        </w:rPr>
        <w:t>ntegration of aged care on-site pharmacists with the health care team in RACH</w:t>
      </w:r>
      <w:r w:rsidR="000D5104">
        <w:rPr>
          <w:szCs w:val="22"/>
        </w:rPr>
        <w:t>s</w:t>
      </w:r>
      <w:r w:rsidR="00EA6B45" w:rsidRPr="008B37F3">
        <w:rPr>
          <w:szCs w:val="22"/>
        </w:rPr>
        <w:t xml:space="preserve">. </w:t>
      </w:r>
    </w:p>
    <w:p w14:paraId="7D18D32E" w14:textId="05ED51A1" w:rsidR="003F74A6" w:rsidRPr="003F74A6" w:rsidRDefault="003F74A6" w:rsidP="003F74A6">
      <w:pPr>
        <w:pStyle w:val="Heading1"/>
        <w:numPr>
          <w:ilvl w:val="0"/>
          <w:numId w:val="0"/>
        </w:numPr>
        <w:ind w:left="432" w:hanging="432"/>
      </w:pPr>
      <w:bookmarkStart w:id="4" w:name="_Toc194492184"/>
      <w:r>
        <w:t>Background</w:t>
      </w:r>
      <w:bookmarkEnd w:id="4"/>
    </w:p>
    <w:p w14:paraId="33E0104B" w14:textId="0D9B7B64" w:rsidR="00186A9A" w:rsidRDefault="000B4EC3" w:rsidP="003F74A6">
      <w:r>
        <w:t xml:space="preserve">The Measure </w:t>
      </w:r>
      <w:r w:rsidR="00401932">
        <w:t xml:space="preserve">began </w:t>
      </w:r>
      <w:r>
        <w:t>1 July 2024</w:t>
      </w:r>
      <w:r w:rsidR="00B50080">
        <w:t xml:space="preserve">. </w:t>
      </w:r>
    </w:p>
    <w:p w14:paraId="027F13DE" w14:textId="0E783042" w:rsidR="003F74A6" w:rsidRPr="00944A31" w:rsidRDefault="003F74A6" w:rsidP="003F74A6">
      <w:r w:rsidRPr="00944A31">
        <w:t>The Measure aims to:</w:t>
      </w:r>
    </w:p>
    <w:p w14:paraId="6029D0D0" w14:textId="48187657" w:rsidR="003F74A6" w:rsidRPr="00944A31" w:rsidRDefault="003F74A6" w:rsidP="003F74A6">
      <w:pPr>
        <w:pStyle w:val="ListBullet"/>
      </w:pPr>
      <w:r w:rsidRPr="00944A31">
        <w:t xml:space="preserve">improve medication use and safety in </w:t>
      </w:r>
      <w:r w:rsidR="00401932">
        <w:t>RACHs</w:t>
      </w:r>
      <w:r w:rsidRPr="00944A31">
        <w:t xml:space="preserve">, including safe and appropriate use of </w:t>
      </w:r>
      <w:r w:rsidR="00970E0F" w:rsidRPr="00944A31">
        <w:t>high</w:t>
      </w:r>
      <w:r w:rsidR="00401932">
        <w:t>-</w:t>
      </w:r>
      <w:r w:rsidR="00970E0F" w:rsidRPr="00944A31">
        <w:t>risk</w:t>
      </w:r>
      <w:r w:rsidRPr="00944A31">
        <w:t xml:space="preserve"> medications</w:t>
      </w:r>
    </w:p>
    <w:p w14:paraId="3F3C9900" w14:textId="39FE28BA" w:rsidR="003F74A6" w:rsidRPr="00944A31" w:rsidRDefault="003F74A6" w:rsidP="003F74A6">
      <w:pPr>
        <w:pStyle w:val="ListBullet"/>
      </w:pPr>
      <w:r w:rsidRPr="00944A31">
        <w:t>provide continuity in medication management, such as day-to-day review</w:t>
      </w:r>
      <w:r w:rsidR="000D5104">
        <w:t>s</w:t>
      </w:r>
      <w:r w:rsidRPr="00944A31">
        <w:t xml:space="preserve"> of medications and </w:t>
      </w:r>
      <w:r w:rsidR="00401932">
        <w:t>quick</w:t>
      </w:r>
      <w:r w:rsidR="00401932" w:rsidRPr="00944A31">
        <w:t xml:space="preserve"> </w:t>
      </w:r>
      <w:r w:rsidRPr="00944A31">
        <w:t>issue resolution</w:t>
      </w:r>
    </w:p>
    <w:p w14:paraId="12C672E3" w14:textId="78AD3CFD" w:rsidR="003F74A6" w:rsidRPr="00944A31" w:rsidRDefault="003F74A6" w:rsidP="003F74A6">
      <w:pPr>
        <w:pStyle w:val="ListBullet"/>
      </w:pPr>
      <w:r w:rsidRPr="00944A31">
        <w:t>provide easy access to pharmacist advice for residents and staff</w:t>
      </w:r>
    </w:p>
    <w:p w14:paraId="623238CB" w14:textId="3A25520F" w:rsidR="003F74A6" w:rsidRPr="00944A31" w:rsidRDefault="003F74A6" w:rsidP="003F74A6">
      <w:pPr>
        <w:pStyle w:val="ListBullet"/>
      </w:pPr>
      <w:r w:rsidRPr="00944A31">
        <w:t>integrate on-site pharmacists with the health care team, including local general practitioners, nurses and</w:t>
      </w:r>
      <w:r w:rsidR="00401932">
        <w:t xml:space="preserve"> the</w:t>
      </w:r>
      <w:r w:rsidRPr="00944A31">
        <w:t xml:space="preserve"> community pharmacy</w:t>
      </w:r>
    </w:p>
    <w:p w14:paraId="5EB90D32" w14:textId="07CA6CF6" w:rsidR="00614E0E" w:rsidRDefault="003F74A6" w:rsidP="00900241">
      <w:pPr>
        <w:pStyle w:val="ListBullet"/>
      </w:pPr>
      <w:r w:rsidRPr="00944A31">
        <w:t>increase understanding</w:t>
      </w:r>
      <w:r w:rsidR="00401932">
        <w:t xml:space="preserve"> of</w:t>
      </w:r>
      <w:r w:rsidRPr="00944A31">
        <w:t xml:space="preserve"> and response to individual resident needs.</w:t>
      </w:r>
    </w:p>
    <w:p w14:paraId="39C6AF01" w14:textId="77777777" w:rsidR="00DF411F" w:rsidRDefault="00DF411F" w:rsidP="00DF411F">
      <w:pPr>
        <w:pStyle w:val="Heading1"/>
      </w:pPr>
      <w:bookmarkStart w:id="5" w:name="_Toc194492185"/>
      <w:r>
        <w:lastRenderedPageBreak/>
        <w:t>Role of PHNs</w:t>
      </w:r>
      <w:bookmarkEnd w:id="5"/>
    </w:p>
    <w:p w14:paraId="42F8CCC8" w14:textId="0DA6236A" w:rsidR="007C282B" w:rsidRDefault="00DF411F" w:rsidP="00DF411F">
      <w:bookmarkStart w:id="6" w:name="_Hlk189732059"/>
      <w:r>
        <w:t xml:space="preserve">Primary Health Networks </w:t>
      </w:r>
      <w:r w:rsidR="00067AC6">
        <w:t>will help</w:t>
      </w:r>
      <w:r>
        <w:t xml:space="preserve"> Residential </w:t>
      </w:r>
      <w:bookmarkEnd w:id="6"/>
      <w:r>
        <w:t xml:space="preserve">Aged Care Homes to participate in the Aged Care On-site Pharmacist Measure, primarily through Tier 2 of the Measure. </w:t>
      </w:r>
    </w:p>
    <w:p w14:paraId="16349A53" w14:textId="7BA10B6B" w:rsidR="00DF411F" w:rsidRDefault="007C282B" w:rsidP="00DF411F">
      <w:r w:rsidRPr="007C282B">
        <w:t>Eligible grant activities can be found below, as per section 5.1 of the Aged Care On-site Pharmacist Measure – Residential Aged Care Home Support Grant Program Grant Opportunity Guidelines</w:t>
      </w:r>
      <w:r w:rsidR="00401932">
        <w:t>:</w:t>
      </w:r>
    </w:p>
    <w:p w14:paraId="092B674A" w14:textId="050D8D57" w:rsidR="00970E0F" w:rsidRDefault="00970E0F" w:rsidP="00970E0F">
      <w:pPr>
        <w:pStyle w:val="ListBullet"/>
        <w:numPr>
          <w:ilvl w:val="0"/>
          <w:numId w:val="14"/>
        </w:numPr>
      </w:pPr>
      <w:r w:rsidRPr="00E55662">
        <w:t>Coordinat</w:t>
      </w:r>
      <w:r w:rsidR="001F4ED4">
        <w:t>ion</w:t>
      </w:r>
      <w:r w:rsidRPr="00E55662">
        <w:t xml:space="preserve"> of information to RACHs in the PHN’s region about the Measure. This may include: </w:t>
      </w:r>
    </w:p>
    <w:p w14:paraId="48BAA92F" w14:textId="132E6775" w:rsidR="00970E0F" w:rsidRPr="00E55662" w:rsidRDefault="00970E0F" w:rsidP="00970E0F">
      <w:pPr>
        <w:pStyle w:val="ListBullet"/>
        <w:numPr>
          <w:ilvl w:val="1"/>
          <w:numId w:val="14"/>
        </w:numPr>
      </w:pPr>
      <w:r w:rsidRPr="00E55662">
        <w:t xml:space="preserve">proactively contacting RACHs and informing </w:t>
      </w:r>
      <w:r w:rsidR="006A79CC">
        <w:t xml:space="preserve">them </w:t>
      </w:r>
      <w:r w:rsidRPr="00E55662">
        <w:t xml:space="preserve">how to access an eligible pharmacist and </w:t>
      </w:r>
      <w:r w:rsidR="00DE2B82">
        <w:t>about</w:t>
      </w:r>
      <w:r w:rsidRPr="00E55662">
        <w:t xml:space="preserve"> </w:t>
      </w:r>
      <w:r w:rsidR="00213C4E">
        <w:t xml:space="preserve">the </w:t>
      </w:r>
      <w:r w:rsidRPr="00E55662">
        <w:t>role of the on-site pharmacist</w:t>
      </w:r>
      <w:r w:rsidR="005504FC">
        <w:t>.</w:t>
      </w:r>
    </w:p>
    <w:p w14:paraId="28039EBF" w14:textId="6B0F089D" w:rsidR="00970E0F" w:rsidRPr="00E55662" w:rsidRDefault="00970E0F" w:rsidP="00970E0F">
      <w:pPr>
        <w:pStyle w:val="ListBullet"/>
        <w:numPr>
          <w:ilvl w:val="1"/>
          <w:numId w:val="14"/>
        </w:numPr>
      </w:pPr>
      <w:r w:rsidRPr="00E55662">
        <w:t>coordinating and convening meetings, workshops and/or webinars for RACHs</w:t>
      </w:r>
    </w:p>
    <w:p w14:paraId="2459CF31" w14:textId="77777777" w:rsidR="00970E0F" w:rsidRPr="00E55662" w:rsidRDefault="00970E0F" w:rsidP="00970E0F">
      <w:pPr>
        <w:pStyle w:val="ListBullet"/>
        <w:numPr>
          <w:ilvl w:val="1"/>
          <w:numId w:val="14"/>
        </w:numPr>
      </w:pPr>
      <w:r w:rsidRPr="00E55662">
        <w:t xml:space="preserve">guiding RACHs, or others interested in the Measure, to relevant information materials. </w:t>
      </w:r>
    </w:p>
    <w:p w14:paraId="22705544" w14:textId="1DC87F0F" w:rsidR="00970E0F" w:rsidRDefault="00970E0F" w:rsidP="00970E0F">
      <w:pPr>
        <w:pStyle w:val="ListBullet"/>
        <w:numPr>
          <w:ilvl w:val="0"/>
          <w:numId w:val="14"/>
        </w:numPr>
      </w:pPr>
      <w:r w:rsidRPr="00E55662">
        <w:t xml:space="preserve">Manage requests for support from RACHs seeking to engage eligible pharmacists to work on-site. This may include: </w:t>
      </w:r>
    </w:p>
    <w:p w14:paraId="4A83C8A0" w14:textId="02402A8C" w:rsidR="00970E0F" w:rsidRPr="00E55662" w:rsidRDefault="00970E0F" w:rsidP="00970E0F">
      <w:pPr>
        <w:pStyle w:val="ListBullet"/>
        <w:numPr>
          <w:ilvl w:val="1"/>
          <w:numId w:val="14"/>
        </w:numPr>
      </w:pPr>
      <w:r w:rsidRPr="00E55662">
        <w:t xml:space="preserve">meeting with individual RACHs to </w:t>
      </w:r>
      <w:r w:rsidR="005504FC">
        <w:t>confirm</w:t>
      </w:r>
      <w:r w:rsidRPr="00E55662">
        <w:t xml:space="preserve"> their specific requirements</w:t>
      </w:r>
      <w:r w:rsidR="005504FC">
        <w:t>.</w:t>
      </w:r>
      <w:r w:rsidRPr="00E55662">
        <w:t xml:space="preserve"> </w:t>
      </w:r>
      <w:r w:rsidR="005504FC">
        <w:t xml:space="preserve">This could include </w:t>
      </w:r>
      <w:r w:rsidRPr="00E55662">
        <w:t xml:space="preserve">the number of pharmacists being sought </w:t>
      </w:r>
      <w:r w:rsidR="005504FC">
        <w:t xml:space="preserve">after </w:t>
      </w:r>
      <w:r w:rsidRPr="00E55662">
        <w:t xml:space="preserve">and their proposed working hours </w:t>
      </w:r>
      <w:r w:rsidR="005504FC">
        <w:t xml:space="preserve">compared </w:t>
      </w:r>
      <w:r w:rsidRPr="00E55662">
        <w:t>to the number of beds in each RACH</w:t>
      </w:r>
      <w:r w:rsidR="005504FC">
        <w:t>.</w:t>
      </w:r>
    </w:p>
    <w:p w14:paraId="3CB4816F" w14:textId="480CAA42" w:rsidR="00970E0F" w:rsidRPr="00E55662" w:rsidRDefault="00970E0F" w:rsidP="00970E0F">
      <w:pPr>
        <w:pStyle w:val="ListBullet"/>
        <w:numPr>
          <w:ilvl w:val="1"/>
          <w:numId w:val="14"/>
        </w:numPr>
      </w:pPr>
      <w:r w:rsidRPr="00E55662">
        <w:t xml:space="preserve">maintaining data on RACHs and their specific requirements </w:t>
      </w:r>
      <w:r w:rsidR="005504FC">
        <w:t xml:space="preserve">regarding </w:t>
      </w:r>
      <w:r w:rsidRPr="00E55662">
        <w:t xml:space="preserve">the Measure. </w:t>
      </w:r>
    </w:p>
    <w:p w14:paraId="73D65AF5" w14:textId="77777777" w:rsidR="00970E0F" w:rsidRDefault="00970E0F" w:rsidP="00970E0F">
      <w:pPr>
        <w:pStyle w:val="ListBullet"/>
        <w:numPr>
          <w:ilvl w:val="0"/>
          <w:numId w:val="14"/>
        </w:numPr>
      </w:pPr>
      <w:r w:rsidRPr="00E55662">
        <w:t xml:space="preserve">Identify eligible pharmacists who are available to work on-site in RACHs as part of the Measure. This may involve: </w:t>
      </w:r>
    </w:p>
    <w:p w14:paraId="016C6ED4" w14:textId="1A1EF9DE" w:rsidR="00970E0F" w:rsidRPr="00E55662" w:rsidRDefault="00970E0F" w:rsidP="00970E0F">
      <w:pPr>
        <w:pStyle w:val="ListBullet"/>
        <w:numPr>
          <w:ilvl w:val="1"/>
          <w:numId w:val="14"/>
        </w:numPr>
      </w:pPr>
      <w:r w:rsidRPr="00E55662">
        <w:t>coordinating and working collaboratively across the aged care and pharmacy sectors</w:t>
      </w:r>
      <w:r w:rsidR="005504FC">
        <w:t>.</w:t>
      </w:r>
      <w:r w:rsidRPr="00E55662">
        <w:t xml:space="preserve"> </w:t>
      </w:r>
      <w:r w:rsidR="005504FC">
        <w:t xml:space="preserve">This could </w:t>
      </w:r>
      <w:r w:rsidRPr="00E55662">
        <w:t>includ</w:t>
      </w:r>
      <w:r w:rsidR="005504FC">
        <w:t>e</w:t>
      </w:r>
      <w:r w:rsidRPr="00E55662">
        <w:t xml:space="preserve"> </w:t>
      </w:r>
      <w:r w:rsidR="005504FC">
        <w:t xml:space="preserve">working </w:t>
      </w:r>
      <w:r w:rsidRPr="00E55662">
        <w:t>with peak bodies to identify eligible pharmacists who may be available in the PHN’s region and match them with interested RACHs</w:t>
      </w:r>
      <w:r w:rsidR="005504FC">
        <w:t>.</w:t>
      </w:r>
      <w:r w:rsidRPr="00E55662">
        <w:t xml:space="preserve"> </w:t>
      </w:r>
    </w:p>
    <w:p w14:paraId="37E47E61" w14:textId="77777777" w:rsidR="00970E0F" w:rsidRPr="00E55662" w:rsidRDefault="00970E0F" w:rsidP="00970E0F">
      <w:pPr>
        <w:pStyle w:val="ListBullet"/>
        <w:numPr>
          <w:ilvl w:val="1"/>
          <w:numId w:val="14"/>
        </w:numPr>
      </w:pPr>
      <w:r w:rsidRPr="00E55662">
        <w:t xml:space="preserve">collaborating with other PHNs in neighbouring regions. </w:t>
      </w:r>
    </w:p>
    <w:p w14:paraId="53D10E07" w14:textId="77777777" w:rsidR="00970E0F" w:rsidRDefault="00970E0F" w:rsidP="00970E0F">
      <w:pPr>
        <w:pStyle w:val="ListBullet"/>
        <w:numPr>
          <w:ilvl w:val="0"/>
          <w:numId w:val="14"/>
        </w:numPr>
      </w:pPr>
      <w:r w:rsidRPr="00E55662">
        <w:t xml:space="preserve">Ensure that pharmacists seeking to participate in the Measure meet the eligibility requirements. This may involve: </w:t>
      </w:r>
    </w:p>
    <w:p w14:paraId="16141017" w14:textId="77777777" w:rsidR="00970E0F" w:rsidRPr="00E55662" w:rsidRDefault="00970E0F" w:rsidP="00970E0F">
      <w:pPr>
        <w:pStyle w:val="ListBullet"/>
        <w:numPr>
          <w:ilvl w:val="1"/>
          <w:numId w:val="14"/>
        </w:numPr>
      </w:pPr>
      <w:r w:rsidRPr="00E55662">
        <w:t xml:space="preserve">obtaining evidence of the interested pharmacist's qualifications, registration and credentials </w:t>
      </w:r>
    </w:p>
    <w:p w14:paraId="1ABA0B43" w14:textId="105D0769" w:rsidR="00970E0F" w:rsidRPr="00E55662" w:rsidRDefault="00970E0F" w:rsidP="00970E0F">
      <w:pPr>
        <w:pStyle w:val="ListBullet"/>
        <w:numPr>
          <w:ilvl w:val="1"/>
          <w:numId w:val="14"/>
        </w:numPr>
      </w:pPr>
      <w:r w:rsidRPr="00E55662">
        <w:t xml:space="preserve">consulting with providers of </w:t>
      </w:r>
      <w:r w:rsidR="00081598">
        <w:t xml:space="preserve">the </w:t>
      </w:r>
      <w:r w:rsidRPr="00E55662">
        <w:t xml:space="preserve">Australian Pharmacy Council (APC)-accredited training programs </w:t>
      </w:r>
    </w:p>
    <w:p w14:paraId="6E4ED910" w14:textId="77777777" w:rsidR="00970E0F" w:rsidRPr="00E55662" w:rsidRDefault="00970E0F" w:rsidP="00970E0F">
      <w:pPr>
        <w:pStyle w:val="ListBullet"/>
        <w:numPr>
          <w:ilvl w:val="1"/>
          <w:numId w:val="14"/>
        </w:numPr>
      </w:pPr>
      <w:r w:rsidRPr="00E55662">
        <w:t xml:space="preserve">consulting with the Department of Health and Aged Care. </w:t>
      </w:r>
    </w:p>
    <w:p w14:paraId="61EA1ED7" w14:textId="77777777" w:rsidR="00970E0F" w:rsidRDefault="00970E0F" w:rsidP="00970E0F">
      <w:pPr>
        <w:pStyle w:val="ListBullet"/>
        <w:numPr>
          <w:ilvl w:val="0"/>
          <w:numId w:val="14"/>
        </w:numPr>
      </w:pPr>
      <w:r w:rsidRPr="00E55662">
        <w:t xml:space="preserve">Provide RACHs with information about eligible pharmacists seeking to be employed by RACHs under the Measure. This may include: </w:t>
      </w:r>
    </w:p>
    <w:p w14:paraId="6DAE0AD3" w14:textId="120810A7" w:rsidR="00970E0F" w:rsidRPr="00E55662" w:rsidRDefault="00081598" w:rsidP="00970E0F">
      <w:pPr>
        <w:pStyle w:val="ListBullet"/>
        <w:numPr>
          <w:ilvl w:val="1"/>
          <w:numId w:val="14"/>
        </w:numPr>
      </w:pPr>
      <w:r>
        <w:t>p</w:t>
      </w:r>
      <w:r w:rsidR="00970E0F" w:rsidRPr="00E55662">
        <w:t>rovi</w:t>
      </w:r>
      <w:r>
        <w:t>ding a</w:t>
      </w:r>
      <w:r w:rsidR="00970E0F" w:rsidRPr="00E55662">
        <w:t xml:space="preserve"> summary about eligible pharmacists </w:t>
      </w:r>
      <w:r>
        <w:t xml:space="preserve">based on </w:t>
      </w:r>
      <w:r w:rsidR="00970E0F" w:rsidRPr="00E55662">
        <w:t xml:space="preserve">information </w:t>
      </w:r>
      <w:r w:rsidRPr="00E55662">
        <w:t>collected</w:t>
      </w:r>
      <w:r w:rsidR="00970E0F" w:rsidRPr="00E55662">
        <w:t xml:space="preserve"> by the PHN</w:t>
      </w:r>
      <w:r>
        <w:t>. This</w:t>
      </w:r>
      <w:r w:rsidR="00BB0054">
        <w:t xml:space="preserve"> may</w:t>
      </w:r>
      <w:r>
        <w:t xml:space="preserve"> include </w:t>
      </w:r>
      <w:r w:rsidR="00970E0F" w:rsidRPr="00E55662">
        <w:t xml:space="preserve">their qualifications, registration, credentials and preferred working hours </w:t>
      </w:r>
      <w:r>
        <w:t>compared</w:t>
      </w:r>
      <w:r w:rsidR="00970E0F" w:rsidRPr="00E55662">
        <w:t xml:space="preserve"> to RACH requirements</w:t>
      </w:r>
      <w:r>
        <w:t>.</w:t>
      </w:r>
      <w:r w:rsidR="00970E0F" w:rsidRPr="00E55662">
        <w:t xml:space="preserve"> </w:t>
      </w:r>
    </w:p>
    <w:p w14:paraId="48E22FFF" w14:textId="5D9CE56C" w:rsidR="00970E0F" w:rsidRPr="00E55662" w:rsidRDefault="00081598" w:rsidP="00970E0F">
      <w:pPr>
        <w:pStyle w:val="ListBullet"/>
        <w:numPr>
          <w:ilvl w:val="1"/>
          <w:numId w:val="14"/>
        </w:numPr>
      </w:pPr>
      <w:r>
        <w:t>organising</w:t>
      </w:r>
      <w:r w:rsidR="00970E0F" w:rsidRPr="00E55662">
        <w:t xml:space="preserve"> meeting</w:t>
      </w:r>
      <w:r>
        <w:t>s</w:t>
      </w:r>
      <w:r w:rsidR="00970E0F" w:rsidRPr="00E55662">
        <w:t xml:space="preserve"> </w:t>
      </w:r>
      <w:r>
        <w:t xml:space="preserve">between </w:t>
      </w:r>
      <w:r w:rsidR="00970E0F" w:rsidRPr="00E55662">
        <w:t>eligible pharmacists and RACH representative</w:t>
      </w:r>
      <w:r>
        <w:t>s</w:t>
      </w:r>
      <w:r w:rsidR="00970E0F" w:rsidRPr="00E55662">
        <w:t xml:space="preserve"> to </w:t>
      </w:r>
      <w:r>
        <w:t>help</w:t>
      </w:r>
      <w:r w:rsidR="00970E0F" w:rsidRPr="00E55662">
        <w:t xml:space="preserve"> the RACH choos</w:t>
      </w:r>
      <w:r>
        <w:t>e</w:t>
      </w:r>
      <w:r w:rsidR="00970E0F" w:rsidRPr="00E55662">
        <w:t xml:space="preserve"> its pharmacist employee. </w:t>
      </w:r>
    </w:p>
    <w:p w14:paraId="2858207B" w14:textId="4145DC25" w:rsidR="00970E0F" w:rsidRPr="00E55662" w:rsidRDefault="00970E0F" w:rsidP="00970E0F">
      <w:pPr>
        <w:pStyle w:val="ListBullet"/>
        <w:numPr>
          <w:ilvl w:val="0"/>
          <w:numId w:val="14"/>
        </w:numPr>
      </w:pPr>
      <w:r w:rsidRPr="00E55662">
        <w:lastRenderedPageBreak/>
        <w:t>Support RACHs</w:t>
      </w:r>
      <w:r>
        <w:t xml:space="preserve"> wanting to participate in the Measure</w:t>
      </w:r>
      <w:r w:rsidRPr="00E55662">
        <w:t xml:space="preserve"> to engage eligible pharmacists to work on-site. </w:t>
      </w:r>
    </w:p>
    <w:p w14:paraId="57E2D62A" w14:textId="758D226D" w:rsidR="00970E0F" w:rsidRPr="00E55662" w:rsidRDefault="00081598" w:rsidP="00970E0F">
      <w:pPr>
        <w:pStyle w:val="ListBullet"/>
        <w:numPr>
          <w:ilvl w:val="0"/>
          <w:numId w:val="14"/>
        </w:numPr>
      </w:pPr>
      <w:r>
        <w:t>U</w:t>
      </w:r>
      <w:r w:rsidRPr="00E55662">
        <w:t>tilis</w:t>
      </w:r>
      <w:r>
        <w:t>e</w:t>
      </w:r>
      <w:r w:rsidRPr="00E55662">
        <w:t xml:space="preserve"> the connections of the PHN</w:t>
      </w:r>
      <w:r>
        <w:t xml:space="preserve"> to s</w:t>
      </w:r>
      <w:r w:rsidR="00970E0F" w:rsidRPr="00E55662">
        <w:t xml:space="preserve">upport engagement between RACHs, their pharmacists employed under the Measure, their residents’ general practitioners and other relevant health professionals. </w:t>
      </w:r>
    </w:p>
    <w:p w14:paraId="343EEE0A" w14:textId="7B4E4C13" w:rsidR="00970E0F" w:rsidRPr="00E55662" w:rsidRDefault="00970E0F" w:rsidP="00970E0F">
      <w:pPr>
        <w:pStyle w:val="ListBullet"/>
        <w:numPr>
          <w:ilvl w:val="0"/>
          <w:numId w:val="14"/>
        </w:numPr>
      </w:pPr>
      <w:r w:rsidRPr="00E55662">
        <w:t xml:space="preserve">Support communication and collaboration between pharmacists </w:t>
      </w:r>
      <w:r w:rsidR="00AE6EA9">
        <w:t>in</w:t>
      </w:r>
      <w:r w:rsidR="00AE6EA9" w:rsidRPr="00E55662">
        <w:t xml:space="preserve"> the PHN’s region</w:t>
      </w:r>
      <w:r w:rsidR="00AE6EA9">
        <w:t>,</w:t>
      </w:r>
      <w:r w:rsidR="00AE6EA9" w:rsidRPr="00E55662">
        <w:t xml:space="preserve"> </w:t>
      </w:r>
      <w:r w:rsidR="00AE6EA9">
        <w:t xml:space="preserve">that are </w:t>
      </w:r>
      <w:r w:rsidRPr="00E55662">
        <w:t xml:space="preserve">employed by RACHs under the Measure. </w:t>
      </w:r>
    </w:p>
    <w:p w14:paraId="6D3EB4DF" w14:textId="5D934C55" w:rsidR="00970E0F" w:rsidRDefault="00970E0F" w:rsidP="00970E0F">
      <w:pPr>
        <w:pStyle w:val="ListBullet"/>
        <w:numPr>
          <w:ilvl w:val="0"/>
          <w:numId w:val="14"/>
        </w:numPr>
      </w:pPr>
      <w:r w:rsidRPr="00E55662">
        <w:t>U</w:t>
      </w:r>
      <w:r w:rsidR="00AE6EA9">
        <w:t xml:space="preserve">se </w:t>
      </w:r>
      <w:r w:rsidRPr="00E55662">
        <w:t xml:space="preserve">the funding in </w:t>
      </w:r>
      <w:r w:rsidR="00AE6EA9">
        <w:t>line</w:t>
      </w:r>
      <w:r w:rsidRPr="00E55662">
        <w:t xml:space="preserve"> with the approved Activity Work Plan and the other </w:t>
      </w:r>
      <w:r w:rsidR="00AE6EA9">
        <w:t>requirements</w:t>
      </w:r>
      <w:r w:rsidRPr="00E55662">
        <w:t xml:space="preserve"> of the Aged Care Schedule to the PHN funding agreement. This includes employ</w:t>
      </w:r>
      <w:r w:rsidR="00AE6EA9">
        <w:t>ing</w:t>
      </w:r>
      <w:r w:rsidRPr="00E55662">
        <w:t xml:space="preserve"> appropriately qualified staff or upskill</w:t>
      </w:r>
      <w:r w:rsidR="00AE6EA9">
        <w:t>ing</w:t>
      </w:r>
      <w:r w:rsidRPr="00E55662">
        <w:t xml:space="preserve"> existing staff to administer the activities. </w:t>
      </w:r>
    </w:p>
    <w:p w14:paraId="17BD41CF" w14:textId="77777777" w:rsidR="00970E0F" w:rsidRDefault="00970E0F" w:rsidP="00970E0F">
      <w:pPr>
        <w:pStyle w:val="ListBullet"/>
        <w:numPr>
          <w:ilvl w:val="0"/>
          <w:numId w:val="0"/>
        </w:numPr>
        <w:ind w:left="720"/>
      </w:pPr>
    </w:p>
    <w:p w14:paraId="5FAA9CA6" w14:textId="647AB30F" w:rsidR="00D414A8" w:rsidRPr="00D414A8" w:rsidRDefault="006E5294" w:rsidP="003D0157">
      <w:pPr>
        <w:pStyle w:val="Heading1"/>
      </w:pPr>
      <w:bookmarkStart w:id="7" w:name="_Toc194492186"/>
      <w:r w:rsidRPr="006E5294">
        <w:t>Overview of the Aged Care On-site Pharmacist Measure</w:t>
      </w:r>
      <w:bookmarkEnd w:id="7"/>
    </w:p>
    <w:p w14:paraId="7C2336F8" w14:textId="537777CA" w:rsidR="00DF411F" w:rsidRDefault="00DF411F" w:rsidP="00DF411F">
      <w:pPr>
        <w:pStyle w:val="Heading2"/>
      </w:pPr>
      <w:bookmarkStart w:id="8" w:name="_Toc194492187"/>
      <w:r>
        <w:t>Measure Administration</w:t>
      </w:r>
      <w:r w:rsidR="006D5256">
        <w:t xml:space="preserve"> and </w:t>
      </w:r>
      <w:r w:rsidR="00CA1E1B">
        <w:t>P</w:t>
      </w:r>
      <w:r w:rsidR="006D5256">
        <w:t>ayments</w:t>
      </w:r>
      <w:bookmarkEnd w:id="8"/>
    </w:p>
    <w:p w14:paraId="6E00BF4D" w14:textId="15C4C7BF" w:rsidR="00DF411F" w:rsidRPr="007F4DE3" w:rsidRDefault="00DF411F" w:rsidP="00DF411F">
      <w:r>
        <w:t>The Pharmacy Programs Administrator (PPA)</w:t>
      </w:r>
      <w:r w:rsidR="00255599">
        <w:t xml:space="preserve"> administers the Measure</w:t>
      </w:r>
      <w:r>
        <w:t xml:space="preserve">. </w:t>
      </w:r>
      <w:r w:rsidRPr="00ED7FA9">
        <w:t>The PPA is an agency responsible for administering, processing, and paying claims</w:t>
      </w:r>
      <w:r w:rsidR="00C974C2">
        <w:t xml:space="preserve"> for pharmacist salaries under</w:t>
      </w:r>
      <w:r w:rsidRPr="00ED7FA9">
        <w:t xml:space="preserve"> the ACOP Measure</w:t>
      </w:r>
      <w:r w:rsidR="00255599">
        <w:t>.</w:t>
      </w:r>
      <w:r w:rsidRPr="00ED7FA9">
        <w:t xml:space="preserve"> The PPA also undertakes monitoring and compliance activities </w:t>
      </w:r>
      <w:r w:rsidR="00255599">
        <w:t>relating</w:t>
      </w:r>
      <w:r w:rsidRPr="00ED7FA9">
        <w:t xml:space="preserve"> to the ACOP Measure.</w:t>
      </w:r>
    </w:p>
    <w:p w14:paraId="2DB7ECE0" w14:textId="289F98A3" w:rsidR="00DF411F" w:rsidRDefault="00DF411F" w:rsidP="00DF411F">
      <w:r>
        <w:t xml:space="preserve">RACHs and </w:t>
      </w:r>
      <w:r w:rsidR="00401932">
        <w:t>c</w:t>
      </w:r>
      <w:r>
        <w:t xml:space="preserve">ommunity </w:t>
      </w:r>
      <w:r w:rsidR="00401932">
        <w:t>p</w:t>
      </w:r>
      <w:r>
        <w:t xml:space="preserve">harmacies wanting to participate in the Measure can apply through the </w:t>
      </w:r>
      <w:hyperlink r:id="rId21" w:history="1">
        <w:r>
          <w:rPr>
            <w:rStyle w:val="Hyperlink"/>
          </w:rPr>
          <w:t>PPA website</w:t>
        </w:r>
      </w:hyperlink>
      <w:r>
        <w:t xml:space="preserve">. </w:t>
      </w:r>
    </w:p>
    <w:p w14:paraId="0407299E" w14:textId="77777777" w:rsidR="00DF411F" w:rsidRDefault="00DF411F" w:rsidP="00DF411F">
      <w:r>
        <w:t>It is important to note the following:</w:t>
      </w:r>
    </w:p>
    <w:p w14:paraId="21D43684" w14:textId="280C5B85" w:rsidR="00DF411F" w:rsidRDefault="00DF411F">
      <w:pPr>
        <w:pStyle w:val="ListParagraph"/>
        <w:numPr>
          <w:ilvl w:val="0"/>
          <w:numId w:val="17"/>
        </w:numPr>
      </w:pPr>
      <w:r>
        <w:t xml:space="preserve">PHNs participating in the </w:t>
      </w:r>
      <w:r w:rsidRPr="00D83B30">
        <w:t>Aged Care On-site Pharmacist Measure – Residential Aged Care Home Support Grant Program</w:t>
      </w:r>
      <w:r>
        <w:t xml:space="preserve"> are not required to register </w:t>
      </w:r>
      <w:r w:rsidR="006E44B1">
        <w:t>with the PPA</w:t>
      </w:r>
      <w:r>
        <w:t xml:space="preserve">. </w:t>
      </w:r>
    </w:p>
    <w:p w14:paraId="653C2E8F" w14:textId="6CBD7000" w:rsidR="00DF411F" w:rsidRDefault="00DF411F">
      <w:pPr>
        <w:pStyle w:val="ListParagraph"/>
        <w:numPr>
          <w:ilvl w:val="0"/>
          <w:numId w:val="17"/>
        </w:numPr>
      </w:pPr>
      <w:r>
        <w:t>PHNs cannot register on behalf of a RACH that is wanting to participate.</w:t>
      </w:r>
    </w:p>
    <w:p w14:paraId="3E986FC3" w14:textId="4B28BD51" w:rsidR="00DF411F" w:rsidRDefault="00DF411F" w:rsidP="00DF411F">
      <w:pPr>
        <w:pStyle w:val="Heading2"/>
      </w:pPr>
      <w:bookmarkStart w:id="9" w:name="_Toc194492188"/>
      <w:r>
        <w:t>Residential Aged Care Homes accessing an ACOP</w:t>
      </w:r>
      <w:bookmarkEnd w:id="9"/>
    </w:p>
    <w:p w14:paraId="79045CE9" w14:textId="77777777" w:rsidR="00DF411F" w:rsidRPr="00A706F0" w:rsidRDefault="00DF411F" w:rsidP="00DF411F">
      <w:r w:rsidRPr="00A706F0">
        <w:t>There are two pathways through which a RACH can access an ACOP:</w:t>
      </w:r>
    </w:p>
    <w:p w14:paraId="376D4504" w14:textId="663EDE56" w:rsidR="00DF411F" w:rsidRPr="00C402B3" w:rsidRDefault="000D1195" w:rsidP="00DF411F">
      <w:pPr>
        <w:pStyle w:val="ListBullet"/>
      </w:pPr>
      <w:r>
        <w:t>C</w:t>
      </w:r>
      <w:r w:rsidR="00DF411F" w:rsidRPr="00A706F0">
        <w:t>ommunity pharmacies can engage ACOPs to work</w:t>
      </w:r>
      <w:r w:rsidR="00F139F7">
        <w:t xml:space="preserve"> on-site</w:t>
      </w:r>
      <w:r w:rsidR="00DF411F" w:rsidRPr="00A706F0">
        <w:t xml:space="preserve"> in eligible RACHs. </w:t>
      </w:r>
    </w:p>
    <w:p w14:paraId="75FD735B" w14:textId="6E650F02" w:rsidR="00DF411F" w:rsidRPr="00C402B3" w:rsidRDefault="00DF411F" w:rsidP="00DF411F">
      <w:pPr>
        <w:pStyle w:val="ListBullet"/>
      </w:pPr>
      <w:r w:rsidRPr="00C402B3">
        <w:t xml:space="preserve">Eligible RACHs can engage ACOPs </w:t>
      </w:r>
      <w:r w:rsidR="00255599">
        <w:t xml:space="preserve">directly </w:t>
      </w:r>
      <w:r w:rsidRPr="00C402B3">
        <w:t xml:space="preserve">to work at the RACH. This option becomes available if the RACH is unsuccessful in sourcing a pharmacist through </w:t>
      </w:r>
      <w:r w:rsidR="00B61DF1">
        <w:t>their preferred community pharmacy</w:t>
      </w:r>
      <w:r w:rsidRPr="00C402B3">
        <w:t>.</w:t>
      </w:r>
    </w:p>
    <w:p w14:paraId="173F6026" w14:textId="19065705" w:rsidR="00DF411F" w:rsidRDefault="00DF411F" w:rsidP="00DF411F">
      <w:pPr>
        <w:pStyle w:val="ListBullet"/>
        <w:numPr>
          <w:ilvl w:val="0"/>
          <w:numId w:val="0"/>
        </w:numPr>
      </w:pPr>
      <w:r w:rsidRPr="00186A9A">
        <w:t xml:space="preserve">It is not compulsory for a </w:t>
      </w:r>
      <w:r>
        <w:t>RACH</w:t>
      </w:r>
      <w:r w:rsidRPr="00186A9A">
        <w:t xml:space="preserve"> to take up an</w:t>
      </w:r>
      <w:r w:rsidR="0087623C">
        <w:t xml:space="preserve"> ACOP</w:t>
      </w:r>
      <w:r w:rsidRPr="00186A9A">
        <w:t>.</w:t>
      </w:r>
    </w:p>
    <w:p w14:paraId="47B8964B" w14:textId="6D5B1463" w:rsidR="001B59B8" w:rsidRDefault="001B59B8" w:rsidP="003D0157">
      <w:pPr>
        <w:pStyle w:val="Heading2"/>
      </w:pPr>
      <w:bookmarkStart w:id="10" w:name="_Toc194492189"/>
      <w:r>
        <w:t>Measure Funding</w:t>
      </w:r>
      <w:bookmarkEnd w:id="10"/>
    </w:p>
    <w:p w14:paraId="2C5113EE" w14:textId="392FB803" w:rsidR="00947669" w:rsidRDefault="00947669" w:rsidP="00947669">
      <w:r>
        <w:t xml:space="preserve">The Measure provides funding </w:t>
      </w:r>
      <w:r w:rsidR="00D713E6">
        <w:t xml:space="preserve">to employers </w:t>
      </w:r>
      <w:r>
        <w:t xml:space="preserve">for the ACOP salary, inclusive of on-costs. </w:t>
      </w:r>
      <w:r w:rsidR="00A71EBD" w:rsidRPr="00A94382">
        <w:t xml:space="preserve">Payments </w:t>
      </w:r>
      <w:r w:rsidR="007601A2">
        <w:t>received</w:t>
      </w:r>
      <w:r w:rsidR="00A71EBD" w:rsidRPr="00A94382">
        <w:t xml:space="preserve"> under the Measure cannot be used for any</w:t>
      </w:r>
      <w:r w:rsidR="00A71EBD">
        <w:t xml:space="preserve"> other</w:t>
      </w:r>
      <w:r w:rsidR="00A71EBD" w:rsidRPr="00A94382">
        <w:t xml:space="preserve"> purpose</w:t>
      </w:r>
      <w:r w:rsidR="00A71EBD">
        <w:t xml:space="preserve">. </w:t>
      </w:r>
      <w:r>
        <w:t>There are no additional financial incentives for community pharmacies or RACHs to participat</w:t>
      </w:r>
      <w:r w:rsidR="008F701B">
        <w:t>e</w:t>
      </w:r>
      <w:r>
        <w:t>.</w:t>
      </w:r>
      <w:r w:rsidR="00622BF3" w:rsidRPr="00622BF3">
        <w:t xml:space="preserve"> </w:t>
      </w:r>
    </w:p>
    <w:p w14:paraId="0666D98E" w14:textId="35D1D18A" w:rsidR="00E82EA7" w:rsidRDefault="00E82EA7">
      <w:pPr>
        <w:pStyle w:val="ListParagraph"/>
        <w:numPr>
          <w:ilvl w:val="0"/>
          <w:numId w:val="14"/>
        </w:numPr>
      </w:pPr>
      <w:bookmarkStart w:id="11" w:name="_Hlk192240313"/>
      <w:r>
        <w:t xml:space="preserve">The employer is provided </w:t>
      </w:r>
      <w:r w:rsidR="00255599">
        <w:t xml:space="preserve">with </w:t>
      </w:r>
      <w:r>
        <w:t xml:space="preserve">up to $138,282 per year for a full-time equivalent </w:t>
      </w:r>
      <w:r w:rsidR="001D4B6F">
        <w:t>ACOP</w:t>
      </w:r>
      <w:r>
        <w:t>. This</w:t>
      </w:r>
      <w:r w:rsidR="00963B96">
        <w:t xml:space="preserve"> </w:t>
      </w:r>
      <w:r>
        <w:t>includes</w:t>
      </w:r>
      <w:r w:rsidR="00963B96">
        <w:t>:</w:t>
      </w:r>
    </w:p>
    <w:p w14:paraId="32B4DC93" w14:textId="77777777" w:rsidR="00E82EA7" w:rsidRDefault="00E82EA7">
      <w:pPr>
        <w:pStyle w:val="ListParagraph"/>
        <w:numPr>
          <w:ilvl w:val="1"/>
          <w:numId w:val="14"/>
        </w:numPr>
      </w:pPr>
      <w:r>
        <w:lastRenderedPageBreak/>
        <w:t>20 days paid annual leave</w:t>
      </w:r>
    </w:p>
    <w:bookmarkEnd w:id="11"/>
    <w:p w14:paraId="5F7ED1E3" w14:textId="77777777" w:rsidR="00E82EA7" w:rsidRDefault="00E82EA7">
      <w:pPr>
        <w:pStyle w:val="ListParagraph"/>
        <w:numPr>
          <w:ilvl w:val="1"/>
          <w:numId w:val="14"/>
        </w:numPr>
      </w:pPr>
      <w:r>
        <w:t>up to 10 days paid personal leave</w:t>
      </w:r>
    </w:p>
    <w:p w14:paraId="1F46CD2E" w14:textId="77777777" w:rsidR="00E82EA7" w:rsidRDefault="00E82EA7">
      <w:pPr>
        <w:pStyle w:val="ListParagraph"/>
        <w:numPr>
          <w:ilvl w:val="1"/>
          <w:numId w:val="14"/>
        </w:numPr>
      </w:pPr>
      <w:r>
        <w:t>paid public holidays</w:t>
      </w:r>
    </w:p>
    <w:p w14:paraId="2E5C959D" w14:textId="7A3A1DC5" w:rsidR="00E82EA7" w:rsidRDefault="00E82EA7">
      <w:pPr>
        <w:pStyle w:val="ListParagraph"/>
        <w:numPr>
          <w:ilvl w:val="1"/>
          <w:numId w:val="14"/>
        </w:numPr>
      </w:pPr>
      <w:r>
        <w:t>superannuation.</w:t>
      </w:r>
    </w:p>
    <w:p w14:paraId="0C74E706" w14:textId="0FDFC050" w:rsidR="001D4B6F" w:rsidRDefault="001D4B6F">
      <w:pPr>
        <w:pStyle w:val="ListParagraph"/>
        <w:numPr>
          <w:ilvl w:val="0"/>
          <w:numId w:val="14"/>
        </w:numPr>
      </w:pPr>
      <w:r>
        <w:t xml:space="preserve">The ACOP and the employer will negotiate the pharmacist’s salary. This </w:t>
      </w:r>
      <w:r w:rsidR="00255599">
        <w:t>could lead to</w:t>
      </w:r>
      <w:r>
        <w:t xml:space="preserve"> a salary that is higher or lower than the government funding provided. </w:t>
      </w:r>
    </w:p>
    <w:p w14:paraId="759A4EA5" w14:textId="191BFC1B" w:rsidR="001D4B6F" w:rsidRDefault="001D4B6F">
      <w:pPr>
        <w:pStyle w:val="ListParagraph"/>
        <w:numPr>
          <w:ilvl w:val="0"/>
          <w:numId w:val="14"/>
        </w:numPr>
      </w:pPr>
      <w:r>
        <w:t>Where the on-site pharmacist’s salary is higher than the government funded amount, the employer funds the extra amount.</w:t>
      </w:r>
    </w:p>
    <w:p w14:paraId="2755E05A" w14:textId="680CBBE9" w:rsidR="00D83B30" w:rsidRDefault="00D83B30" w:rsidP="00947669">
      <w:r>
        <w:t>The Measure also provides funding</w:t>
      </w:r>
      <w:r w:rsidR="00255599">
        <w:t>,</w:t>
      </w:r>
      <w:r>
        <w:t xml:space="preserve"> through a Grant opportunity</w:t>
      </w:r>
      <w:r w:rsidR="00255599">
        <w:t>,</w:t>
      </w:r>
      <w:r>
        <w:t xml:space="preserve"> to Primary Health Networks participating in the </w:t>
      </w:r>
      <w:r w:rsidRPr="00D83B30">
        <w:t>Aged Care On-site Pharmacist Measure – Residential Aged Care Home Support Grant Program.</w:t>
      </w:r>
    </w:p>
    <w:p w14:paraId="72B529A3" w14:textId="5CE81C2B" w:rsidR="00A268B1" w:rsidRDefault="00A268B1" w:rsidP="00A268B1">
      <w:pPr>
        <w:pStyle w:val="Heading2"/>
      </w:pPr>
      <w:bookmarkStart w:id="12" w:name="_Toc194492190"/>
      <w:r>
        <w:t>RACH Funding Entitlement</w:t>
      </w:r>
      <w:bookmarkEnd w:id="12"/>
    </w:p>
    <w:p w14:paraId="0D0A4439" w14:textId="5EF0F190" w:rsidR="00A268B1" w:rsidRPr="006B7F2F" w:rsidRDefault="007D3ECD" w:rsidP="00A268B1">
      <w:r>
        <w:t>T</w:t>
      </w:r>
      <w:r w:rsidRPr="006B7F2F">
        <w:t>he Measure</w:t>
      </w:r>
      <w:r w:rsidRPr="006B7F2F" w:rsidDel="007D3ECD">
        <w:t xml:space="preserve"> </w:t>
      </w:r>
      <w:r>
        <w:t xml:space="preserve">will provide funding for a </w:t>
      </w:r>
      <w:r w:rsidR="00A268B1" w:rsidRPr="006B7F2F">
        <w:t>ratio of one ACOP per 250 beds in a RACH</w:t>
      </w:r>
      <w:r>
        <w:t>.</w:t>
      </w:r>
      <w:r w:rsidR="00A268B1" w:rsidRPr="006B7F2F">
        <w:t xml:space="preserve"> </w:t>
      </w:r>
    </w:p>
    <w:p w14:paraId="5DE7F6AD" w14:textId="127704AD" w:rsidR="00A268B1" w:rsidRPr="006B7F2F" w:rsidRDefault="00A268B1" w:rsidP="00A268B1">
      <w:r w:rsidRPr="006B7F2F">
        <w:t xml:space="preserve">Funding is </w:t>
      </w:r>
      <w:r w:rsidR="007D3ECD">
        <w:t>organise</w:t>
      </w:r>
      <w:r w:rsidR="00A71EBD">
        <w:t>d</w:t>
      </w:r>
      <w:r w:rsidRPr="006B7F2F">
        <w:t xml:space="preserve"> into 50 bed increments </w:t>
      </w:r>
      <w:r w:rsidR="007D3ECD" w:rsidRPr="006B7F2F">
        <w:t>equ</w:t>
      </w:r>
      <w:r w:rsidR="007D3ECD">
        <w:t>alling</w:t>
      </w:r>
      <w:r w:rsidRPr="006B7F2F">
        <w:t xml:space="preserve"> </w:t>
      </w:r>
      <w:r w:rsidR="007D3ECD">
        <w:t>one</w:t>
      </w:r>
      <w:r w:rsidRPr="006B7F2F">
        <w:t xml:space="preserve"> ACOP</w:t>
      </w:r>
      <w:r w:rsidR="007D3ECD">
        <w:t>,</w:t>
      </w:r>
      <w:r w:rsidRPr="006B7F2F">
        <w:t xml:space="preserve"> one day per week. This means funding is in full days per week to support pharmacists building a presence on-site, even in smaller facilities. </w:t>
      </w:r>
    </w:p>
    <w:p w14:paraId="26EF3EFD" w14:textId="77777777" w:rsidR="00A268B1" w:rsidRPr="006B7F2F" w:rsidRDefault="00A268B1" w:rsidP="00A268B1">
      <w:r w:rsidRPr="006B7F2F">
        <w:t xml:space="preserve">Example: if a RACH has 61 beds, an ACOP is funded for two full days per week (0.4 FTE). </w:t>
      </w:r>
    </w:p>
    <w:p w14:paraId="43503837" w14:textId="4891BC3E" w:rsidR="00A268B1" w:rsidRPr="006B7F2F" w:rsidRDefault="00A268B1" w:rsidP="00A268B1">
      <w:r w:rsidRPr="006B7F2F">
        <w:t xml:space="preserve">Based on total bed numbers, each RACH will </w:t>
      </w:r>
      <w:r w:rsidR="007D3ECD">
        <w:t xml:space="preserve">be entitled to </w:t>
      </w:r>
      <w:r w:rsidRPr="006B7F2F">
        <w:t xml:space="preserve">a maximum monthly </w:t>
      </w:r>
      <w:r w:rsidR="007D3ECD">
        <w:t xml:space="preserve">funding </w:t>
      </w:r>
      <w:r w:rsidR="00DA4C68">
        <w:t>amount for</w:t>
      </w:r>
      <w:r w:rsidR="007D3ECD">
        <w:t xml:space="preserve"> </w:t>
      </w:r>
      <w:r w:rsidRPr="006B7F2F">
        <w:t>ACOP salaries</w:t>
      </w:r>
      <w:r w:rsidR="007D3ECD">
        <w:t>,</w:t>
      </w:r>
      <w:r w:rsidRPr="006B7F2F">
        <w:t xml:space="preserve"> which is directly linked to days funded under the Measure. Refer to table 1 below. A RACH is assigned to a bed</w:t>
      </w:r>
      <w:r w:rsidR="00DA4C68">
        <w:t>-</w:t>
      </w:r>
      <w:r w:rsidRPr="006B7F2F">
        <w:t xml:space="preserve">band based on </w:t>
      </w:r>
      <w:r w:rsidR="001354A0">
        <w:t>its</w:t>
      </w:r>
      <w:r w:rsidR="001354A0" w:rsidRPr="006B7F2F">
        <w:t xml:space="preserve"> </w:t>
      </w:r>
      <w:r w:rsidRPr="006B7F2F">
        <w:t>maximum capacity of beds</w:t>
      </w:r>
      <w:r w:rsidR="001354A0">
        <w:t>.</w:t>
      </w:r>
    </w:p>
    <w:p w14:paraId="348E53C5" w14:textId="361FD0D7" w:rsidR="007D05F2" w:rsidRDefault="00A268B1" w:rsidP="00DF411F">
      <w:pPr>
        <w:jc w:val="center"/>
      </w:pPr>
      <w:r w:rsidRPr="007A750C">
        <w:rPr>
          <w:noProof/>
        </w:rPr>
        <w:lastRenderedPageBreak/>
        <w:drawing>
          <wp:inline distT="0" distB="0" distL="0" distR="0" wp14:anchorId="6A09620A" wp14:editId="05031472">
            <wp:extent cx="5845133" cy="4380614"/>
            <wp:effectExtent l="0" t="0" r="3810" b="1270"/>
            <wp:docPr id="517821956" name="Picture 517821956" descr="This table shows the payment rates available under the Aged Care On-site Pharmacist Measure. The funding is determined by the RACH bed band, which equates to a full-time equivalent rate per eligible home. The table further shows, in relation to a pharmacist, the maximum on-site days per week, the maximum on-site days per month and the maximum on-site days per financial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table shows the payment rates available under the Aged Care On-site Pharmacist Measure. The funding is determined by the RACH bed band, which equates to a full-time equivalent rate per eligible home. The table further shows, in relation to a pharmacist, the maximum on-site days per week, the maximum on-site days per month and the maximum on-site days per financial yea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73982" cy="4402235"/>
                    </a:xfrm>
                    <a:prstGeom prst="rect">
                      <a:avLst/>
                    </a:prstGeom>
                    <a:noFill/>
                    <a:ln>
                      <a:noFill/>
                    </a:ln>
                  </pic:spPr>
                </pic:pic>
              </a:graphicData>
            </a:graphic>
          </wp:inline>
        </w:drawing>
      </w:r>
    </w:p>
    <w:p w14:paraId="0BA0B391" w14:textId="41EEE072" w:rsidR="00AC15DD" w:rsidRPr="00AC15DD" w:rsidRDefault="00407EDC" w:rsidP="00AC15DD">
      <w:pPr>
        <w:pStyle w:val="Heading1"/>
      </w:pPr>
      <w:bookmarkStart w:id="13" w:name="_Toc194492191"/>
      <w:r>
        <w:t>Participation</w:t>
      </w:r>
      <w:bookmarkEnd w:id="13"/>
    </w:p>
    <w:p w14:paraId="1E43C407" w14:textId="3E99F04F" w:rsidR="00F726DF" w:rsidRDefault="00633220" w:rsidP="003D0157">
      <w:pPr>
        <w:pStyle w:val="Heading2"/>
      </w:pPr>
      <w:bookmarkStart w:id="14" w:name="_Toc194492192"/>
      <w:r>
        <w:t xml:space="preserve">Community Pharmacy </w:t>
      </w:r>
      <w:r w:rsidR="00252408">
        <w:t>Eligibility</w:t>
      </w:r>
      <w:bookmarkEnd w:id="14"/>
    </w:p>
    <w:p w14:paraId="776A722F" w14:textId="3C9453C2" w:rsidR="00225D73" w:rsidRDefault="001675FE">
      <w:pPr>
        <w:pStyle w:val="ListParagraph"/>
        <w:numPr>
          <w:ilvl w:val="0"/>
          <w:numId w:val="13"/>
        </w:numPr>
      </w:pPr>
      <w:r>
        <w:t xml:space="preserve">For a </w:t>
      </w:r>
      <w:r w:rsidR="00225D73">
        <w:t>community pharmacy to participate in the Measure</w:t>
      </w:r>
      <w:r w:rsidR="00DA4C68">
        <w:t>,</w:t>
      </w:r>
      <w:r w:rsidR="00225D73">
        <w:t xml:space="preserve"> </w:t>
      </w:r>
      <w:r w:rsidR="00A076BE">
        <w:t>and receive ACOP salaries to place pharmacist/s on-site in RACHs</w:t>
      </w:r>
      <w:r w:rsidR="00DA4C68">
        <w:t>,</w:t>
      </w:r>
      <w:r w:rsidR="00A076BE">
        <w:t xml:space="preserve"> </w:t>
      </w:r>
      <w:r w:rsidR="00225D73">
        <w:t>the pharmacy must be:</w:t>
      </w:r>
    </w:p>
    <w:p w14:paraId="3147B743" w14:textId="7888C267" w:rsidR="001675FE" w:rsidRDefault="00225D73">
      <w:pPr>
        <w:pStyle w:val="ListParagraph"/>
        <w:numPr>
          <w:ilvl w:val="1"/>
          <w:numId w:val="13"/>
        </w:numPr>
      </w:pPr>
      <w:r w:rsidRPr="00225D73">
        <w:t>approved to dispense pharmaceutical benefits as part of the Pharmaceutical Benefits Scheme (PBS) defined in Section 90 of the National Health Act 1953 (Cwlth) (Section 90 Pharmacy)</w:t>
      </w:r>
      <w:r w:rsidR="00A076BE">
        <w:t>.</w:t>
      </w:r>
      <w:r w:rsidRPr="00225D73">
        <w:t xml:space="preserve"> </w:t>
      </w:r>
      <w:r w:rsidR="001675FE">
        <w:t xml:space="preserve"> </w:t>
      </w:r>
    </w:p>
    <w:p w14:paraId="78165905" w14:textId="64F25F9C" w:rsidR="00633220" w:rsidRDefault="00633220" w:rsidP="00633220">
      <w:pPr>
        <w:pStyle w:val="Heading2"/>
      </w:pPr>
      <w:bookmarkStart w:id="15" w:name="_Toc194492193"/>
      <w:r>
        <w:t>RACH Eligibility</w:t>
      </w:r>
      <w:bookmarkEnd w:id="15"/>
      <w:r>
        <w:t xml:space="preserve"> </w:t>
      </w:r>
    </w:p>
    <w:p w14:paraId="718CB02E" w14:textId="4F45512B" w:rsidR="008255EC" w:rsidRDefault="008255EC">
      <w:pPr>
        <w:pStyle w:val="ListParagraph"/>
        <w:numPr>
          <w:ilvl w:val="0"/>
          <w:numId w:val="13"/>
        </w:numPr>
      </w:pPr>
      <w:r>
        <w:t>For a RACH to participate in the Measure, the RACH must be:</w:t>
      </w:r>
    </w:p>
    <w:p w14:paraId="39FB6E84" w14:textId="448A8E7F" w:rsidR="008255EC" w:rsidRDefault="008255EC" w:rsidP="0010767C">
      <w:pPr>
        <w:pStyle w:val="ListParagraph"/>
        <w:numPr>
          <w:ilvl w:val="1"/>
          <w:numId w:val="13"/>
        </w:numPr>
      </w:pPr>
      <w:r>
        <w:t>An aged care home that receives a residential care home subsidy from the Australian Government in accordance with the Aged Care Act 1997, or</w:t>
      </w:r>
    </w:p>
    <w:p w14:paraId="7DCB8907" w14:textId="5B9AC0E0" w:rsidR="008255EC" w:rsidRDefault="008255EC">
      <w:pPr>
        <w:pStyle w:val="ListParagraph"/>
        <w:numPr>
          <w:ilvl w:val="1"/>
          <w:numId w:val="13"/>
        </w:numPr>
      </w:pPr>
      <w:r>
        <w:t>A Multi-Purpose Services (MPS), or</w:t>
      </w:r>
    </w:p>
    <w:p w14:paraId="0454D1E6" w14:textId="4A7975A3" w:rsidR="008255EC" w:rsidRDefault="008255EC">
      <w:pPr>
        <w:pStyle w:val="ListParagraph"/>
        <w:numPr>
          <w:ilvl w:val="1"/>
          <w:numId w:val="13"/>
        </w:numPr>
      </w:pPr>
      <w:r>
        <w:t>An Australian Government funded transition care facility, or</w:t>
      </w:r>
    </w:p>
    <w:p w14:paraId="037E666E" w14:textId="2BC3343D" w:rsidR="00252408" w:rsidRDefault="008255EC">
      <w:pPr>
        <w:pStyle w:val="ListParagraph"/>
        <w:numPr>
          <w:ilvl w:val="1"/>
          <w:numId w:val="13"/>
        </w:numPr>
      </w:pPr>
      <w:r>
        <w:t>Receiving funding under the National Aboriginal and Torres Strait Islander Flexible Aged Care program.</w:t>
      </w:r>
    </w:p>
    <w:p w14:paraId="5E178D83" w14:textId="5F0C86D1" w:rsidR="00F25A40" w:rsidRDefault="00E20C4B">
      <w:pPr>
        <w:pStyle w:val="ListParagraph"/>
        <w:numPr>
          <w:ilvl w:val="0"/>
          <w:numId w:val="13"/>
        </w:numPr>
      </w:pPr>
      <w:r w:rsidRPr="00E20C4B">
        <w:t>RACHs providing respite-only care are not eligible to access funding for an ACOP through the Measure.</w:t>
      </w:r>
    </w:p>
    <w:p w14:paraId="26AF3C3D" w14:textId="26CDCD5F" w:rsidR="00161686" w:rsidRDefault="00E61C8B">
      <w:pPr>
        <w:pStyle w:val="ListParagraph"/>
        <w:numPr>
          <w:ilvl w:val="0"/>
          <w:numId w:val="13"/>
        </w:numPr>
      </w:pPr>
      <w:bookmarkStart w:id="16" w:name="_Hlk189733907"/>
      <w:r w:rsidRPr="00E61C8B">
        <w:lastRenderedPageBreak/>
        <w:t>The RACH must</w:t>
      </w:r>
      <w:r>
        <w:t xml:space="preserve"> also</w:t>
      </w:r>
      <w:r w:rsidRPr="00E61C8B">
        <w:t xml:space="preserve"> have adopted or commit to adopting the electronic National Residential Medication Chart (</w:t>
      </w:r>
      <w:proofErr w:type="spellStart"/>
      <w:r w:rsidRPr="00E61C8B">
        <w:t>eNRMC</w:t>
      </w:r>
      <w:proofErr w:type="spellEnd"/>
      <w:r w:rsidRPr="00E61C8B">
        <w:t>) within 12 months.</w:t>
      </w:r>
    </w:p>
    <w:p w14:paraId="6BAB5861" w14:textId="37271B14" w:rsidR="00633220" w:rsidRDefault="00633220" w:rsidP="00633220">
      <w:pPr>
        <w:pStyle w:val="Heading2"/>
      </w:pPr>
      <w:bookmarkStart w:id="17" w:name="_Toc194492194"/>
      <w:bookmarkEnd w:id="16"/>
      <w:r>
        <w:t>Pharmacist Eligibility</w:t>
      </w:r>
      <w:bookmarkEnd w:id="17"/>
    </w:p>
    <w:p w14:paraId="3133D01A" w14:textId="545A17E4" w:rsidR="00225D73" w:rsidRDefault="00225D73">
      <w:pPr>
        <w:pStyle w:val="ListParagraph"/>
        <w:numPr>
          <w:ilvl w:val="0"/>
          <w:numId w:val="13"/>
        </w:numPr>
      </w:pPr>
      <w:r>
        <w:t>For a pharmacist to participate in the Measure, the</w:t>
      </w:r>
      <w:r w:rsidR="00DA4C68">
        <w:t>y</w:t>
      </w:r>
      <w:r>
        <w:t xml:space="preserve"> must:</w:t>
      </w:r>
    </w:p>
    <w:p w14:paraId="1D59501A" w14:textId="658D58B6" w:rsidR="00E45938" w:rsidRDefault="00DA4C68">
      <w:pPr>
        <w:pStyle w:val="ListParagraph"/>
        <w:numPr>
          <w:ilvl w:val="1"/>
          <w:numId w:val="13"/>
        </w:numPr>
      </w:pPr>
      <w:r>
        <w:t xml:space="preserve">be </w:t>
      </w:r>
      <w:r w:rsidR="00E45938">
        <w:t xml:space="preserve">a registered pharmacist with a valid </w:t>
      </w:r>
      <w:r w:rsidR="00E137BD">
        <w:t>Australian Health Practitioner Regulati</w:t>
      </w:r>
      <w:r w:rsidR="008D4A4F">
        <w:t>o</w:t>
      </w:r>
      <w:r w:rsidR="00E137BD">
        <w:t>n Agency (</w:t>
      </w:r>
      <w:r w:rsidR="00E45938">
        <w:t>AHPRA</w:t>
      </w:r>
      <w:r w:rsidR="00E137BD">
        <w:t>)</w:t>
      </w:r>
      <w:r w:rsidR="00E45938">
        <w:t xml:space="preserve"> registration number</w:t>
      </w:r>
    </w:p>
    <w:p w14:paraId="0BE19572" w14:textId="64C53C14" w:rsidR="00E45938" w:rsidRDefault="00DA4C68">
      <w:pPr>
        <w:pStyle w:val="ListParagraph"/>
        <w:numPr>
          <w:ilvl w:val="1"/>
          <w:numId w:val="13"/>
        </w:numPr>
      </w:pPr>
      <w:r>
        <w:t xml:space="preserve">be </w:t>
      </w:r>
      <w:r w:rsidR="00E45938">
        <w:t xml:space="preserve">credentialed having completed </w:t>
      </w:r>
      <w:r>
        <w:t xml:space="preserve">the </w:t>
      </w:r>
      <w:r w:rsidR="00E45938">
        <w:t>Australian Pharmacy Council (APC) accredited ACOP training program</w:t>
      </w:r>
    </w:p>
    <w:p w14:paraId="0A2819A6" w14:textId="5C7CD0F4" w:rsidR="00E45938" w:rsidRDefault="00F226F4">
      <w:pPr>
        <w:pStyle w:val="ListParagraph"/>
        <w:numPr>
          <w:ilvl w:val="1"/>
          <w:numId w:val="13"/>
        </w:numPr>
      </w:pPr>
      <w:r w:rsidRPr="00F226F4">
        <w:t xml:space="preserve">hold a valid Medication Management Review </w:t>
      </w:r>
      <w:r w:rsidR="0093411D">
        <w:t>(MMR) c</w:t>
      </w:r>
      <w:r w:rsidRPr="00F226F4">
        <w:t>redential</w:t>
      </w:r>
      <w:r w:rsidR="00193691">
        <w:t>, under transition arrangements in place</w:t>
      </w:r>
      <w:r w:rsidR="00DA4C68">
        <w:t xml:space="preserve"> until 30 June 2025</w:t>
      </w:r>
      <w:r w:rsidR="001044AE">
        <w:t>.</w:t>
      </w:r>
      <w:r w:rsidR="0093411D">
        <w:t xml:space="preserve"> MMR credentialed pharmacists participating in the</w:t>
      </w:r>
      <w:r w:rsidR="00C62CCA">
        <w:t xml:space="preserve"> </w:t>
      </w:r>
      <w:r w:rsidR="0093411D">
        <w:t>Measure</w:t>
      </w:r>
      <w:r w:rsidR="00DA4C68">
        <w:t>,</w:t>
      </w:r>
      <w:r w:rsidR="0093411D">
        <w:t xml:space="preserve"> must commit to completing an APC accredited ACOP training program.</w:t>
      </w:r>
    </w:p>
    <w:p w14:paraId="78689DAD" w14:textId="4491ECDF" w:rsidR="00002301" w:rsidRPr="00B52B02" w:rsidRDefault="00002301">
      <w:pPr>
        <w:pStyle w:val="ListParagraph"/>
        <w:numPr>
          <w:ilvl w:val="0"/>
          <w:numId w:val="13"/>
        </w:numPr>
      </w:pPr>
      <w:r w:rsidRPr="00B52B02">
        <w:t>Credentialed pharmacists (previously known as Accredited pharmacists) are pharmacists who have completed an APC accredited education program. Pharmacists may become credentialed for MMR and/or the Aged Care On-site Pharmacist (ACOP) role.</w:t>
      </w:r>
    </w:p>
    <w:p w14:paraId="6075FFCA" w14:textId="4D3EEB4E" w:rsidR="00002301" w:rsidRPr="007A750C" w:rsidRDefault="00002301">
      <w:pPr>
        <w:pStyle w:val="ListContinue"/>
        <w:numPr>
          <w:ilvl w:val="1"/>
          <w:numId w:val="13"/>
        </w:numPr>
      </w:pPr>
      <w:r w:rsidRPr="00B52B02">
        <w:t xml:space="preserve">The MMR </w:t>
      </w:r>
      <w:r w:rsidR="006A68EA">
        <w:t>c</w:t>
      </w:r>
      <w:r w:rsidRPr="007A750C">
        <w:t>redential is required for pharmacist participation in Residential Medication Management Review (RMMR) and Home Medication Review (HMR) Programs</w:t>
      </w:r>
      <w:r w:rsidR="00DA4C68">
        <w:t>.</w:t>
      </w:r>
      <w:r w:rsidRPr="007A750C">
        <w:t xml:space="preserve"> </w:t>
      </w:r>
    </w:p>
    <w:p w14:paraId="29E2D1A9" w14:textId="51E72592" w:rsidR="00002301" w:rsidRPr="00B52B02" w:rsidRDefault="00002301">
      <w:pPr>
        <w:pStyle w:val="ListContinue"/>
        <w:numPr>
          <w:ilvl w:val="1"/>
          <w:numId w:val="13"/>
        </w:numPr>
      </w:pPr>
      <w:r w:rsidRPr="007A750C">
        <w:t xml:space="preserve">The ACOP </w:t>
      </w:r>
      <w:r w:rsidR="006A68EA">
        <w:t>c</w:t>
      </w:r>
      <w:r w:rsidRPr="007A750C">
        <w:t>redential</w:t>
      </w:r>
      <w:r w:rsidRPr="00B52B02">
        <w:t xml:space="preserve"> is required for pharmacist participation in the ACOP Measure.</w:t>
      </w:r>
    </w:p>
    <w:p w14:paraId="6473561A" w14:textId="67A81F58" w:rsidR="00002301" w:rsidRPr="00002301" w:rsidRDefault="00002301">
      <w:pPr>
        <w:pStyle w:val="ListParagraph"/>
        <w:numPr>
          <w:ilvl w:val="0"/>
          <w:numId w:val="13"/>
        </w:numPr>
        <w:rPr>
          <w:rStyle w:val="Hyperlink"/>
          <w:color w:val="000000" w:themeColor="text1"/>
          <w:u w:val="none"/>
        </w:rPr>
      </w:pPr>
      <w:r w:rsidRPr="00B52B02">
        <w:t xml:space="preserve">Information regarding APC accredited pharmacist education programs can be found on the </w:t>
      </w:r>
      <w:hyperlink r:id="rId23" w:history="1">
        <w:r w:rsidRPr="00B52B02">
          <w:rPr>
            <w:rStyle w:val="Hyperlink"/>
          </w:rPr>
          <w:t>APC website.</w:t>
        </w:r>
      </w:hyperlink>
    </w:p>
    <w:p w14:paraId="1DFE4A8B" w14:textId="47571C41" w:rsidR="007E242D" w:rsidRDefault="00BF1406" w:rsidP="006E1DBB">
      <w:pPr>
        <w:pStyle w:val="Heading1"/>
      </w:pPr>
      <w:bookmarkStart w:id="18" w:name="_Toc194492195"/>
      <w:r>
        <w:t>T</w:t>
      </w:r>
      <w:r w:rsidR="00714B01">
        <w:t>he ACOP</w:t>
      </w:r>
      <w:r>
        <w:t xml:space="preserve"> working arrangements</w:t>
      </w:r>
      <w:r w:rsidR="002F3B17">
        <w:t xml:space="preserve">, </w:t>
      </w:r>
      <w:r>
        <w:t>role</w:t>
      </w:r>
      <w:r w:rsidR="002F3B17">
        <w:t xml:space="preserve"> and activities</w:t>
      </w:r>
      <w:bookmarkEnd w:id="18"/>
    </w:p>
    <w:p w14:paraId="6E8F8C0D" w14:textId="16BC86FC" w:rsidR="00BF1406" w:rsidRDefault="00BF1406" w:rsidP="00BF1406">
      <w:pPr>
        <w:pStyle w:val="Heading2"/>
      </w:pPr>
      <w:bookmarkStart w:id="19" w:name="_Toc176169155"/>
      <w:bookmarkStart w:id="20" w:name="_Toc194492196"/>
      <w:r w:rsidRPr="00715454">
        <w:t>Working Arrangements</w:t>
      </w:r>
      <w:bookmarkEnd w:id="19"/>
      <w:bookmarkEnd w:id="20"/>
    </w:p>
    <w:p w14:paraId="367DA70B" w14:textId="1B086352" w:rsidR="00BF1406" w:rsidRPr="00F90C94" w:rsidRDefault="00BF1406">
      <w:pPr>
        <w:pStyle w:val="ListBullet"/>
        <w:numPr>
          <w:ilvl w:val="0"/>
          <w:numId w:val="15"/>
        </w:numPr>
      </w:pPr>
      <w:r w:rsidRPr="00F90C94">
        <w:t xml:space="preserve">ACOPs are required to work at the RACH </w:t>
      </w:r>
      <w:r w:rsidR="00DA4C68">
        <w:t>on</w:t>
      </w:r>
      <w:r w:rsidRPr="00F90C94">
        <w:t xml:space="preserve"> a regular schedule </w:t>
      </w:r>
      <w:r w:rsidR="00DA4C68">
        <w:t>that is</w:t>
      </w:r>
      <w:r w:rsidR="00DA4C68" w:rsidRPr="00F90C94">
        <w:t xml:space="preserve"> </w:t>
      </w:r>
      <w:r w:rsidRPr="00F90C94">
        <w:t xml:space="preserve">agreed </w:t>
      </w:r>
      <w:r w:rsidR="00DA4C68">
        <w:t xml:space="preserve">upon by </w:t>
      </w:r>
      <w:r w:rsidRPr="00F90C94">
        <w:t>the RACH.</w:t>
      </w:r>
    </w:p>
    <w:p w14:paraId="0D7E296A" w14:textId="66427562" w:rsidR="00BF1406" w:rsidRPr="00F90C94" w:rsidRDefault="00BF1406">
      <w:pPr>
        <w:pStyle w:val="ListBullet"/>
        <w:numPr>
          <w:ilvl w:val="0"/>
          <w:numId w:val="15"/>
        </w:numPr>
      </w:pPr>
      <w:r w:rsidRPr="00F90C94">
        <w:t>The ACOP</w:t>
      </w:r>
      <w:r w:rsidRPr="00944A31">
        <w:t xml:space="preserve"> </w:t>
      </w:r>
      <w:r w:rsidRPr="00F90C94">
        <w:t>must be on-site in minimum time blocks of half days (3.8 hours).</w:t>
      </w:r>
    </w:p>
    <w:p w14:paraId="3C0787DF" w14:textId="02962548" w:rsidR="00BF1406" w:rsidRPr="00F90C94" w:rsidRDefault="00BF1406">
      <w:pPr>
        <w:pStyle w:val="ListBullet"/>
        <w:numPr>
          <w:ilvl w:val="0"/>
          <w:numId w:val="15"/>
        </w:numPr>
      </w:pPr>
      <w:r w:rsidRPr="00F90C94">
        <w:t>A RACH is not required to have an ACOP on-site for their maximum entitlement if it chooses</w:t>
      </w:r>
      <w:r w:rsidR="00DA4C68">
        <w:t>.</w:t>
      </w:r>
      <w:r w:rsidRPr="00F90C94">
        <w:t xml:space="preserve"> </w:t>
      </w:r>
      <w:r w:rsidR="00DA4C68">
        <w:t>H</w:t>
      </w:r>
      <w:r w:rsidRPr="00F90C94">
        <w:t>owever</w:t>
      </w:r>
      <w:r w:rsidR="00DA4C68">
        <w:t>,</w:t>
      </w:r>
      <w:r w:rsidRPr="00F90C94">
        <w:t xml:space="preserve"> </w:t>
      </w:r>
      <w:r w:rsidR="006A68EA">
        <w:t xml:space="preserve">salary </w:t>
      </w:r>
      <w:r w:rsidRPr="00F90C94">
        <w:t xml:space="preserve">funds can only be claimed </w:t>
      </w:r>
      <w:r w:rsidR="00273D7D" w:rsidRPr="00F90C94">
        <w:t>up to the maximum entitlement</w:t>
      </w:r>
      <w:r w:rsidR="00273D7D">
        <w:t>,</w:t>
      </w:r>
      <w:r w:rsidR="00273D7D" w:rsidRPr="00F90C94">
        <w:t xml:space="preserve"> </w:t>
      </w:r>
      <w:r w:rsidRPr="00F90C94">
        <w:t>for time worked by the ACOP.</w:t>
      </w:r>
    </w:p>
    <w:p w14:paraId="07F450FA" w14:textId="77777777" w:rsidR="00BF1406" w:rsidRPr="00F90C94" w:rsidRDefault="00BF1406">
      <w:pPr>
        <w:pStyle w:val="ListBullet"/>
        <w:numPr>
          <w:ilvl w:val="0"/>
          <w:numId w:val="15"/>
        </w:numPr>
      </w:pPr>
      <w:r w:rsidRPr="00F90C94">
        <w:t>Examples of flexible working arrangements include:</w:t>
      </w:r>
    </w:p>
    <w:p w14:paraId="42D34DED" w14:textId="77777777" w:rsidR="00BF1406" w:rsidRPr="00944A31" w:rsidRDefault="00BF1406">
      <w:pPr>
        <w:pStyle w:val="ListBullet2"/>
        <w:numPr>
          <w:ilvl w:val="1"/>
          <w:numId w:val="15"/>
        </w:numPr>
      </w:pPr>
      <w:r w:rsidRPr="00F90C94">
        <w:t xml:space="preserve">A </w:t>
      </w:r>
      <w:r w:rsidRPr="007A750C">
        <w:t>RACH</w:t>
      </w:r>
      <w:r w:rsidRPr="00944A31">
        <w:t xml:space="preserve"> entitled to an ACOP for one day per week, chooses to have an ACOP on-site for two </w:t>
      </w:r>
      <w:r w:rsidRPr="00766C9D">
        <w:t>half</w:t>
      </w:r>
      <w:r w:rsidRPr="00944A31">
        <w:t xml:space="preserve"> days each week.</w:t>
      </w:r>
    </w:p>
    <w:p w14:paraId="3F616566" w14:textId="66F118E9" w:rsidR="00BF1406" w:rsidRPr="00944A31" w:rsidRDefault="00BF1406">
      <w:pPr>
        <w:pStyle w:val="ListBullet2"/>
        <w:numPr>
          <w:ilvl w:val="1"/>
          <w:numId w:val="15"/>
        </w:numPr>
      </w:pPr>
      <w:r w:rsidRPr="00944A31">
        <w:t>A RACH entitled to an ACOP for five days per week, chooses to have an ACOP on-site for only three days per week</w:t>
      </w:r>
      <w:r w:rsidR="00273D7D">
        <w:t xml:space="preserve">. This would mean </w:t>
      </w:r>
      <w:r w:rsidR="006A68EA">
        <w:t xml:space="preserve">the RACH </w:t>
      </w:r>
      <w:r w:rsidR="00273D7D">
        <w:t>c</w:t>
      </w:r>
      <w:r w:rsidRPr="00944A31">
        <w:t xml:space="preserve">ould only claim </w:t>
      </w:r>
      <w:r w:rsidR="006A68EA">
        <w:t xml:space="preserve">salary funds for </w:t>
      </w:r>
      <w:r w:rsidRPr="00944A31">
        <w:t>three days.</w:t>
      </w:r>
    </w:p>
    <w:p w14:paraId="167BCDE7" w14:textId="4F8D3AAB" w:rsidR="00BF1406" w:rsidRPr="00F90C94" w:rsidRDefault="00BF1406">
      <w:pPr>
        <w:pStyle w:val="ListBullet"/>
        <w:numPr>
          <w:ilvl w:val="0"/>
          <w:numId w:val="15"/>
        </w:numPr>
      </w:pPr>
      <w:bookmarkStart w:id="21" w:name="_Hlk189733495"/>
      <w:r w:rsidRPr="00F90C94">
        <w:lastRenderedPageBreak/>
        <w:t>ACOPs working in RACHs located in Modified Monash Model</w:t>
      </w:r>
      <w:r w:rsidR="00273D7D">
        <w:t xml:space="preserve"> (MMM)</w:t>
      </w:r>
      <w:r w:rsidRPr="00F90C94">
        <w:t xml:space="preserve"> categories 5-7 are entitled to extended flexible working arrangements</w:t>
      </w:r>
      <w:r w:rsidR="00273D7D">
        <w:t>.</w:t>
      </w:r>
      <w:r w:rsidRPr="00F90C94">
        <w:t xml:space="preserve"> </w:t>
      </w:r>
      <w:r w:rsidR="00273D7D">
        <w:t xml:space="preserve">This would </w:t>
      </w:r>
      <w:r w:rsidRPr="00F90C94">
        <w:t>enabl</w:t>
      </w:r>
      <w:r w:rsidR="00273D7D">
        <w:t>e</w:t>
      </w:r>
      <w:r w:rsidRPr="00F90C94">
        <w:t xml:space="preserve"> the ACOP to work over a condensed</w:t>
      </w:r>
      <w:r w:rsidR="00273D7D">
        <w:t xml:space="preserve"> </w:t>
      </w:r>
      <w:proofErr w:type="gramStart"/>
      <w:r w:rsidR="00273D7D">
        <w:t>time</w:t>
      </w:r>
      <w:r w:rsidRPr="00F90C94">
        <w:t xml:space="preserve"> period</w:t>
      </w:r>
      <w:proofErr w:type="gramEnd"/>
      <w:r w:rsidRPr="00F90C94">
        <w:t>. Further details can be found in the ACOP Measure Rules</w:t>
      </w:r>
      <w:r w:rsidR="00AE3A70">
        <w:t xml:space="preserve"> on </w:t>
      </w:r>
      <w:hyperlink r:id="rId24" w:history="1">
        <w:r w:rsidR="00AE3A70" w:rsidRPr="00AE3A70">
          <w:rPr>
            <w:rStyle w:val="Hyperlink"/>
          </w:rPr>
          <w:t>PPA’s website</w:t>
        </w:r>
      </w:hyperlink>
      <w:r w:rsidRPr="00F90C94">
        <w:t>. An example of this may include:</w:t>
      </w:r>
    </w:p>
    <w:p w14:paraId="2696D436" w14:textId="77777777" w:rsidR="00BF1406" w:rsidRDefault="00BF1406">
      <w:pPr>
        <w:pStyle w:val="ListBullet2"/>
        <w:numPr>
          <w:ilvl w:val="1"/>
          <w:numId w:val="15"/>
        </w:numPr>
      </w:pPr>
      <w:r w:rsidRPr="00F90C94">
        <w:t>A RACH entitled to an ACOP for one day per week, chooses to have the ACOP on-site for four consecutive days each month.</w:t>
      </w:r>
    </w:p>
    <w:p w14:paraId="03AC0F91" w14:textId="16B1C5EE" w:rsidR="00446CCB" w:rsidRPr="00F90C94" w:rsidRDefault="007F7BFA" w:rsidP="00446CCB">
      <w:pPr>
        <w:pStyle w:val="Heading2"/>
      </w:pPr>
      <w:bookmarkStart w:id="22" w:name="_Toc194492197"/>
      <w:bookmarkEnd w:id="21"/>
      <w:r>
        <w:t>The ACOP Role</w:t>
      </w:r>
      <w:bookmarkEnd w:id="22"/>
    </w:p>
    <w:p w14:paraId="7ADDDBFA" w14:textId="77777777" w:rsidR="00446CCB" w:rsidRPr="00D92559" w:rsidRDefault="00446CCB" w:rsidP="00446CCB">
      <w:pPr>
        <w:rPr>
          <w:rFonts w:eastAsia="Calibri"/>
        </w:rPr>
      </w:pPr>
      <w:r w:rsidRPr="00D92559">
        <w:rPr>
          <w:rFonts w:eastAsia="Calibri"/>
        </w:rPr>
        <w:t xml:space="preserve">The ACOP role description can be found on the </w:t>
      </w:r>
      <w:hyperlink r:id="rId25" w:history="1">
        <w:r w:rsidRPr="00F90C94">
          <w:rPr>
            <w:rStyle w:val="Hyperlink"/>
            <w:rFonts w:eastAsia="Calibri" w:cs="Arial"/>
            <w:szCs w:val="22"/>
          </w:rPr>
          <w:t>APC's website.</w:t>
        </w:r>
      </w:hyperlink>
      <w:r w:rsidRPr="00D92559">
        <w:rPr>
          <w:rFonts w:eastAsia="Calibri"/>
        </w:rPr>
        <w:t xml:space="preserve"> </w:t>
      </w:r>
    </w:p>
    <w:p w14:paraId="2C4D0FC4" w14:textId="77777777" w:rsidR="00446CCB" w:rsidRPr="00D92559" w:rsidRDefault="00446CCB" w:rsidP="00446CCB">
      <w:pPr>
        <w:rPr>
          <w:rFonts w:eastAsia="Calibri"/>
        </w:rPr>
      </w:pPr>
      <w:r w:rsidRPr="00D92559">
        <w:rPr>
          <w:rFonts w:eastAsia="Calibri"/>
        </w:rPr>
        <w:t>The ACOP role has been developed in consultation with a wide range of stakeholders.</w:t>
      </w:r>
    </w:p>
    <w:p w14:paraId="2362951E" w14:textId="77777777" w:rsidR="00446CCB" w:rsidRPr="00F90C94" w:rsidRDefault="00446CCB" w:rsidP="00446CCB">
      <w:pPr>
        <w:pStyle w:val="Heading2"/>
        <w:rPr>
          <w:rFonts w:eastAsia="Calibri"/>
        </w:rPr>
      </w:pPr>
      <w:bookmarkStart w:id="23" w:name="_Toc176168106"/>
      <w:bookmarkStart w:id="24" w:name="_Toc176169158"/>
      <w:bookmarkStart w:id="25" w:name="_Toc194492198"/>
      <w:r w:rsidRPr="00F90C94">
        <w:rPr>
          <w:rFonts w:eastAsia="Calibri"/>
        </w:rPr>
        <w:t>ACOP Activity Guidance</w:t>
      </w:r>
      <w:bookmarkEnd w:id="23"/>
      <w:bookmarkEnd w:id="24"/>
      <w:bookmarkEnd w:id="25"/>
    </w:p>
    <w:p w14:paraId="52402C96" w14:textId="7DFC7D7D" w:rsidR="00000C35" w:rsidRDefault="00446CCB" w:rsidP="00DF411F">
      <w:pPr>
        <w:rPr>
          <w:rStyle w:val="Hyperlink"/>
          <w:rFonts w:eastAsia="Calibri" w:cs="Arial"/>
          <w:szCs w:val="22"/>
        </w:rPr>
      </w:pPr>
      <w:r w:rsidRPr="00D92559">
        <w:rPr>
          <w:rFonts w:eastAsia="Calibri"/>
        </w:rPr>
        <w:t xml:space="preserve">Guidance on example ACOP activities, based on the role description can be found on the </w:t>
      </w:r>
      <w:hyperlink r:id="rId26" w:history="1">
        <w:r w:rsidRPr="00F90C94">
          <w:rPr>
            <w:rStyle w:val="Hyperlink"/>
            <w:rFonts w:eastAsia="Calibri" w:cs="Arial"/>
            <w:szCs w:val="22"/>
          </w:rPr>
          <w:t>PPA's website.</w:t>
        </w:r>
      </w:hyperlink>
    </w:p>
    <w:p w14:paraId="4F9F5585" w14:textId="49CC8E24" w:rsidR="00000C35" w:rsidRDefault="00000C35" w:rsidP="00000C35">
      <w:pPr>
        <w:pStyle w:val="Heading2"/>
        <w:rPr>
          <w:rFonts w:eastAsia="Calibri"/>
        </w:rPr>
      </w:pPr>
      <w:bookmarkStart w:id="26" w:name="_Toc194492199"/>
      <w:r>
        <w:rPr>
          <w:rFonts w:eastAsia="Calibri"/>
        </w:rPr>
        <w:t>ACOP and RACH Resources</w:t>
      </w:r>
      <w:bookmarkEnd w:id="26"/>
    </w:p>
    <w:p w14:paraId="426F75A9" w14:textId="00BE4FA9" w:rsidR="00000C35" w:rsidRPr="00BA7D21" w:rsidRDefault="0001656B" w:rsidP="00BA7D21">
      <w:pPr>
        <w:pStyle w:val="NoSpacing"/>
        <w:numPr>
          <w:ilvl w:val="0"/>
          <w:numId w:val="21"/>
        </w:numPr>
        <w:spacing w:line="276" w:lineRule="auto"/>
        <w:rPr>
          <w:rFonts w:ascii="Arial" w:eastAsia="Calibri" w:hAnsi="Arial" w:cs="Arial"/>
          <w:sz w:val="22"/>
          <w:szCs w:val="22"/>
        </w:rPr>
      </w:pPr>
      <w:r w:rsidRPr="003F77A9">
        <w:rPr>
          <w:rFonts w:ascii="Arial" w:hAnsi="Arial" w:cs="Arial"/>
          <w:sz w:val="22"/>
          <w:szCs w:val="22"/>
        </w:rPr>
        <w:t>An</w:t>
      </w:r>
      <w:r w:rsidRPr="003F77A9">
        <w:rPr>
          <w:rFonts w:ascii="Arial" w:hAnsi="Arial" w:cs="Arial"/>
        </w:rPr>
        <w:t xml:space="preserve"> </w:t>
      </w:r>
      <w:hyperlink r:id="rId27" w:history="1">
        <w:r w:rsidR="00000C35" w:rsidRPr="00BA7D21">
          <w:rPr>
            <w:rStyle w:val="Hyperlink"/>
            <w:rFonts w:ascii="Arial" w:hAnsi="Arial" w:cs="Arial"/>
            <w:sz w:val="22"/>
            <w:szCs w:val="22"/>
          </w:rPr>
          <w:t>Aged Care On-site Pharmacist Measure – Pharmacist and Residential Aged Care Home Guide</w:t>
        </w:r>
      </w:hyperlink>
      <w:r>
        <w:t xml:space="preserve"> </w:t>
      </w:r>
      <w:r>
        <w:rPr>
          <w:rFonts w:ascii="Arial" w:hAnsi="Arial" w:cs="Arial"/>
          <w:sz w:val="22"/>
          <w:szCs w:val="22"/>
        </w:rPr>
        <w:t>is available on the Department’s website</w:t>
      </w:r>
    </w:p>
    <w:p w14:paraId="3AD79828" w14:textId="6ED8D4AA" w:rsidR="00000C35" w:rsidRPr="00BA7D21" w:rsidRDefault="0001656B" w:rsidP="00BA7D21">
      <w:pPr>
        <w:pStyle w:val="NoSpacing"/>
        <w:numPr>
          <w:ilvl w:val="0"/>
          <w:numId w:val="21"/>
        </w:numPr>
        <w:spacing w:line="276" w:lineRule="auto"/>
        <w:rPr>
          <w:rFonts w:ascii="Arial" w:eastAsia="Calibri" w:hAnsi="Arial" w:cs="Arial"/>
          <w:sz w:val="22"/>
          <w:szCs w:val="22"/>
        </w:rPr>
      </w:pPr>
      <w:r>
        <w:rPr>
          <w:rFonts w:ascii="Arial" w:hAnsi="Arial" w:cs="Arial"/>
          <w:color w:val="000000" w:themeColor="text1"/>
          <w:sz w:val="22"/>
          <w:szCs w:val="22"/>
        </w:rPr>
        <w:t xml:space="preserve">An </w:t>
      </w:r>
      <w:hyperlink r:id="rId28" w:history="1">
        <w:r w:rsidR="00000C35" w:rsidRPr="00D34625">
          <w:rPr>
            <w:rStyle w:val="Hyperlink"/>
            <w:rFonts w:ascii="Arial" w:hAnsi="Arial" w:cs="Arial"/>
            <w:sz w:val="22"/>
            <w:szCs w:val="22"/>
          </w:rPr>
          <w:t xml:space="preserve">Aged Care On-site Pharmacist Measure – </w:t>
        </w:r>
        <w:r w:rsidR="00CA1E1B" w:rsidRPr="00D34625">
          <w:rPr>
            <w:rStyle w:val="Hyperlink"/>
            <w:rFonts w:ascii="Arial" w:hAnsi="Arial" w:cs="Arial"/>
            <w:sz w:val="22"/>
            <w:szCs w:val="22"/>
          </w:rPr>
          <w:t>I</w:t>
        </w:r>
        <w:r w:rsidRPr="00D34625">
          <w:rPr>
            <w:rStyle w:val="Hyperlink"/>
            <w:rFonts w:ascii="Arial" w:hAnsi="Arial" w:cs="Arial"/>
            <w:sz w:val="22"/>
            <w:szCs w:val="22"/>
          </w:rPr>
          <w:t xml:space="preserve">nformation </w:t>
        </w:r>
        <w:r w:rsidR="00000C35" w:rsidRPr="00D34625">
          <w:rPr>
            <w:rStyle w:val="Hyperlink"/>
            <w:rFonts w:ascii="Arial" w:hAnsi="Arial" w:cs="Arial"/>
            <w:sz w:val="22"/>
            <w:szCs w:val="22"/>
          </w:rPr>
          <w:t>Flyer for Residential Aged Care Homes</w:t>
        </w:r>
      </w:hyperlink>
      <w:r w:rsidR="00D34625">
        <w:rPr>
          <w:rFonts w:ascii="Arial" w:hAnsi="Arial" w:cs="Arial"/>
          <w:color w:val="000000" w:themeColor="text1"/>
          <w:sz w:val="22"/>
          <w:szCs w:val="22"/>
        </w:rPr>
        <w:t xml:space="preserve"> is available on the Department’s website</w:t>
      </w:r>
      <w:r>
        <w:rPr>
          <w:rFonts w:ascii="Arial" w:hAnsi="Arial" w:cs="Arial"/>
          <w:color w:val="000000" w:themeColor="text1"/>
          <w:sz w:val="22"/>
          <w:szCs w:val="22"/>
        </w:rPr>
        <w:t xml:space="preserve"> </w:t>
      </w:r>
    </w:p>
    <w:p w14:paraId="109F93FE" w14:textId="1CD6F803" w:rsidR="00345F95" w:rsidRPr="00345F95" w:rsidRDefault="00895D5F" w:rsidP="00345F95">
      <w:pPr>
        <w:pStyle w:val="Heading1"/>
      </w:pPr>
      <w:bookmarkStart w:id="27" w:name="_Toc194492200"/>
      <w:r>
        <w:t>F</w:t>
      </w:r>
      <w:r w:rsidR="00345F95">
        <w:t xml:space="preserve">requently </w:t>
      </w:r>
      <w:r w:rsidR="00BA7D21">
        <w:t>A</w:t>
      </w:r>
      <w:r w:rsidR="00345F95">
        <w:t xml:space="preserve">sked </w:t>
      </w:r>
      <w:r w:rsidR="00BA7D21">
        <w:t>Q</w:t>
      </w:r>
      <w:r w:rsidR="00345F95">
        <w:t>uestions</w:t>
      </w:r>
      <w:bookmarkEnd w:id="27"/>
    </w:p>
    <w:p w14:paraId="7373BCA0" w14:textId="0802E6EB" w:rsidR="00E960BD" w:rsidRDefault="00647732" w:rsidP="00EC1F76">
      <w:pPr>
        <w:pStyle w:val="Heading2"/>
      </w:pPr>
      <w:bookmarkStart w:id="28" w:name="_Toc194492201"/>
      <w:r w:rsidRPr="00CD2E81">
        <w:t>Participation</w:t>
      </w:r>
      <w:bookmarkEnd w:id="28"/>
    </w:p>
    <w:p w14:paraId="4FD03A7A" w14:textId="77777777" w:rsidR="00842CC9" w:rsidRPr="00842CC9" w:rsidRDefault="00842CC9">
      <w:pPr>
        <w:numPr>
          <w:ilvl w:val="0"/>
          <w:numId w:val="16"/>
        </w:numPr>
        <w:spacing w:line="240" w:lineRule="auto"/>
        <w:rPr>
          <w:b/>
          <w:bCs/>
        </w:rPr>
      </w:pPr>
      <w:r w:rsidRPr="00842CC9">
        <w:rPr>
          <w:b/>
          <w:bCs/>
        </w:rPr>
        <w:t xml:space="preserve">Is it mandatory for RACHs or community pharmacies to participate in the Measure? </w:t>
      </w:r>
    </w:p>
    <w:p w14:paraId="02603C08" w14:textId="77777777" w:rsidR="00842CC9" w:rsidRDefault="00842CC9" w:rsidP="009451BC">
      <w:pPr>
        <w:spacing w:line="240" w:lineRule="auto"/>
      </w:pPr>
      <w:r>
        <w:t>No, participation is not mandatory.</w:t>
      </w:r>
    </w:p>
    <w:p w14:paraId="40EBACFD" w14:textId="378D9AAE" w:rsidR="00842CC9" w:rsidRDefault="00842CC9">
      <w:pPr>
        <w:numPr>
          <w:ilvl w:val="0"/>
          <w:numId w:val="16"/>
        </w:numPr>
        <w:spacing w:line="240" w:lineRule="auto"/>
        <w:rPr>
          <w:b/>
          <w:bCs/>
        </w:rPr>
      </w:pPr>
      <w:r w:rsidRPr="00842CC9">
        <w:rPr>
          <w:b/>
          <w:bCs/>
        </w:rPr>
        <w:t xml:space="preserve">Can a RACH </w:t>
      </w:r>
      <w:r w:rsidR="00D5381E">
        <w:rPr>
          <w:b/>
          <w:bCs/>
        </w:rPr>
        <w:t>engag</w:t>
      </w:r>
      <w:r w:rsidR="00A44EA2">
        <w:rPr>
          <w:b/>
          <w:bCs/>
        </w:rPr>
        <w:t>e</w:t>
      </w:r>
      <w:r w:rsidR="00D5381E">
        <w:rPr>
          <w:b/>
          <w:bCs/>
        </w:rPr>
        <w:t xml:space="preserve"> an ACOP directly</w:t>
      </w:r>
      <w:r w:rsidR="00A44EA2">
        <w:rPr>
          <w:b/>
          <w:bCs/>
        </w:rPr>
        <w:t xml:space="preserve"> under the Measure</w:t>
      </w:r>
      <w:r w:rsidR="00D5381E">
        <w:rPr>
          <w:b/>
          <w:bCs/>
        </w:rPr>
        <w:t xml:space="preserve">, </w:t>
      </w:r>
      <w:r w:rsidRPr="00842CC9">
        <w:rPr>
          <w:b/>
          <w:bCs/>
        </w:rPr>
        <w:t xml:space="preserve">without first attempting to engage an ACOP through </w:t>
      </w:r>
      <w:r w:rsidR="00DE7748">
        <w:rPr>
          <w:b/>
          <w:bCs/>
        </w:rPr>
        <w:t xml:space="preserve">the </w:t>
      </w:r>
      <w:r w:rsidRPr="00842CC9">
        <w:rPr>
          <w:b/>
          <w:bCs/>
        </w:rPr>
        <w:t>community pharmacy</w:t>
      </w:r>
      <w:r w:rsidR="00DE7748">
        <w:rPr>
          <w:b/>
          <w:bCs/>
        </w:rPr>
        <w:t xml:space="preserve"> of its choice</w:t>
      </w:r>
      <w:r w:rsidRPr="00842CC9">
        <w:rPr>
          <w:b/>
          <w:bCs/>
        </w:rPr>
        <w:t>?</w:t>
      </w:r>
    </w:p>
    <w:p w14:paraId="7EBD65E9" w14:textId="0BCDEE83" w:rsidR="003F0E8A" w:rsidRDefault="003F0E8A" w:rsidP="009451BC">
      <w:pPr>
        <w:spacing w:line="240" w:lineRule="auto"/>
      </w:pPr>
      <w:r w:rsidRPr="009451BC">
        <w:t>No,</w:t>
      </w:r>
      <w:r w:rsidR="00765BA9">
        <w:t xml:space="preserve"> </w:t>
      </w:r>
      <w:r w:rsidR="00FD499C">
        <w:t xml:space="preserve">RACHs must first attempt to engage an ACOP through </w:t>
      </w:r>
      <w:r w:rsidR="00DE7748">
        <w:t xml:space="preserve">the </w:t>
      </w:r>
      <w:r w:rsidR="00FD499C">
        <w:t>community pharmacy of their choice</w:t>
      </w:r>
      <w:r w:rsidR="00DE7748">
        <w:t xml:space="preserve"> (at least one pharmacy)</w:t>
      </w:r>
      <w:r w:rsidR="00A44EA2">
        <w:t xml:space="preserve">. </w:t>
      </w:r>
      <w:r w:rsidR="00D5381E">
        <w:t xml:space="preserve">There are no proximity rules as </w:t>
      </w:r>
      <w:r w:rsidR="00E91325">
        <w:t xml:space="preserve">to which </w:t>
      </w:r>
      <w:r w:rsidR="00D700AF">
        <w:t xml:space="preserve">community pharmacy </w:t>
      </w:r>
      <w:r w:rsidR="00E91325">
        <w:t>a RACH approaches</w:t>
      </w:r>
      <w:r w:rsidR="00D700AF">
        <w:t>. A record of this attempt must be kept</w:t>
      </w:r>
      <w:r w:rsidR="00E91325">
        <w:t xml:space="preserve"> by the RACH</w:t>
      </w:r>
      <w:r w:rsidR="008C62DD">
        <w:t>.</w:t>
      </w:r>
    </w:p>
    <w:p w14:paraId="78980AC1" w14:textId="77777777" w:rsidR="0046259B" w:rsidRPr="0046259B" w:rsidRDefault="0046259B">
      <w:pPr>
        <w:pStyle w:val="ListParagraph"/>
        <w:numPr>
          <w:ilvl w:val="0"/>
          <w:numId w:val="16"/>
        </w:numPr>
        <w:rPr>
          <w:b/>
          <w:bCs/>
        </w:rPr>
      </w:pPr>
      <w:r w:rsidRPr="0046259B">
        <w:rPr>
          <w:b/>
          <w:bCs/>
        </w:rPr>
        <w:t>A RACH wanting to participate does not yet have the electronic National Residential Medication Chart (</w:t>
      </w:r>
      <w:proofErr w:type="spellStart"/>
      <w:r w:rsidRPr="0046259B">
        <w:rPr>
          <w:b/>
          <w:bCs/>
        </w:rPr>
        <w:t>eNRMC</w:t>
      </w:r>
      <w:proofErr w:type="spellEnd"/>
      <w:r w:rsidRPr="0046259B">
        <w:rPr>
          <w:b/>
          <w:bCs/>
        </w:rPr>
        <w:t>) in place, can they still participate?</w:t>
      </w:r>
    </w:p>
    <w:p w14:paraId="02201A7C" w14:textId="71802CEF" w:rsidR="0046259B" w:rsidRPr="009451BC" w:rsidRDefault="0046259B" w:rsidP="008305E3">
      <w:r>
        <w:t>Yes, provided the RACH has c</w:t>
      </w:r>
      <w:r w:rsidRPr="0046259B">
        <w:t>ommit</w:t>
      </w:r>
      <w:r>
        <w:t>ted</w:t>
      </w:r>
      <w:r w:rsidRPr="0046259B">
        <w:t xml:space="preserve"> to adopting the </w:t>
      </w:r>
      <w:proofErr w:type="spellStart"/>
      <w:r w:rsidRPr="0046259B">
        <w:t>eNRMC</w:t>
      </w:r>
      <w:proofErr w:type="spellEnd"/>
      <w:r w:rsidRPr="0046259B">
        <w:t xml:space="preserve"> within 12 months.</w:t>
      </w:r>
      <w:r w:rsidR="002C0D5A" w:rsidRPr="002C0D5A">
        <w:t xml:space="preserve"> </w:t>
      </w:r>
      <w:r w:rsidR="00B333E6">
        <w:t>T</w:t>
      </w:r>
      <w:r w:rsidR="002C0D5A" w:rsidRPr="002C0D5A">
        <w:t>he ACOP</w:t>
      </w:r>
      <w:r w:rsidR="00B333E6">
        <w:t xml:space="preserve"> may be able</w:t>
      </w:r>
      <w:r w:rsidR="002C0D5A" w:rsidRPr="002C0D5A">
        <w:t xml:space="preserve"> to assist the RACH with the implementation of the </w:t>
      </w:r>
      <w:proofErr w:type="spellStart"/>
      <w:r w:rsidR="002C0D5A" w:rsidRPr="002C0D5A">
        <w:t>eNRMC</w:t>
      </w:r>
      <w:proofErr w:type="spellEnd"/>
      <w:r w:rsidR="002C0D5A" w:rsidRPr="002C0D5A">
        <w:t>.</w:t>
      </w:r>
    </w:p>
    <w:p w14:paraId="72E63136" w14:textId="77777777" w:rsidR="00842CC9" w:rsidRPr="00842CC9" w:rsidRDefault="00842CC9">
      <w:pPr>
        <w:numPr>
          <w:ilvl w:val="0"/>
          <w:numId w:val="16"/>
        </w:numPr>
        <w:spacing w:line="240" w:lineRule="auto"/>
        <w:rPr>
          <w:b/>
          <w:bCs/>
        </w:rPr>
      </w:pPr>
      <w:r w:rsidRPr="00842CC9">
        <w:rPr>
          <w:b/>
          <w:bCs/>
        </w:rPr>
        <w:t>How is a RACHs entitlement for an ACOP determined?</w:t>
      </w:r>
    </w:p>
    <w:p w14:paraId="29B31DAD" w14:textId="5E1B94F9" w:rsidR="006A3FCF" w:rsidRDefault="00842CC9" w:rsidP="006A3FCF">
      <w:pPr>
        <w:spacing w:line="240" w:lineRule="auto"/>
      </w:pPr>
      <w:r>
        <w:t xml:space="preserve">The amount of </w:t>
      </w:r>
      <w:r w:rsidR="00B333E6">
        <w:t>pharmacist salary funding</w:t>
      </w:r>
      <w:r>
        <w:t>, in terms of the ACOP FTE entitlement, that a RACH is eligible to receive corresponds to the number of bed</w:t>
      </w:r>
      <w:r w:rsidR="00273D7D">
        <w:t xml:space="preserve"> numbers</w:t>
      </w:r>
      <w:r>
        <w:t xml:space="preserve"> at the RACH.</w:t>
      </w:r>
      <w:r w:rsidR="00836796">
        <w:t xml:space="preserve"> This refers to the total number of beds, </w:t>
      </w:r>
      <w:r w:rsidR="00B333E6">
        <w:t xml:space="preserve">i.e. </w:t>
      </w:r>
      <w:r w:rsidR="00836796">
        <w:t>the RACH</w:t>
      </w:r>
      <w:r w:rsidR="00F33783">
        <w:t>s</w:t>
      </w:r>
      <w:r w:rsidR="00836796">
        <w:t xml:space="preserve"> maximum capacity.</w:t>
      </w:r>
    </w:p>
    <w:p w14:paraId="2FECC08F" w14:textId="3A91F5ED" w:rsidR="004174F8" w:rsidRPr="0037729F" w:rsidRDefault="004174F8">
      <w:pPr>
        <w:pStyle w:val="ListParagraph"/>
        <w:numPr>
          <w:ilvl w:val="0"/>
          <w:numId w:val="16"/>
        </w:numPr>
        <w:spacing w:line="240" w:lineRule="auto"/>
        <w:rPr>
          <w:b/>
          <w:bCs/>
        </w:rPr>
      </w:pPr>
      <w:r w:rsidRPr="0037729F">
        <w:rPr>
          <w:b/>
          <w:bCs/>
        </w:rPr>
        <w:t xml:space="preserve">Can </w:t>
      </w:r>
      <w:r w:rsidR="00621565" w:rsidRPr="0037729F">
        <w:rPr>
          <w:b/>
          <w:bCs/>
        </w:rPr>
        <w:t>a RACH participate in the ACOP Measure and</w:t>
      </w:r>
      <w:r w:rsidR="0037729F" w:rsidRPr="0037729F">
        <w:rPr>
          <w:b/>
          <w:bCs/>
        </w:rPr>
        <w:t xml:space="preserve"> at the same time</w:t>
      </w:r>
      <w:r w:rsidR="00621565" w:rsidRPr="0037729F">
        <w:rPr>
          <w:b/>
          <w:bCs/>
        </w:rPr>
        <w:t xml:space="preserve"> receive </w:t>
      </w:r>
      <w:r w:rsidR="0037729F" w:rsidRPr="0037729F">
        <w:rPr>
          <w:b/>
          <w:bCs/>
        </w:rPr>
        <w:t>pharmacist services through the Residential Medication Management Review (RMMR) or Quality Use of Medicines (QUM) Program?</w:t>
      </w:r>
    </w:p>
    <w:p w14:paraId="31B1FE61" w14:textId="48F8D919" w:rsidR="0037729F" w:rsidRDefault="0037729F" w:rsidP="0037729F">
      <w:pPr>
        <w:spacing w:line="240" w:lineRule="auto"/>
      </w:pPr>
      <w:r>
        <w:lastRenderedPageBreak/>
        <w:t xml:space="preserve">No, </w:t>
      </w:r>
      <w:r w:rsidR="009A7B80">
        <w:t>the RACH cannot have a government funded ACOP working on-site</w:t>
      </w:r>
      <w:r w:rsidR="00A83AA1">
        <w:t xml:space="preserve"> under the ACOP Measure </w:t>
      </w:r>
      <w:r w:rsidR="009A7B80">
        <w:t xml:space="preserve">and concurrently also receive government funded visiting </w:t>
      </w:r>
      <w:r w:rsidR="00726EB8">
        <w:t xml:space="preserve">pharmacist services </w:t>
      </w:r>
      <w:r w:rsidR="00A83AA1">
        <w:t xml:space="preserve">under the RMMR/QUM Programs. </w:t>
      </w:r>
      <w:r w:rsidR="009A7B80">
        <w:t>This is because an ACOP will expand on the activities provided under the QUM and RMMR Prog</w:t>
      </w:r>
      <w:r w:rsidR="00B72E4A">
        <w:t>r</w:t>
      </w:r>
      <w:r w:rsidR="009A7B80">
        <w:t>ams.</w:t>
      </w:r>
    </w:p>
    <w:p w14:paraId="3B086BF6" w14:textId="7C1AEE6F" w:rsidR="00E960BD" w:rsidRDefault="00E960BD" w:rsidP="00EC1F76">
      <w:pPr>
        <w:pStyle w:val="Heading2"/>
      </w:pPr>
      <w:bookmarkStart w:id="29" w:name="_Toc194492203"/>
      <w:r>
        <w:t>Claiming</w:t>
      </w:r>
      <w:r w:rsidR="00113438">
        <w:t xml:space="preserve"> and </w:t>
      </w:r>
      <w:r w:rsidR="00217CD0">
        <w:t xml:space="preserve">ACOP salary </w:t>
      </w:r>
      <w:r w:rsidR="00113438">
        <w:t>payments</w:t>
      </w:r>
      <w:bookmarkEnd w:id="29"/>
    </w:p>
    <w:p w14:paraId="759D3E7E" w14:textId="519EF35C" w:rsidR="008C62DD" w:rsidRDefault="008C62DD">
      <w:pPr>
        <w:numPr>
          <w:ilvl w:val="0"/>
          <w:numId w:val="16"/>
        </w:numPr>
        <w:spacing w:line="240" w:lineRule="auto"/>
        <w:rPr>
          <w:b/>
          <w:bCs/>
        </w:rPr>
      </w:pPr>
      <w:r>
        <w:rPr>
          <w:b/>
          <w:bCs/>
        </w:rPr>
        <w:t>Who is the ACOP salary funding paid to when claimed under the Measure?</w:t>
      </w:r>
    </w:p>
    <w:p w14:paraId="256BCF87" w14:textId="14FDBBC3" w:rsidR="008C62DD" w:rsidRPr="008C62DD" w:rsidRDefault="008C62DD" w:rsidP="008C62DD">
      <w:pPr>
        <w:spacing w:line="240" w:lineRule="auto"/>
      </w:pPr>
      <w:r>
        <w:t xml:space="preserve">The ACOP salary is paid to the employer, </w:t>
      </w:r>
      <w:r w:rsidR="00217CD0">
        <w:t xml:space="preserve">i.e. </w:t>
      </w:r>
      <w:r>
        <w:t xml:space="preserve">the community pharmacy or the RACH. Salary payments cannot be made directly to ACOPs or to PHNs assisting RACHs </w:t>
      </w:r>
      <w:r w:rsidR="00C55BA2">
        <w:t>to e</w:t>
      </w:r>
      <w:r w:rsidR="00397A7C">
        <w:t xml:space="preserve">ngage </w:t>
      </w:r>
      <w:r w:rsidR="00C55BA2">
        <w:t>an ACOP</w:t>
      </w:r>
      <w:r>
        <w:t>.</w:t>
      </w:r>
    </w:p>
    <w:p w14:paraId="46ED6EDE" w14:textId="42A601BB" w:rsidR="00842CC9" w:rsidRPr="00842CC9" w:rsidRDefault="00842CC9">
      <w:pPr>
        <w:numPr>
          <w:ilvl w:val="0"/>
          <w:numId w:val="16"/>
        </w:numPr>
        <w:spacing w:line="240" w:lineRule="auto"/>
        <w:rPr>
          <w:b/>
          <w:bCs/>
        </w:rPr>
      </w:pPr>
      <w:r w:rsidRPr="00842CC9">
        <w:rPr>
          <w:b/>
          <w:bCs/>
        </w:rPr>
        <w:t>How do RACHs claim for an ACOP salary?</w:t>
      </w:r>
    </w:p>
    <w:p w14:paraId="1DC30EB8" w14:textId="77777777" w:rsidR="00842CC9" w:rsidRDefault="00842CC9" w:rsidP="009451BC">
      <w:pPr>
        <w:spacing w:line="240" w:lineRule="auto"/>
      </w:pPr>
      <w:r>
        <w:t>RACHs can claim for ACOP salaries through the PPA portal.</w:t>
      </w:r>
    </w:p>
    <w:p w14:paraId="5F187B0A" w14:textId="76B32BD2" w:rsidR="00842CC9" w:rsidRDefault="00842CC9" w:rsidP="009451BC">
      <w:pPr>
        <w:spacing w:line="240" w:lineRule="auto"/>
      </w:pPr>
      <w:r>
        <w:t xml:space="preserve">It is important to note that claims can only be made for days an ACOP </w:t>
      </w:r>
      <w:r w:rsidR="003F77A9">
        <w:t>worked</w:t>
      </w:r>
      <w:r>
        <w:t xml:space="preserve"> on-site at the RACH under the Measure. Days not worked on-site due to annual leave, personal leave, public holidays or any other reason are not eligible for payment</w:t>
      </w:r>
      <w:r w:rsidR="00C71A30">
        <w:t>. H</w:t>
      </w:r>
      <w:r w:rsidR="003F77A9">
        <w:t>owever,</w:t>
      </w:r>
      <w:r w:rsidR="00BD3EC7">
        <w:t xml:space="preserve"> </w:t>
      </w:r>
      <w:r w:rsidR="006C3DDE">
        <w:t xml:space="preserve">leave and public holidays </w:t>
      </w:r>
      <w:r w:rsidR="00BD3EC7">
        <w:t>are incorporated in the government funded amount</w:t>
      </w:r>
      <w:r>
        <w:t>.</w:t>
      </w:r>
    </w:p>
    <w:p w14:paraId="14112A6E" w14:textId="77777777" w:rsidR="00842CC9" w:rsidRPr="00842CC9" w:rsidRDefault="00842CC9">
      <w:pPr>
        <w:numPr>
          <w:ilvl w:val="0"/>
          <w:numId w:val="16"/>
        </w:numPr>
        <w:spacing w:line="240" w:lineRule="auto"/>
        <w:rPr>
          <w:b/>
          <w:bCs/>
        </w:rPr>
      </w:pPr>
      <w:r w:rsidRPr="00842CC9">
        <w:rPr>
          <w:b/>
          <w:bCs/>
        </w:rPr>
        <w:t>Can RACHs claim for an ACOP salary prior to the RACH registering through the PPA portal?</w:t>
      </w:r>
    </w:p>
    <w:p w14:paraId="357C1341" w14:textId="77777777" w:rsidR="00CB39BD" w:rsidRDefault="00CB39BD" w:rsidP="00CB39BD">
      <w:pPr>
        <w:spacing w:line="240" w:lineRule="auto"/>
      </w:pPr>
      <w:r>
        <w:t>No, RACHs must register through the PPA portal and be notified of approval, prior to the ACOP commencing on-site in order to claim salary payments under the Measure.</w:t>
      </w:r>
    </w:p>
    <w:p w14:paraId="72C7D1F3" w14:textId="3634856F" w:rsidR="009451BC" w:rsidRDefault="00602462">
      <w:pPr>
        <w:pStyle w:val="ListParagraph"/>
        <w:numPr>
          <w:ilvl w:val="0"/>
          <w:numId w:val="16"/>
        </w:numPr>
        <w:spacing w:line="240" w:lineRule="auto"/>
        <w:rPr>
          <w:b/>
          <w:bCs/>
        </w:rPr>
      </w:pPr>
      <w:r w:rsidRPr="00602462">
        <w:rPr>
          <w:b/>
          <w:bCs/>
        </w:rPr>
        <w:t>Is there a requirement as to how an ACOP is employed by a RACH?</w:t>
      </w:r>
    </w:p>
    <w:p w14:paraId="48F6D8B9" w14:textId="29162EAC" w:rsidR="00602462" w:rsidRDefault="00602462" w:rsidP="00602462">
      <w:pPr>
        <w:spacing w:line="240" w:lineRule="auto"/>
      </w:pPr>
      <w:r w:rsidRPr="00454A25">
        <w:t>No,</w:t>
      </w:r>
      <w:r w:rsidR="00454A25" w:rsidRPr="00454A25">
        <w:t xml:space="preserve"> the payment model in relation to the Measure has been designed to be flexible to support ACOPs engaged as either permanent employees, casual employees or contractors. In particular, the value of payments available under the Measure have been designed to ensure they are able to support the employment of permanent staff</w:t>
      </w:r>
      <w:r w:rsidR="00C71A30">
        <w:t>.</w:t>
      </w:r>
      <w:r w:rsidR="00454A25" w:rsidRPr="00454A25">
        <w:t xml:space="preserve"> </w:t>
      </w:r>
      <w:r w:rsidR="00C71A30">
        <w:t xml:space="preserve">This </w:t>
      </w:r>
      <w:r w:rsidR="00454A25" w:rsidRPr="00454A25">
        <w:t>includ</w:t>
      </w:r>
      <w:r w:rsidR="00C71A30">
        <w:t>es</w:t>
      </w:r>
      <w:r w:rsidR="00454A25" w:rsidRPr="00454A25">
        <w:t xml:space="preserve"> paying the ACOP during periods of annual leave, personal leave and on public holidays.</w:t>
      </w:r>
    </w:p>
    <w:p w14:paraId="47EDF724" w14:textId="4BCBA6F7" w:rsidR="00F91661" w:rsidRDefault="00F91661">
      <w:pPr>
        <w:pStyle w:val="ListParagraph"/>
        <w:numPr>
          <w:ilvl w:val="0"/>
          <w:numId w:val="16"/>
        </w:numPr>
        <w:spacing w:line="240" w:lineRule="auto"/>
        <w:rPr>
          <w:b/>
          <w:bCs/>
        </w:rPr>
      </w:pPr>
      <w:r w:rsidRPr="00F91661">
        <w:rPr>
          <w:b/>
          <w:bCs/>
        </w:rPr>
        <w:t>Are there any</w:t>
      </w:r>
      <w:r w:rsidR="00BD3EC7">
        <w:rPr>
          <w:b/>
          <w:bCs/>
        </w:rPr>
        <w:t xml:space="preserve"> additional</w:t>
      </w:r>
      <w:r w:rsidRPr="00F91661">
        <w:rPr>
          <w:b/>
          <w:bCs/>
        </w:rPr>
        <w:t xml:space="preserve"> financial incentives for RACHs to participate in the Measure?</w:t>
      </w:r>
    </w:p>
    <w:p w14:paraId="4D78B36E" w14:textId="2C3053F9" w:rsidR="00F91661" w:rsidRPr="005D325B" w:rsidRDefault="00F91661" w:rsidP="00F91661">
      <w:pPr>
        <w:spacing w:line="240" w:lineRule="auto"/>
      </w:pPr>
      <w:r w:rsidRPr="005D325B">
        <w:t>No,</w:t>
      </w:r>
      <w:r w:rsidR="00D30F33" w:rsidRPr="005D325B">
        <w:t xml:space="preserve"> there are no </w:t>
      </w:r>
      <w:r w:rsidR="00BD3EC7">
        <w:t xml:space="preserve">additional </w:t>
      </w:r>
      <w:r w:rsidR="003E0D90" w:rsidRPr="005D325B">
        <w:t xml:space="preserve">financial incentives or funds available to RACHs under the Measure other than </w:t>
      </w:r>
      <w:r w:rsidR="00BD3EC7">
        <w:t xml:space="preserve">ACOP </w:t>
      </w:r>
      <w:r w:rsidR="003E0D90" w:rsidRPr="005D325B">
        <w:t>s</w:t>
      </w:r>
      <w:r w:rsidR="00D30F33" w:rsidRPr="005D325B">
        <w:t>alary payments</w:t>
      </w:r>
      <w:r w:rsidR="003E0D90" w:rsidRPr="005D325B">
        <w:t>.</w:t>
      </w:r>
    </w:p>
    <w:p w14:paraId="58DCCB9F" w14:textId="4ABA97CB" w:rsidR="005D325B" w:rsidRDefault="005D325B" w:rsidP="00F91661">
      <w:pPr>
        <w:spacing w:line="240" w:lineRule="auto"/>
      </w:pPr>
      <w:r>
        <w:t>Salary p</w:t>
      </w:r>
      <w:r w:rsidRPr="005D325B">
        <w:t xml:space="preserve">ayments made under the Measure </w:t>
      </w:r>
      <w:r>
        <w:t xml:space="preserve">to employers </w:t>
      </w:r>
      <w:r w:rsidRPr="005D325B">
        <w:t>cannot be used for any purpose other than for the ACOP’s pay including on-costs.</w:t>
      </w:r>
    </w:p>
    <w:p w14:paraId="479F8CDF" w14:textId="78C8868E" w:rsidR="00563F49" w:rsidRPr="003F77A9" w:rsidRDefault="00563F49">
      <w:pPr>
        <w:pStyle w:val="ListParagraph"/>
        <w:numPr>
          <w:ilvl w:val="0"/>
          <w:numId w:val="16"/>
        </w:numPr>
        <w:spacing w:line="240" w:lineRule="auto"/>
        <w:rPr>
          <w:b/>
          <w:bCs/>
        </w:rPr>
      </w:pPr>
      <w:r w:rsidRPr="003F77A9">
        <w:rPr>
          <w:b/>
          <w:bCs/>
        </w:rPr>
        <w:t>Can a RACH engage multiple ACOPs?</w:t>
      </w:r>
    </w:p>
    <w:p w14:paraId="6C6D6BBC" w14:textId="0266ABB2" w:rsidR="00563F49" w:rsidRDefault="00563F49" w:rsidP="00563F49">
      <w:pPr>
        <w:spacing w:line="240" w:lineRule="auto"/>
      </w:pPr>
      <w:r w:rsidRPr="00563F49">
        <w:t xml:space="preserve">Where a RACH is entitled to </w:t>
      </w:r>
      <w:r w:rsidRPr="003F77A9">
        <w:t>more than</w:t>
      </w:r>
      <w:r w:rsidRPr="00563F49">
        <w:rPr>
          <w:b/>
          <w:bCs/>
        </w:rPr>
        <w:t xml:space="preserve"> </w:t>
      </w:r>
      <w:r w:rsidRPr="00563F49">
        <w:t xml:space="preserve">0.2 FTE based on their bed </w:t>
      </w:r>
      <w:r w:rsidR="005F6887">
        <w:t>number</w:t>
      </w:r>
      <w:r>
        <w:t xml:space="preserve">, it is possible </w:t>
      </w:r>
      <w:r w:rsidR="00D620E6">
        <w:t xml:space="preserve">to </w:t>
      </w:r>
      <w:r>
        <w:t xml:space="preserve">engage more than one ACOP at the same time. Further details </w:t>
      </w:r>
      <w:r w:rsidR="00881041">
        <w:t>are provided</w:t>
      </w:r>
      <w:r>
        <w:t xml:space="preserve"> in section 4.4 of the </w:t>
      </w:r>
      <w:hyperlink r:id="rId29" w:history="1">
        <w:r w:rsidR="00E406A9">
          <w:rPr>
            <w:rStyle w:val="Hyperlink"/>
          </w:rPr>
          <w:t>ACOP Measure Rules</w:t>
        </w:r>
      </w:hyperlink>
      <w:r>
        <w:t>.</w:t>
      </w:r>
    </w:p>
    <w:p w14:paraId="12E0D417" w14:textId="1397C5FF" w:rsidR="000565C2" w:rsidRDefault="000565C2" w:rsidP="000565C2">
      <w:pPr>
        <w:pStyle w:val="Heading2"/>
      </w:pPr>
      <w:bookmarkStart w:id="30" w:name="_Toc194492204"/>
      <w:r>
        <w:t>The ACOP</w:t>
      </w:r>
      <w:bookmarkEnd w:id="30"/>
    </w:p>
    <w:p w14:paraId="65354F3C" w14:textId="77777777" w:rsidR="00426912" w:rsidRPr="0015691D" w:rsidRDefault="00426912">
      <w:pPr>
        <w:pStyle w:val="ListParagraph"/>
        <w:numPr>
          <w:ilvl w:val="0"/>
          <w:numId w:val="16"/>
        </w:numPr>
        <w:spacing w:line="240" w:lineRule="auto"/>
        <w:rPr>
          <w:b/>
          <w:bCs/>
        </w:rPr>
      </w:pPr>
      <w:r w:rsidRPr="0015691D">
        <w:rPr>
          <w:b/>
          <w:bCs/>
        </w:rPr>
        <w:t>What are the key responsibilities of an ACOP within a RACH?</w:t>
      </w:r>
    </w:p>
    <w:p w14:paraId="492D8EAF" w14:textId="4DDB0FB3" w:rsidR="00426912" w:rsidRPr="0015691D" w:rsidRDefault="00426912" w:rsidP="00426912">
      <w:pPr>
        <w:pStyle w:val="NoSpacing"/>
        <w:rPr>
          <w:rFonts w:ascii="Arial" w:hAnsi="Arial" w:cs="Arial"/>
          <w:sz w:val="22"/>
          <w:szCs w:val="22"/>
        </w:rPr>
      </w:pPr>
      <w:r w:rsidRPr="0015691D">
        <w:rPr>
          <w:rFonts w:ascii="Arial" w:hAnsi="Arial" w:cs="Arial"/>
          <w:sz w:val="22"/>
          <w:szCs w:val="22"/>
        </w:rPr>
        <w:t xml:space="preserve">The ACOP role description can be found </w:t>
      </w:r>
      <w:r>
        <w:rPr>
          <w:rFonts w:ascii="Arial" w:hAnsi="Arial" w:cs="Arial"/>
          <w:sz w:val="22"/>
          <w:szCs w:val="22"/>
        </w:rPr>
        <w:t xml:space="preserve">through the </w:t>
      </w:r>
      <w:hyperlink r:id="rId30" w:history="1">
        <w:r w:rsidR="00563F49">
          <w:rPr>
            <w:rStyle w:val="Hyperlink"/>
            <w:rFonts w:ascii="Arial" w:hAnsi="Arial" w:cs="Arial"/>
            <w:sz w:val="22"/>
            <w:szCs w:val="22"/>
          </w:rPr>
          <w:t>APC website</w:t>
        </w:r>
      </w:hyperlink>
      <w:r w:rsidRPr="0015691D">
        <w:rPr>
          <w:rFonts w:ascii="Arial" w:hAnsi="Arial" w:cs="Arial"/>
          <w:sz w:val="22"/>
          <w:szCs w:val="22"/>
        </w:rPr>
        <w:t xml:space="preserve">. The duties the ACOP is </w:t>
      </w:r>
      <w:r w:rsidR="00C71A30">
        <w:rPr>
          <w:rFonts w:ascii="Arial" w:hAnsi="Arial" w:cs="Arial"/>
          <w:sz w:val="22"/>
          <w:szCs w:val="22"/>
        </w:rPr>
        <w:t xml:space="preserve">required </w:t>
      </w:r>
      <w:r w:rsidRPr="0015691D">
        <w:rPr>
          <w:rFonts w:ascii="Arial" w:hAnsi="Arial" w:cs="Arial"/>
          <w:sz w:val="22"/>
          <w:szCs w:val="22"/>
        </w:rPr>
        <w:t>to undertake may differ at each RACH and should be discussed between the ACOP and the individual RACH</w:t>
      </w:r>
      <w:r w:rsidR="00C71A30">
        <w:rPr>
          <w:rFonts w:ascii="Arial" w:hAnsi="Arial" w:cs="Arial"/>
          <w:sz w:val="22"/>
          <w:szCs w:val="22"/>
        </w:rPr>
        <w:t>.</w:t>
      </w:r>
      <w:r w:rsidRPr="0015691D">
        <w:rPr>
          <w:rFonts w:ascii="Arial" w:hAnsi="Arial" w:cs="Arial"/>
          <w:sz w:val="22"/>
          <w:szCs w:val="22"/>
        </w:rPr>
        <w:t xml:space="preserve"> </w:t>
      </w:r>
      <w:r w:rsidR="00C71A30">
        <w:rPr>
          <w:rFonts w:ascii="Arial" w:hAnsi="Arial" w:cs="Arial"/>
          <w:sz w:val="22"/>
          <w:szCs w:val="22"/>
        </w:rPr>
        <w:t>H</w:t>
      </w:r>
      <w:r w:rsidRPr="0015691D">
        <w:rPr>
          <w:rFonts w:ascii="Arial" w:hAnsi="Arial" w:cs="Arial"/>
          <w:sz w:val="22"/>
          <w:szCs w:val="22"/>
        </w:rPr>
        <w:t>owever</w:t>
      </w:r>
      <w:r w:rsidR="00C71A30">
        <w:rPr>
          <w:rFonts w:ascii="Arial" w:hAnsi="Arial" w:cs="Arial"/>
          <w:sz w:val="22"/>
          <w:szCs w:val="22"/>
        </w:rPr>
        <w:t>,</w:t>
      </w:r>
      <w:r w:rsidRPr="0015691D">
        <w:rPr>
          <w:rFonts w:ascii="Arial" w:hAnsi="Arial" w:cs="Arial"/>
          <w:sz w:val="22"/>
          <w:szCs w:val="22"/>
        </w:rPr>
        <w:t xml:space="preserve"> </w:t>
      </w:r>
      <w:r w:rsidR="00C71A30">
        <w:rPr>
          <w:rFonts w:ascii="Arial" w:hAnsi="Arial" w:cs="Arial"/>
          <w:sz w:val="22"/>
          <w:szCs w:val="22"/>
        </w:rPr>
        <w:t xml:space="preserve">they </w:t>
      </w:r>
      <w:r w:rsidRPr="0015691D">
        <w:rPr>
          <w:rFonts w:ascii="Arial" w:hAnsi="Arial" w:cs="Arial"/>
          <w:sz w:val="22"/>
          <w:szCs w:val="22"/>
        </w:rPr>
        <w:t>must be consistent with the ACOP role description.</w:t>
      </w:r>
    </w:p>
    <w:p w14:paraId="73C799E6" w14:textId="77777777" w:rsidR="00426912" w:rsidRPr="0015691D" w:rsidRDefault="00426912" w:rsidP="00426912">
      <w:pPr>
        <w:pStyle w:val="NoSpacing"/>
        <w:rPr>
          <w:rFonts w:ascii="Arial" w:hAnsi="Arial" w:cs="Arial"/>
          <w:sz w:val="22"/>
          <w:szCs w:val="22"/>
        </w:rPr>
      </w:pPr>
    </w:p>
    <w:p w14:paraId="4B6813F3" w14:textId="77777777" w:rsidR="00426912" w:rsidRPr="0015691D" w:rsidRDefault="00426912" w:rsidP="00426912">
      <w:pPr>
        <w:pStyle w:val="NoSpacing"/>
        <w:rPr>
          <w:rFonts w:ascii="Arial" w:hAnsi="Arial" w:cs="Arial"/>
          <w:sz w:val="22"/>
          <w:szCs w:val="22"/>
        </w:rPr>
      </w:pPr>
      <w:r w:rsidRPr="0015691D">
        <w:rPr>
          <w:rFonts w:ascii="Arial" w:hAnsi="Arial" w:cs="Arial"/>
          <w:sz w:val="22"/>
          <w:szCs w:val="22"/>
        </w:rPr>
        <w:t xml:space="preserve">The ACOP will need to maintain a </w:t>
      </w:r>
      <w:hyperlink r:id="rId31" w:history="1">
        <w:r w:rsidRPr="004C5EBF">
          <w:rPr>
            <w:rStyle w:val="Hyperlink"/>
            <w:rFonts w:ascii="Arial" w:hAnsi="Arial" w:cs="Arial"/>
            <w:sz w:val="22"/>
            <w:szCs w:val="22"/>
          </w:rPr>
          <w:t>weekly timesheet and activities summary</w:t>
        </w:r>
      </w:hyperlink>
      <w:r w:rsidRPr="0015691D">
        <w:rPr>
          <w:rFonts w:ascii="Arial" w:hAnsi="Arial" w:cs="Arial"/>
          <w:sz w:val="22"/>
          <w:szCs w:val="22"/>
        </w:rPr>
        <w:t>, to be signed by a RACH representative.</w:t>
      </w:r>
    </w:p>
    <w:p w14:paraId="72D233CE" w14:textId="77777777" w:rsidR="00426912" w:rsidRPr="0015691D" w:rsidRDefault="00426912" w:rsidP="00426912">
      <w:pPr>
        <w:pStyle w:val="NoSpacing"/>
        <w:rPr>
          <w:rFonts w:ascii="Arial" w:hAnsi="Arial" w:cs="Arial"/>
          <w:sz w:val="22"/>
          <w:szCs w:val="22"/>
        </w:rPr>
      </w:pPr>
    </w:p>
    <w:p w14:paraId="051A6093" w14:textId="77777777" w:rsidR="00426912" w:rsidRPr="0015691D" w:rsidRDefault="00426912" w:rsidP="00426912">
      <w:pPr>
        <w:pStyle w:val="NoSpacing"/>
        <w:rPr>
          <w:rFonts w:ascii="Arial" w:hAnsi="Arial" w:cs="Arial"/>
          <w:sz w:val="22"/>
          <w:szCs w:val="22"/>
        </w:rPr>
      </w:pPr>
      <w:r w:rsidRPr="0015691D">
        <w:rPr>
          <w:rFonts w:ascii="Arial" w:hAnsi="Arial" w:cs="Arial"/>
          <w:sz w:val="22"/>
          <w:szCs w:val="22"/>
        </w:rPr>
        <w:lastRenderedPageBreak/>
        <w:t>The RACH engaging the ACOP will need to ensure that the weekly timesheet and activities summaries are retained for audit purposes.</w:t>
      </w:r>
    </w:p>
    <w:p w14:paraId="745FD649" w14:textId="6383B404" w:rsidR="000565C2" w:rsidRPr="00CC0495" w:rsidRDefault="000565C2">
      <w:pPr>
        <w:pStyle w:val="ListParagraph"/>
        <w:numPr>
          <w:ilvl w:val="0"/>
          <w:numId w:val="16"/>
        </w:numPr>
        <w:rPr>
          <w:b/>
          <w:bCs/>
        </w:rPr>
      </w:pPr>
      <w:r w:rsidRPr="00CC0495">
        <w:rPr>
          <w:b/>
          <w:bCs/>
        </w:rPr>
        <w:t>Can the ACOP’s travel time to and from the RACH count as</w:t>
      </w:r>
      <w:r w:rsidR="005C56C5">
        <w:rPr>
          <w:b/>
          <w:bCs/>
        </w:rPr>
        <w:t xml:space="preserve"> </w:t>
      </w:r>
      <w:r w:rsidR="00BE559C">
        <w:rPr>
          <w:b/>
          <w:bCs/>
        </w:rPr>
        <w:t>working at the RACH</w:t>
      </w:r>
      <w:r w:rsidRPr="00CC0495">
        <w:rPr>
          <w:b/>
          <w:bCs/>
        </w:rPr>
        <w:t>?</w:t>
      </w:r>
    </w:p>
    <w:p w14:paraId="78C36714" w14:textId="0EB2FFF6" w:rsidR="003E0D90" w:rsidRDefault="003E0D90" w:rsidP="003E0D90">
      <w:pPr>
        <w:spacing w:line="240" w:lineRule="auto"/>
      </w:pPr>
      <w:r>
        <w:t xml:space="preserve">No, travel time to the place of work i.e. the RACH, </w:t>
      </w:r>
      <w:r w:rsidR="00881041">
        <w:t>is not considered</w:t>
      </w:r>
      <w:r>
        <w:t xml:space="preserve"> as time on-site</w:t>
      </w:r>
      <w:r w:rsidR="00AA4864">
        <w:t xml:space="preserve"> and is not funded under the ACOP Measure</w:t>
      </w:r>
      <w:r>
        <w:t>.</w:t>
      </w:r>
    </w:p>
    <w:p w14:paraId="49F8E115" w14:textId="34CDCC2F" w:rsidR="00C6002D" w:rsidRDefault="00C62CCA" w:rsidP="003E0D90">
      <w:pPr>
        <w:spacing w:line="240" w:lineRule="auto"/>
      </w:pPr>
      <w:r>
        <w:t>If a p</w:t>
      </w:r>
      <w:r w:rsidR="003E0D90">
        <w:t>harmac</w:t>
      </w:r>
      <w:r>
        <w:t>y is employing the ACOP</w:t>
      </w:r>
      <w:r w:rsidR="00C71A30">
        <w:t>,</w:t>
      </w:r>
      <w:r>
        <w:t xml:space="preserve"> it</w:t>
      </w:r>
      <w:r w:rsidR="003E0D90">
        <w:t xml:space="preserve"> cannot charge a RACH to provide an ACOP to work on-site or for any activities undertaken by that ACOP under the Measure. </w:t>
      </w:r>
      <w:r w:rsidR="00C6002D">
        <w:t xml:space="preserve">Should the </w:t>
      </w:r>
      <w:r w:rsidR="003E0D90">
        <w:t xml:space="preserve">RACH or </w:t>
      </w:r>
      <w:r w:rsidR="00C6002D">
        <w:t xml:space="preserve">the </w:t>
      </w:r>
      <w:r w:rsidR="003E0D90">
        <w:t xml:space="preserve">pharmacy </w:t>
      </w:r>
      <w:r w:rsidR="00C6002D">
        <w:t xml:space="preserve">choose to pay the </w:t>
      </w:r>
      <w:r w:rsidR="003E0D90">
        <w:t xml:space="preserve">ACOP </w:t>
      </w:r>
      <w:r w:rsidR="00C6002D">
        <w:t>additional funds</w:t>
      </w:r>
      <w:r w:rsidR="00E01C4C">
        <w:t xml:space="preserve"> </w:t>
      </w:r>
      <w:r w:rsidR="00181FA7">
        <w:t>outside of the Measure funding, such as for travel, ACOP M</w:t>
      </w:r>
      <w:r w:rsidR="00C13C20">
        <w:t>easure funds must not be used for these purposes.</w:t>
      </w:r>
    </w:p>
    <w:p w14:paraId="56952B6D" w14:textId="76A1F050" w:rsidR="0012702E" w:rsidRPr="005B18FD" w:rsidRDefault="009D36A5">
      <w:pPr>
        <w:pStyle w:val="ListParagraph"/>
        <w:numPr>
          <w:ilvl w:val="0"/>
          <w:numId w:val="16"/>
        </w:numPr>
        <w:rPr>
          <w:b/>
          <w:bCs/>
        </w:rPr>
      </w:pPr>
      <w:r w:rsidRPr="005B18FD">
        <w:rPr>
          <w:b/>
          <w:bCs/>
        </w:rPr>
        <w:t>Can activities performed by an ACOP be done via telehealth under the Measure?</w:t>
      </w:r>
    </w:p>
    <w:p w14:paraId="2D6D097E" w14:textId="12897B33" w:rsidR="00563F49" w:rsidRDefault="005B18FD" w:rsidP="005B18FD">
      <w:r w:rsidRPr="005B18FD">
        <w:t xml:space="preserve">All the ACOP’s activities need to be conducted on-site in the RACH. However, ACOPs can participate in RACH level Medication Advisory Committee (MAC) meetings if these are conducted virtually. A provision for a corporate level MAC meeting has not been implemented. Further details are provided in </w:t>
      </w:r>
      <w:r w:rsidR="00881041">
        <w:t xml:space="preserve">section 5.3 of </w:t>
      </w:r>
      <w:r w:rsidRPr="005B18FD">
        <w:t xml:space="preserve">the </w:t>
      </w:r>
      <w:hyperlink r:id="rId32" w:history="1">
        <w:r w:rsidR="008C4A2F">
          <w:rPr>
            <w:rStyle w:val="Hyperlink"/>
          </w:rPr>
          <w:t>ACOP Measure Rules</w:t>
        </w:r>
      </w:hyperlink>
      <w:r w:rsidRPr="005B18FD">
        <w:t>.</w:t>
      </w:r>
    </w:p>
    <w:p w14:paraId="040C9415" w14:textId="3616F7BE" w:rsidR="00563F49" w:rsidRDefault="00563F49">
      <w:pPr>
        <w:pStyle w:val="ListParagraph"/>
        <w:numPr>
          <w:ilvl w:val="0"/>
          <w:numId w:val="16"/>
        </w:numPr>
        <w:rPr>
          <w:b/>
          <w:bCs/>
        </w:rPr>
      </w:pPr>
      <w:r w:rsidRPr="00563F49">
        <w:rPr>
          <w:b/>
          <w:bCs/>
        </w:rPr>
        <w:t>Can an ACOP conduct vaccinations?</w:t>
      </w:r>
    </w:p>
    <w:p w14:paraId="700EB836" w14:textId="7644B6A6" w:rsidR="00594CCB" w:rsidRDefault="00563F49" w:rsidP="00563F49">
      <w:r>
        <w:t xml:space="preserve">ACOPs are able to conduct vaccinations </w:t>
      </w:r>
      <w:r w:rsidR="008C4A2F">
        <w:t>at the RACH</w:t>
      </w:r>
      <w:r w:rsidR="00583888">
        <w:t>,</w:t>
      </w:r>
      <w:r w:rsidR="008C4A2F">
        <w:t xml:space="preserve"> </w:t>
      </w:r>
      <w:r>
        <w:t xml:space="preserve">provided vaccination training </w:t>
      </w:r>
      <w:r w:rsidR="00071BDD">
        <w:t xml:space="preserve">has been </w:t>
      </w:r>
      <w:r>
        <w:t xml:space="preserve">completed. </w:t>
      </w:r>
      <w:r w:rsidR="008C4A2F">
        <w:t xml:space="preserve">Vaccination training is not mandatory for an ACOP. </w:t>
      </w:r>
      <w:r>
        <w:t xml:space="preserve">If an ACOP is administering vaccinations </w:t>
      </w:r>
      <w:r w:rsidR="00147643">
        <w:t xml:space="preserve">during the time they are working as an ACOP, </w:t>
      </w:r>
      <w:r w:rsidR="00594CCB">
        <w:t xml:space="preserve">and the ACOP is employed by a pharmacy, </w:t>
      </w:r>
      <w:r w:rsidR="00147643">
        <w:t xml:space="preserve">the </w:t>
      </w:r>
      <w:r w:rsidR="00594CCB">
        <w:t xml:space="preserve">pharmacy </w:t>
      </w:r>
      <w:r w:rsidR="00147643">
        <w:t>cannot</w:t>
      </w:r>
      <w:r w:rsidR="00594CCB">
        <w:t xml:space="preserve"> claim government </w:t>
      </w:r>
      <w:r w:rsidR="00147643">
        <w:t>vaccination administration</w:t>
      </w:r>
      <w:r w:rsidR="00594CCB">
        <w:t xml:space="preserve"> payments</w:t>
      </w:r>
      <w:r w:rsidR="00147643">
        <w:t xml:space="preserve"> (noting the </w:t>
      </w:r>
      <w:r w:rsidR="0023613E">
        <w:t xml:space="preserve">pharmacy will already be receiving the </w:t>
      </w:r>
      <w:r w:rsidR="00147643">
        <w:t>ACOP</w:t>
      </w:r>
      <w:r w:rsidR="0023613E">
        <w:t>’s salary</w:t>
      </w:r>
      <w:r w:rsidR="00147643">
        <w:t>)</w:t>
      </w:r>
      <w:r w:rsidR="00594CCB">
        <w:t xml:space="preserve">. </w:t>
      </w:r>
    </w:p>
    <w:p w14:paraId="0490A988" w14:textId="008568C2" w:rsidR="00563F49" w:rsidRPr="00563F49" w:rsidRDefault="00594CCB" w:rsidP="00563F49">
      <w:r>
        <w:t xml:space="preserve">If an ACOP is employed by a pharmacy that wishes to separately </w:t>
      </w:r>
      <w:r w:rsidR="00563F49">
        <w:t xml:space="preserve">claim </w:t>
      </w:r>
      <w:r w:rsidR="00563F49" w:rsidRPr="00563F49">
        <w:t>under the National Immunisation Program Vaccinations in Pharmacy (NIPVIP) Program or the COVID-19 Vaccination in Community Pharmacy (CVCP) Program</w:t>
      </w:r>
      <w:r w:rsidR="00563F49">
        <w:t xml:space="preserve">, these vaccinations must be conducted outside of </w:t>
      </w:r>
      <w:r w:rsidR="003975BF">
        <w:t>the ACOP’s regular on-site government funded days.</w:t>
      </w:r>
    </w:p>
    <w:p w14:paraId="18D10493" w14:textId="200A9159" w:rsidR="00A15731" w:rsidRDefault="00A15731" w:rsidP="00A15731">
      <w:pPr>
        <w:pStyle w:val="Heading2"/>
      </w:pPr>
      <w:bookmarkStart w:id="31" w:name="_Toc194492205"/>
      <w:r>
        <w:t>General Practitioners</w:t>
      </w:r>
      <w:bookmarkEnd w:id="31"/>
    </w:p>
    <w:p w14:paraId="6FB88D5E" w14:textId="7D0EFBF6" w:rsidR="00A15731" w:rsidRPr="00A648F2" w:rsidRDefault="00A15731">
      <w:pPr>
        <w:pStyle w:val="ListParagraph"/>
        <w:numPr>
          <w:ilvl w:val="0"/>
          <w:numId w:val="16"/>
        </w:numPr>
        <w:rPr>
          <w:b/>
          <w:bCs/>
        </w:rPr>
      </w:pPr>
      <w:r w:rsidRPr="00A648F2">
        <w:rPr>
          <w:b/>
          <w:bCs/>
        </w:rPr>
        <w:t xml:space="preserve">If a RACH </w:t>
      </w:r>
      <w:r w:rsidR="00314EFC" w:rsidRPr="00A648F2">
        <w:rPr>
          <w:b/>
          <w:bCs/>
        </w:rPr>
        <w:t>engages an ACOP</w:t>
      </w:r>
      <w:r w:rsidR="00583888">
        <w:rPr>
          <w:b/>
          <w:bCs/>
        </w:rPr>
        <w:t>,</w:t>
      </w:r>
      <w:r w:rsidR="00314EFC" w:rsidRPr="00A648F2">
        <w:rPr>
          <w:b/>
          <w:bCs/>
        </w:rPr>
        <w:t xml:space="preserve"> are residents still eligible for RMMR</w:t>
      </w:r>
      <w:r w:rsidR="00E0642B">
        <w:rPr>
          <w:b/>
          <w:bCs/>
        </w:rPr>
        <w:t>s</w:t>
      </w:r>
      <w:r w:rsidR="00314EFC" w:rsidRPr="00A648F2">
        <w:rPr>
          <w:b/>
          <w:bCs/>
        </w:rPr>
        <w:t xml:space="preserve">, which General Practitioners may be able to claim for through </w:t>
      </w:r>
      <w:r w:rsidR="008E1139" w:rsidRPr="00A648F2">
        <w:rPr>
          <w:b/>
          <w:bCs/>
        </w:rPr>
        <w:t>the Medical Benefits Schedule (MBS)?</w:t>
      </w:r>
    </w:p>
    <w:p w14:paraId="5FEFADF1" w14:textId="46BB8AF6" w:rsidR="00002F90" w:rsidRDefault="008E1139" w:rsidP="00002F90">
      <w:r w:rsidRPr="008E1139">
        <w:t>Yes</w:t>
      </w:r>
      <w:r>
        <w:t>,</w:t>
      </w:r>
      <w:r w:rsidRPr="008E1139">
        <w:t xml:space="preserve"> </w:t>
      </w:r>
      <w:r w:rsidR="00504D30">
        <w:t>p</w:t>
      </w:r>
      <w:r w:rsidRPr="008E1139">
        <w:t>articipation in the ACOP affects the source of payment for the pharmacist, not the resident’s eligibility for a RMMR service. A key role of an ACOP is to review residents’ medications regularly and resolve any issues identified promptly. This is expected to reduce (but may not eliminate) the need for RMMRs.</w:t>
      </w:r>
    </w:p>
    <w:p w14:paraId="35084F93" w14:textId="18EB6A66" w:rsidR="003C0584" w:rsidRDefault="003C0584" w:rsidP="00002F90">
      <w:r>
        <w:t>In order for a General Practitioner to claim for a relevant MBS item</w:t>
      </w:r>
      <w:r w:rsidR="009852B8">
        <w:t xml:space="preserve">, the criteria must be met in </w:t>
      </w:r>
      <w:proofErr w:type="gramStart"/>
      <w:r w:rsidR="009852B8">
        <w:t>full</w:t>
      </w:r>
      <w:proofErr w:type="gramEnd"/>
      <w:r w:rsidR="009852B8">
        <w:t xml:space="preserve"> and the service must be clinically appropriate.</w:t>
      </w:r>
      <w:r w:rsidR="005D410A">
        <w:t xml:space="preserve"> Where an ACOP is employed at the RACH, the ACOP will undertake medication reviews as required, including any in-depth reviews requested by GPs.</w:t>
      </w:r>
    </w:p>
    <w:p w14:paraId="58CBF38F" w14:textId="10F94308" w:rsidR="004D308C" w:rsidRDefault="004D308C" w:rsidP="00002F90">
      <w:r>
        <w:t xml:space="preserve">MBS item </w:t>
      </w:r>
      <w:r w:rsidR="00A648F2">
        <w:t>903 or 249</w:t>
      </w:r>
      <w:r w:rsidR="00C53B2E">
        <w:t>, related to RMMR,</w:t>
      </w:r>
      <w:r w:rsidR="00A648F2">
        <w:t xml:space="preserve"> may be utilised by general practitioners or prescribed medical practitioners respectively. </w:t>
      </w:r>
      <w:r>
        <w:t xml:space="preserve">Further information can be found on the </w:t>
      </w:r>
      <w:hyperlink r:id="rId33" w:history="1">
        <w:r w:rsidR="0054119E">
          <w:rPr>
            <w:rStyle w:val="Hyperlink"/>
          </w:rPr>
          <w:t>MBS Website</w:t>
        </w:r>
      </w:hyperlink>
      <w:r>
        <w:t>.</w:t>
      </w:r>
    </w:p>
    <w:p w14:paraId="6EA689CF" w14:textId="148B7613" w:rsidR="00147643" w:rsidRDefault="00147643">
      <w:pPr>
        <w:spacing w:before="0" w:after="0" w:line="240" w:lineRule="auto"/>
      </w:pPr>
      <w:r>
        <w:br w:type="page"/>
      </w:r>
    </w:p>
    <w:p w14:paraId="06ECB6DF" w14:textId="77E0C84C" w:rsidR="00205A93" w:rsidRPr="004D1339" w:rsidRDefault="00205A93" w:rsidP="00205A93">
      <w:pPr>
        <w:pStyle w:val="Heading1"/>
      </w:pPr>
      <w:bookmarkStart w:id="32" w:name="_Toc194492206"/>
      <w:r w:rsidRPr="004D1339">
        <w:lastRenderedPageBreak/>
        <w:t>Glossary</w:t>
      </w:r>
      <w:bookmarkEnd w:id="32"/>
    </w:p>
    <w:p w14:paraId="01267938" w14:textId="329C8DAB" w:rsidR="00CF6004" w:rsidRPr="00060F7D" w:rsidRDefault="00CF6004" w:rsidP="00CF6004">
      <w:r>
        <w:t xml:space="preserve">ACOP – Aged Care </w:t>
      </w:r>
      <w:r w:rsidR="003F4920">
        <w:t>O</w:t>
      </w:r>
      <w:r>
        <w:t>n</w:t>
      </w:r>
      <w:r w:rsidR="003F4920">
        <w:t>-</w:t>
      </w:r>
      <w:r>
        <w:t>site Pharmacist</w:t>
      </w:r>
    </w:p>
    <w:p w14:paraId="3C0512F7" w14:textId="77777777" w:rsidR="00CF6004" w:rsidRDefault="00CF6004" w:rsidP="00CF6004">
      <w:r>
        <w:t>AHPRA – Australian Health Practitioner Regulatory Agency</w:t>
      </w:r>
    </w:p>
    <w:p w14:paraId="29B55B5C" w14:textId="77777777" w:rsidR="00CF6004" w:rsidRDefault="00CF6004" w:rsidP="00CF6004">
      <w:r>
        <w:t>APC – Australian Pharmacy Council</w:t>
      </w:r>
    </w:p>
    <w:p w14:paraId="2D7E9E42" w14:textId="77777777" w:rsidR="00CF6004" w:rsidRDefault="00CF6004" w:rsidP="00CF6004">
      <w:r>
        <w:t>Credentialed Pharmacist – A pharmacist credentialed following completion of an APC accredited Aged Care On-site Pharmacist or Medication Management Review training program.</w:t>
      </w:r>
    </w:p>
    <w:p w14:paraId="6D8A088A" w14:textId="77777777" w:rsidR="00CF6004" w:rsidRDefault="00CF6004" w:rsidP="00CF6004">
      <w:r>
        <w:t>FTE – Full-Time Equivalent</w:t>
      </w:r>
    </w:p>
    <w:p w14:paraId="637689AC" w14:textId="77777777" w:rsidR="00CF6004" w:rsidRDefault="00CF6004" w:rsidP="00CF6004">
      <w:r>
        <w:t>MAC – Medication Advisory Committee meeting</w:t>
      </w:r>
    </w:p>
    <w:p w14:paraId="558C68EB" w14:textId="77777777" w:rsidR="00CF6004" w:rsidRDefault="00CF6004" w:rsidP="00CF6004">
      <w:r>
        <w:t>MEASURE – Aged Care On-Site Pharmacist Measure</w:t>
      </w:r>
    </w:p>
    <w:p w14:paraId="0CFF3CCC" w14:textId="77777777" w:rsidR="00CF6004" w:rsidRDefault="00CF6004" w:rsidP="00CF6004">
      <w:r>
        <w:t>PHNs – Primary Health Networks</w:t>
      </w:r>
    </w:p>
    <w:p w14:paraId="4EBFCE2C" w14:textId="77777777" w:rsidR="00CF6004" w:rsidRDefault="00CF6004" w:rsidP="00CF6004">
      <w:r>
        <w:t>PPA – Pharmacy Programs Administrator</w:t>
      </w:r>
    </w:p>
    <w:p w14:paraId="2F55425B" w14:textId="77777777" w:rsidR="00CF6004" w:rsidRDefault="00CF6004" w:rsidP="00CF6004">
      <w:r>
        <w:t>QUM – Quality Use of Medicines Program</w:t>
      </w:r>
    </w:p>
    <w:p w14:paraId="74DF64C3" w14:textId="77777777" w:rsidR="00CF6004" w:rsidRDefault="00CF6004" w:rsidP="00CF6004">
      <w:r>
        <w:t>RMMR – Residential Medication Management Review Program</w:t>
      </w:r>
    </w:p>
    <w:p w14:paraId="52FE2D78" w14:textId="35B8783D" w:rsidR="00D74815" w:rsidRDefault="00D74815" w:rsidP="00CF6004">
      <w:r>
        <w:t>RACH – Residential Aged Care Home</w:t>
      </w:r>
    </w:p>
    <w:p w14:paraId="25442978" w14:textId="77777777" w:rsidR="00D74815" w:rsidRDefault="00D74815" w:rsidP="00CF6004"/>
    <w:p w14:paraId="4EF5E44F" w14:textId="0D7009DB" w:rsidR="00205A93" w:rsidRPr="004D1339" w:rsidRDefault="00205A93" w:rsidP="00346C4A">
      <w:pPr>
        <w:sectPr w:rsidR="00205A93" w:rsidRPr="004D1339" w:rsidSect="00205A93">
          <w:footerReference w:type="default" r:id="rId34"/>
          <w:pgSz w:w="11906" w:h="16838"/>
          <w:pgMar w:top="1701" w:right="1418" w:bottom="1418" w:left="1418" w:header="709" w:footer="709" w:gutter="0"/>
          <w:cols w:space="708"/>
          <w:docGrid w:linePitch="360"/>
        </w:sectPr>
      </w:pPr>
    </w:p>
    <w:p w14:paraId="4A447A46" w14:textId="77777777" w:rsidR="00205A93" w:rsidRPr="004D1339" w:rsidRDefault="00205A93" w:rsidP="00346C4A">
      <w:pPr>
        <w:pStyle w:val="URL"/>
      </w:pPr>
      <w:r w:rsidRPr="004D1339">
        <w:lastRenderedPageBreak/>
        <w:t>Health.gov.au</w:t>
      </w:r>
    </w:p>
    <w:p w14:paraId="4013A586" w14:textId="1B6BB1A8" w:rsidR="00205A93" w:rsidRPr="004D1339" w:rsidRDefault="00205A93" w:rsidP="004D1339">
      <w:pPr>
        <w:jc w:val="center"/>
      </w:pPr>
      <w:r w:rsidRPr="004D1339">
        <w:t xml:space="preserve">All information in this publication is correct as </w:t>
      </w:r>
      <w:proofErr w:type="gramStart"/>
      <w:r w:rsidRPr="004D1339">
        <w:t>at</w:t>
      </w:r>
      <w:proofErr w:type="gramEnd"/>
      <w:r w:rsidRPr="004D1339">
        <w:t xml:space="preserve"> </w:t>
      </w:r>
      <w:r w:rsidR="00845596">
        <w:t>March</w:t>
      </w:r>
      <w:r w:rsidR="003465AA" w:rsidRPr="004D1339">
        <w:t xml:space="preserve"> </w:t>
      </w:r>
      <w:r w:rsidR="003465AA">
        <w:t>202</w:t>
      </w:r>
      <w:r w:rsidR="00845596">
        <w:t>5</w:t>
      </w:r>
    </w:p>
    <w:sectPr w:rsidR="00205A93" w:rsidRPr="004D1339" w:rsidSect="00205A93">
      <w:headerReference w:type="default" r:id="rId35"/>
      <w:footerReference w:type="default" r:id="rId36"/>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0BB4F" w14:textId="77777777" w:rsidR="00264C49" w:rsidRDefault="00264C49" w:rsidP="00346C4A">
      <w:r>
        <w:separator/>
      </w:r>
    </w:p>
    <w:p w14:paraId="097E852B" w14:textId="77777777" w:rsidR="00264C49" w:rsidRDefault="00264C49" w:rsidP="00346C4A"/>
  </w:endnote>
  <w:endnote w:type="continuationSeparator" w:id="0">
    <w:p w14:paraId="5F2D18B6" w14:textId="77777777" w:rsidR="00264C49" w:rsidRDefault="00264C49" w:rsidP="00346C4A">
      <w:r>
        <w:continuationSeparator/>
      </w:r>
    </w:p>
    <w:p w14:paraId="6019E1EC" w14:textId="77777777" w:rsidR="00264C49" w:rsidRDefault="00264C49" w:rsidP="00346C4A"/>
  </w:endnote>
  <w:endnote w:type="continuationNotice" w:id="1">
    <w:p w14:paraId="11EF00B3" w14:textId="77777777" w:rsidR="00264C49" w:rsidRDefault="00264C49"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38EBA" w14:textId="77777777"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62288"/>
      <w:docPartObj>
        <w:docPartGallery w:val="Page Numbers (Bottom of Page)"/>
        <w:docPartUnique/>
      </w:docPartObj>
    </w:sdtPr>
    <w:sdtEndPr>
      <w:rPr>
        <w:noProof/>
      </w:rPr>
    </w:sdtEndPr>
    <w:sdtContent>
      <w:p w14:paraId="4BDCB0B9" w14:textId="51625E99" w:rsidR="00236073" w:rsidRDefault="007237F0" w:rsidP="000D56E4">
        <w:pPr>
          <w:pStyle w:val="Footer"/>
        </w:pPr>
        <w:r w:rsidRPr="007237F0">
          <w:t>Primary Health Network – Residential Aged Care Home Support Grant Program Guide</w:t>
        </w:r>
        <w:r w:rsidR="00236073">
          <w:tab/>
        </w:r>
        <w:r w:rsidR="00236073">
          <w:fldChar w:fldCharType="begin"/>
        </w:r>
        <w:r w:rsidR="00236073">
          <w:instrText xml:space="preserve"> PAGE   \* MERGEFORMAT </w:instrText>
        </w:r>
        <w:r w:rsidR="00236073">
          <w:fldChar w:fldCharType="separate"/>
        </w:r>
        <w:r w:rsidR="00207793">
          <w:rPr>
            <w:noProof/>
          </w:rPr>
          <w:t>3</w:t>
        </w:r>
        <w:r w:rsidR="00236073">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169317"/>
      <w:docPartObj>
        <w:docPartGallery w:val="Page Numbers (Bottom of Page)"/>
        <w:docPartUnique/>
      </w:docPartObj>
    </w:sdtPr>
    <w:sdtEndPr>
      <w:rPr>
        <w:noProof/>
      </w:rPr>
    </w:sdtEndPr>
    <w:sdtContent>
      <w:p w14:paraId="61704F97" w14:textId="77777777"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95D3F" w14:textId="26F7A4EB" w:rsidR="001D0266" w:rsidRDefault="00C50DB9" w:rsidP="007A750C">
    <w:pPr>
      <w:pStyle w:val="Footer"/>
      <w:pBdr>
        <w:top w:val="single" w:sz="4" w:space="1" w:color="D9D9D9" w:themeColor="background1" w:themeShade="D9"/>
      </w:pBdr>
    </w:pPr>
    <w:r w:rsidRPr="007237F0">
      <w:t>Primary Health Network – Residential Aged Care Home Support Grant Program Guide</w:t>
    </w:r>
    <w:r w:rsidR="007A750C">
      <w:tab/>
    </w:r>
    <w:sdt>
      <w:sdtPr>
        <w:id w:val="1375650933"/>
        <w:docPartObj>
          <w:docPartGallery w:val="Page Numbers (Bottom of Page)"/>
          <w:docPartUnique/>
        </w:docPartObj>
      </w:sdtPr>
      <w:sdtEndPr>
        <w:rPr>
          <w:spacing w:val="60"/>
        </w:rPr>
      </w:sdtEndPr>
      <w:sdtContent>
        <w:r w:rsidR="001D0266">
          <w:fldChar w:fldCharType="begin"/>
        </w:r>
        <w:r w:rsidR="001D0266">
          <w:instrText xml:space="preserve"> PAGE   \* MERGEFORMAT </w:instrText>
        </w:r>
        <w:r w:rsidR="001D0266">
          <w:fldChar w:fldCharType="separate"/>
        </w:r>
        <w:r w:rsidR="001D0266">
          <w:rPr>
            <w:noProof/>
          </w:rPr>
          <w:t>2</w:t>
        </w:r>
        <w:r w:rsidR="001D0266">
          <w:rPr>
            <w:noProof/>
          </w:rPr>
          <w:fldChar w:fldCharType="end"/>
        </w:r>
        <w:r w:rsidR="001D0266">
          <w:t xml:space="preserve"> | </w:t>
        </w:r>
        <w:r w:rsidR="001D0266" w:rsidRPr="00296752">
          <w:rPr>
            <w:spacing w:val="60"/>
          </w:rPr>
          <w:t>Page</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47761"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01148" w14:textId="77777777" w:rsidR="00264C49" w:rsidRDefault="00264C49" w:rsidP="00D92559">
      <w:r>
        <w:separator/>
      </w:r>
    </w:p>
  </w:footnote>
  <w:footnote w:type="continuationSeparator" w:id="0">
    <w:p w14:paraId="5DF557FE" w14:textId="77777777" w:rsidR="00264C49" w:rsidRDefault="00264C49" w:rsidP="00346C4A">
      <w:r>
        <w:continuationSeparator/>
      </w:r>
    </w:p>
    <w:p w14:paraId="283D90E1" w14:textId="77777777" w:rsidR="00264C49" w:rsidRDefault="00264C49" w:rsidP="00346C4A"/>
  </w:footnote>
  <w:footnote w:type="continuationNotice" w:id="1">
    <w:p w14:paraId="5C3A6A7A" w14:textId="77777777" w:rsidR="00264C49" w:rsidRDefault="00264C49" w:rsidP="00346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12696" w14:textId="77777777" w:rsidR="008E0C77" w:rsidRDefault="00CA79CF" w:rsidP="008E0C77">
    <w:pPr>
      <w:pStyle w:val="Headertext"/>
      <w:spacing w:after="180"/>
      <w:jc w:val="left"/>
    </w:pPr>
    <w:r>
      <w:rPr>
        <w:noProof/>
        <w:lang w:eastAsia="en-AU"/>
      </w:rPr>
      <w:drawing>
        <wp:anchor distT="0" distB="0" distL="114300" distR="114300" simplePos="0" relativeHeight="251659264" behindDoc="1" locked="0" layoutInCell="1" allowOverlap="1" wp14:anchorId="31F72431" wp14:editId="71342C3D">
          <wp:simplePos x="0" y="0"/>
          <wp:positionH relativeFrom="page">
            <wp:align>center</wp:align>
          </wp:positionH>
          <wp:positionV relativeFrom="page">
            <wp:align>center</wp:align>
          </wp:positionV>
          <wp:extent cx="7560000" cy="10692000"/>
          <wp:effectExtent l="0" t="0" r="3175" b="0"/>
          <wp:wrapNone/>
          <wp:docPr id="581168440" name="Picture 5811684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4E4E8" w14:textId="77777777" w:rsidR="00CA79CF" w:rsidRDefault="00CA79CF" w:rsidP="00205A93">
    <w:pPr>
      <w:pStyle w:val="Header"/>
      <w:tabs>
        <w:tab w:val="clear" w:pos="4513"/>
        <w:tab w:val="clear" w:pos="9026"/>
        <w:tab w:val="center" w:pos="4535"/>
      </w:tabs>
    </w:pPr>
    <w:r>
      <w:rPr>
        <w:noProof/>
        <w:lang w:eastAsia="en-AU"/>
      </w:rPr>
      <w:drawing>
        <wp:anchor distT="0" distB="0" distL="114300" distR="114300" simplePos="0" relativeHeight="251661312" behindDoc="1" locked="0" layoutInCell="1" allowOverlap="1" wp14:anchorId="79920217" wp14:editId="716715C7">
          <wp:simplePos x="0" y="0"/>
          <wp:positionH relativeFrom="page">
            <wp:align>center</wp:align>
          </wp:positionH>
          <wp:positionV relativeFrom="page">
            <wp:align>center</wp:align>
          </wp:positionV>
          <wp:extent cx="7558768" cy="10692000"/>
          <wp:effectExtent l="0" t="0" r="0" b="1905"/>
          <wp:wrapNone/>
          <wp:docPr id="193011497" name="Picture 1930114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1DF2C" w14:textId="77777777" w:rsidR="000D56E4" w:rsidRDefault="000D5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286D2" w14:textId="77777777" w:rsidR="000D56E4" w:rsidRDefault="000D56E4"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C47B6" w14:textId="77777777" w:rsidR="000D56E4" w:rsidRDefault="000D56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F52AF" w14:textId="77777777" w:rsidR="00205A93" w:rsidRDefault="00205A93" w:rsidP="008E0C77">
    <w:pPr>
      <w:pStyle w:val="Headertext"/>
      <w:spacing w:after="180"/>
      <w:jc w:val="left"/>
    </w:pPr>
    <w:r>
      <w:rPr>
        <w:noProof/>
        <w:lang w:eastAsia="en-AU"/>
      </w:rPr>
      <w:drawing>
        <wp:anchor distT="0" distB="0" distL="114300" distR="114300" simplePos="0" relativeHeight="251663360" behindDoc="1" locked="0" layoutInCell="1" allowOverlap="1" wp14:anchorId="1ABB6303" wp14:editId="21D23D56">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497963"/>
    <w:multiLevelType w:val="hybridMultilevel"/>
    <w:tmpl w:val="FFFFFFFF"/>
    <w:lvl w:ilvl="0" w:tplc="FFFFFFFF">
      <w:start w:val="1"/>
      <w:numFmt w:val="bullet"/>
      <w:lvlText w:val="•"/>
      <w:lvlJc w:val="left"/>
    </w:lvl>
    <w:lvl w:ilvl="1" w:tplc="8BF94AB6">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D"/>
    <w:multiLevelType w:val="singleLevel"/>
    <w:tmpl w:val="B45CDD18"/>
    <w:lvl w:ilvl="0">
      <w:start w:val="1"/>
      <w:numFmt w:val="decimal"/>
      <w:pStyle w:val="ListNumber4"/>
      <w:lvlText w:val="%1."/>
      <w:lvlJc w:val="left"/>
      <w:pPr>
        <w:tabs>
          <w:tab w:val="num" w:pos="1209"/>
        </w:tabs>
        <w:ind w:left="1209" w:hanging="360"/>
      </w:pPr>
    </w:lvl>
  </w:abstractNum>
  <w:abstractNum w:abstractNumId="2" w15:restartNumberingAfterBreak="0">
    <w:nsid w:val="FFFFFF81"/>
    <w:multiLevelType w:val="singleLevel"/>
    <w:tmpl w:val="6AE8ADC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CB0B8B8"/>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DAE704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C05E6E6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DE336C"/>
    <w:multiLevelType w:val="hybridMultilevel"/>
    <w:tmpl w:val="059C7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3A19FF"/>
    <w:multiLevelType w:val="hybridMultilevel"/>
    <w:tmpl w:val="02B8C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62116F"/>
    <w:multiLevelType w:val="hybridMultilevel"/>
    <w:tmpl w:val="EFE24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167B3F"/>
    <w:multiLevelType w:val="hybridMultilevel"/>
    <w:tmpl w:val="609EE526"/>
    <w:lvl w:ilvl="0" w:tplc="8E8C2EE0">
      <w:start w:val="1"/>
      <w:numFmt w:val="bullet"/>
      <w:pStyle w:val="ListContinue"/>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861CD1"/>
    <w:multiLevelType w:val="hybridMultilevel"/>
    <w:tmpl w:val="CE229830"/>
    <w:lvl w:ilvl="0" w:tplc="0CD0EE60">
      <w:start w:val="1"/>
      <w:numFmt w:val="decimal"/>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A114F8D0"/>
    <w:lvl w:ilvl="0" w:tplc="E96C518A">
      <w:start w:val="1"/>
      <w:numFmt w:val="bullet"/>
      <w:pStyle w:val="ListBullet"/>
      <w:lvlText w:val=""/>
      <w:lvlJc w:val="left"/>
      <w:pPr>
        <w:ind w:left="72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D6876A4"/>
    <w:multiLevelType w:val="hybridMultilevel"/>
    <w:tmpl w:val="7DA823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E45E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0930DE6"/>
    <w:multiLevelType w:val="hybridMultilevel"/>
    <w:tmpl w:val="B6F465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2C1635"/>
    <w:multiLevelType w:val="multilevel"/>
    <w:tmpl w:val="9B7A36B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1E0409D"/>
    <w:multiLevelType w:val="hybridMultilevel"/>
    <w:tmpl w:val="66C88306"/>
    <w:lvl w:ilvl="0" w:tplc="1B865676">
      <w:start w:val="1"/>
      <w:numFmt w:val="bullet"/>
      <w:pStyle w:val="ListNumber3"/>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01E3834"/>
    <w:multiLevelType w:val="hybridMultilevel"/>
    <w:tmpl w:val="D5001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672F2A"/>
    <w:multiLevelType w:val="hybridMultilevel"/>
    <w:tmpl w:val="6E32069C"/>
    <w:lvl w:ilvl="0" w:tplc="0C090001">
      <w:start w:val="1"/>
      <w:numFmt w:val="bullet"/>
      <w:lvlText w:val=""/>
      <w:lvlJc w:val="left"/>
      <w:pPr>
        <w:ind w:left="720" w:hanging="360"/>
      </w:pPr>
      <w:rPr>
        <w:rFonts w:ascii="Symbol" w:hAnsi="Symbol" w:hint="default"/>
        <w:b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1A268E58"/>
    <w:lvl w:ilvl="0" w:tplc="4FBE99BE">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8254944">
    <w:abstractNumId w:val="18"/>
  </w:num>
  <w:num w:numId="2" w16cid:durableId="49501535">
    <w:abstractNumId w:val="21"/>
  </w:num>
  <w:num w:numId="3" w16cid:durableId="1776755406">
    <w:abstractNumId w:val="6"/>
  </w:num>
  <w:num w:numId="4" w16cid:durableId="871108987">
    <w:abstractNumId w:val="22"/>
  </w:num>
  <w:num w:numId="5" w16cid:durableId="985863550">
    <w:abstractNumId w:val="12"/>
  </w:num>
  <w:num w:numId="6" w16cid:durableId="324435103">
    <w:abstractNumId w:val="13"/>
  </w:num>
  <w:num w:numId="7" w16cid:durableId="2131052939">
    <w:abstractNumId w:val="10"/>
  </w:num>
  <w:num w:numId="8" w16cid:durableId="2035378614">
    <w:abstractNumId w:val="17"/>
  </w:num>
  <w:num w:numId="9" w16cid:durableId="716198545">
    <w:abstractNumId w:val="1"/>
  </w:num>
  <w:num w:numId="10" w16cid:durableId="860506495">
    <w:abstractNumId w:val="2"/>
  </w:num>
  <w:num w:numId="11" w16cid:durableId="1377387661">
    <w:abstractNumId w:val="3"/>
  </w:num>
  <w:num w:numId="12" w16cid:durableId="90904744">
    <w:abstractNumId w:val="9"/>
  </w:num>
  <w:num w:numId="13" w16cid:durableId="272247408">
    <w:abstractNumId w:val="16"/>
  </w:num>
  <w:num w:numId="14" w16cid:durableId="1771267887">
    <w:abstractNumId w:val="14"/>
  </w:num>
  <w:num w:numId="15" w16cid:durableId="430012920">
    <w:abstractNumId w:val="19"/>
  </w:num>
  <w:num w:numId="16" w16cid:durableId="1187676143">
    <w:abstractNumId w:val="11"/>
  </w:num>
  <w:num w:numId="17" w16cid:durableId="1444500505">
    <w:abstractNumId w:val="7"/>
  </w:num>
  <w:num w:numId="18" w16cid:durableId="453449084">
    <w:abstractNumId w:val="20"/>
  </w:num>
  <w:num w:numId="19" w16cid:durableId="422341221">
    <w:abstractNumId w:val="0"/>
  </w:num>
  <w:num w:numId="20" w16cid:durableId="1735852165">
    <w:abstractNumId w:val="15"/>
  </w:num>
  <w:num w:numId="21" w16cid:durableId="179127784">
    <w:abstractNumId w:val="8"/>
  </w:num>
  <w:num w:numId="22" w16cid:durableId="1985698723">
    <w:abstractNumId w:val="4"/>
  </w:num>
  <w:num w:numId="23" w16cid:durableId="477039050">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288"/>
    <w:rsid w:val="00000C35"/>
    <w:rsid w:val="00001F80"/>
    <w:rsid w:val="00002301"/>
    <w:rsid w:val="00002F90"/>
    <w:rsid w:val="00003743"/>
    <w:rsid w:val="000047B4"/>
    <w:rsid w:val="00005712"/>
    <w:rsid w:val="00007FD8"/>
    <w:rsid w:val="000117F8"/>
    <w:rsid w:val="0001656B"/>
    <w:rsid w:val="00016C4F"/>
    <w:rsid w:val="00017EAA"/>
    <w:rsid w:val="00021163"/>
    <w:rsid w:val="00026139"/>
    <w:rsid w:val="00027071"/>
    <w:rsid w:val="00027601"/>
    <w:rsid w:val="00027A72"/>
    <w:rsid w:val="00033321"/>
    <w:rsid w:val="000338E5"/>
    <w:rsid w:val="00033ECC"/>
    <w:rsid w:val="0003422F"/>
    <w:rsid w:val="00041A98"/>
    <w:rsid w:val="00043AE6"/>
    <w:rsid w:val="00043C1B"/>
    <w:rsid w:val="00046FF0"/>
    <w:rsid w:val="00050176"/>
    <w:rsid w:val="00051E12"/>
    <w:rsid w:val="000565C2"/>
    <w:rsid w:val="00060F7D"/>
    <w:rsid w:val="00062B65"/>
    <w:rsid w:val="00065453"/>
    <w:rsid w:val="00067456"/>
    <w:rsid w:val="00067AC6"/>
    <w:rsid w:val="0007149E"/>
    <w:rsid w:val="00071506"/>
    <w:rsid w:val="0007154F"/>
    <w:rsid w:val="00071BDD"/>
    <w:rsid w:val="00080023"/>
    <w:rsid w:val="00081598"/>
    <w:rsid w:val="00081AB1"/>
    <w:rsid w:val="000851E0"/>
    <w:rsid w:val="00090316"/>
    <w:rsid w:val="00092B27"/>
    <w:rsid w:val="00093981"/>
    <w:rsid w:val="00093CD9"/>
    <w:rsid w:val="00095837"/>
    <w:rsid w:val="000A1CE0"/>
    <w:rsid w:val="000A2D69"/>
    <w:rsid w:val="000A6321"/>
    <w:rsid w:val="000B067A"/>
    <w:rsid w:val="000B1540"/>
    <w:rsid w:val="000B33FD"/>
    <w:rsid w:val="000B4ABA"/>
    <w:rsid w:val="000B4EC3"/>
    <w:rsid w:val="000B531B"/>
    <w:rsid w:val="000B6FB7"/>
    <w:rsid w:val="000C3A52"/>
    <w:rsid w:val="000C4B16"/>
    <w:rsid w:val="000C50C3"/>
    <w:rsid w:val="000D1195"/>
    <w:rsid w:val="000D21F6"/>
    <w:rsid w:val="000D37BB"/>
    <w:rsid w:val="000D42C3"/>
    <w:rsid w:val="000D4500"/>
    <w:rsid w:val="000D5104"/>
    <w:rsid w:val="000D56E4"/>
    <w:rsid w:val="000D7AEA"/>
    <w:rsid w:val="000E01A9"/>
    <w:rsid w:val="000E2C66"/>
    <w:rsid w:val="000E6E7D"/>
    <w:rsid w:val="000F123C"/>
    <w:rsid w:val="000F2FED"/>
    <w:rsid w:val="000F642C"/>
    <w:rsid w:val="00100F6D"/>
    <w:rsid w:val="001044AE"/>
    <w:rsid w:val="0010616D"/>
    <w:rsid w:val="00107309"/>
    <w:rsid w:val="0010767C"/>
    <w:rsid w:val="00107B4A"/>
    <w:rsid w:val="00110478"/>
    <w:rsid w:val="00113438"/>
    <w:rsid w:val="00116B8A"/>
    <w:rsid w:val="0011711B"/>
    <w:rsid w:val="00117F8A"/>
    <w:rsid w:val="00120041"/>
    <w:rsid w:val="00121B9B"/>
    <w:rsid w:val="00122ADC"/>
    <w:rsid w:val="0012702E"/>
    <w:rsid w:val="00127C99"/>
    <w:rsid w:val="00130F59"/>
    <w:rsid w:val="00131DD2"/>
    <w:rsid w:val="001322E5"/>
    <w:rsid w:val="00133087"/>
    <w:rsid w:val="00133EC0"/>
    <w:rsid w:val="001354A0"/>
    <w:rsid w:val="001373FE"/>
    <w:rsid w:val="00137DAB"/>
    <w:rsid w:val="00141CE5"/>
    <w:rsid w:val="00144908"/>
    <w:rsid w:val="00145F85"/>
    <w:rsid w:val="00147643"/>
    <w:rsid w:val="0015691D"/>
    <w:rsid w:val="001571C7"/>
    <w:rsid w:val="00160303"/>
    <w:rsid w:val="00161094"/>
    <w:rsid w:val="00161686"/>
    <w:rsid w:val="00163463"/>
    <w:rsid w:val="001675FE"/>
    <w:rsid w:val="00171EA2"/>
    <w:rsid w:val="00172A55"/>
    <w:rsid w:val="001758CD"/>
    <w:rsid w:val="00175E4B"/>
    <w:rsid w:val="0017665C"/>
    <w:rsid w:val="00177AD2"/>
    <w:rsid w:val="001815A8"/>
    <w:rsid w:val="00181FA7"/>
    <w:rsid w:val="00182CA2"/>
    <w:rsid w:val="001840FA"/>
    <w:rsid w:val="001851EF"/>
    <w:rsid w:val="0018596D"/>
    <w:rsid w:val="00186A9A"/>
    <w:rsid w:val="00190079"/>
    <w:rsid w:val="0019179B"/>
    <w:rsid w:val="00193691"/>
    <w:rsid w:val="00194BBA"/>
    <w:rsid w:val="0019622E"/>
    <w:rsid w:val="001966A7"/>
    <w:rsid w:val="001A4627"/>
    <w:rsid w:val="001A4979"/>
    <w:rsid w:val="001A7C93"/>
    <w:rsid w:val="001B15D3"/>
    <w:rsid w:val="001B1AC8"/>
    <w:rsid w:val="001B3443"/>
    <w:rsid w:val="001B59B8"/>
    <w:rsid w:val="001C0326"/>
    <w:rsid w:val="001C192F"/>
    <w:rsid w:val="001C3C42"/>
    <w:rsid w:val="001C63CC"/>
    <w:rsid w:val="001D0266"/>
    <w:rsid w:val="001D4B6F"/>
    <w:rsid w:val="001D4D42"/>
    <w:rsid w:val="001D7869"/>
    <w:rsid w:val="001E1B49"/>
    <w:rsid w:val="001E2A53"/>
    <w:rsid w:val="001E6814"/>
    <w:rsid w:val="001F2F78"/>
    <w:rsid w:val="001F4ED4"/>
    <w:rsid w:val="00200B55"/>
    <w:rsid w:val="002026CD"/>
    <w:rsid w:val="00202F0E"/>
    <w:rsid w:val="002033FC"/>
    <w:rsid w:val="002041F7"/>
    <w:rsid w:val="002044BB"/>
    <w:rsid w:val="00204B4A"/>
    <w:rsid w:val="00205A93"/>
    <w:rsid w:val="00206C38"/>
    <w:rsid w:val="00207793"/>
    <w:rsid w:val="00207887"/>
    <w:rsid w:val="00210B09"/>
    <w:rsid w:val="00210C9E"/>
    <w:rsid w:val="00211840"/>
    <w:rsid w:val="00213C4E"/>
    <w:rsid w:val="00215ADA"/>
    <w:rsid w:val="00217B15"/>
    <w:rsid w:val="00217CD0"/>
    <w:rsid w:val="00220E5F"/>
    <w:rsid w:val="002212B5"/>
    <w:rsid w:val="00224403"/>
    <w:rsid w:val="00225D73"/>
    <w:rsid w:val="00226668"/>
    <w:rsid w:val="00233809"/>
    <w:rsid w:val="00233B50"/>
    <w:rsid w:val="00234FD8"/>
    <w:rsid w:val="00236073"/>
    <w:rsid w:val="0023613E"/>
    <w:rsid w:val="00240046"/>
    <w:rsid w:val="0024549A"/>
    <w:rsid w:val="00246BC9"/>
    <w:rsid w:val="0024797F"/>
    <w:rsid w:val="002501BB"/>
    <w:rsid w:val="0025119E"/>
    <w:rsid w:val="00251269"/>
    <w:rsid w:val="00252408"/>
    <w:rsid w:val="002535C0"/>
    <w:rsid w:val="00255599"/>
    <w:rsid w:val="00255714"/>
    <w:rsid w:val="00256D9E"/>
    <w:rsid w:val="002579FE"/>
    <w:rsid w:val="00260DF1"/>
    <w:rsid w:val="00262ADD"/>
    <w:rsid w:val="0026311C"/>
    <w:rsid w:val="00264740"/>
    <w:rsid w:val="00264C49"/>
    <w:rsid w:val="0026668C"/>
    <w:rsid w:val="00266AC1"/>
    <w:rsid w:val="00267DA0"/>
    <w:rsid w:val="0027178C"/>
    <w:rsid w:val="002719FA"/>
    <w:rsid w:val="00271B9D"/>
    <w:rsid w:val="00272048"/>
    <w:rsid w:val="00272668"/>
    <w:rsid w:val="0027330B"/>
    <w:rsid w:val="00273D7D"/>
    <w:rsid w:val="002803AD"/>
    <w:rsid w:val="00282052"/>
    <w:rsid w:val="0028519E"/>
    <w:rsid w:val="002856A5"/>
    <w:rsid w:val="00286104"/>
    <w:rsid w:val="002872ED"/>
    <w:rsid w:val="002905C2"/>
    <w:rsid w:val="00295AF2"/>
    <w:rsid w:val="00295C91"/>
    <w:rsid w:val="00296752"/>
    <w:rsid w:val="00297151"/>
    <w:rsid w:val="002A2064"/>
    <w:rsid w:val="002A4D68"/>
    <w:rsid w:val="002B20E6"/>
    <w:rsid w:val="002B29FF"/>
    <w:rsid w:val="002B42A3"/>
    <w:rsid w:val="002B7221"/>
    <w:rsid w:val="002B7DEF"/>
    <w:rsid w:val="002C0CDD"/>
    <w:rsid w:val="002C0D5A"/>
    <w:rsid w:val="002C0E96"/>
    <w:rsid w:val="002C3798"/>
    <w:rsid w:val="002C6490"/>
    <w:rsid w:val="002D07D7"/>
    <w:rsid w:val="002E1986"/>
    <w:rsid w:val="002E1A1D"/>
    <w:rsid w:val="002E4081"/>
    <w:rsid w:val="002E5B78"/>
    <w:rsid w:val="002F2EBC"/>
    <w:rsid w:val="002F3AE3"/>
    <w:rsid w:val="002F3B17"/>
    <w:rsid w:val="002F6B7B"/>
    <w:rsid w:val="003000D2"/>
    <w:rsid w:val="0030464B"/>
    <w:rsid w:val="0030786C"/>
    <w:rsid w:val="00314EFC"/>
    <w:rsid w:val="0031571C"/>
    <w:rsid w:val="003233DE"/>
    <w:rsid w:val="0032466B"/>
    <w:rsid w:val="00327B44"/>
    <w:rsid w:val="003330EB"/>
    <w:rsid w:val="0033568D"/>
    <w:rsid w:val="00336605"/>
    <w:rsid w:val="003415FD"/>
    <w:rsid w:val="0034279F"/>
    <w:rsid w:val="003429F0"/>
    <w:rsid w:val="00344931"/>
    <w:rsid w:val="00345F95"/>
    <w:rsid w:val="003465AA"/>
    <w:rsid w:val="00346C4A"/>
    <w:rsid w:val="0035097A"/>
    <w:rsid w:val="00354025"/>
    <w:rsid w:val="003540A4"/>
    <w:rsid w:val="00355409"/>
    <w:rsid w:val="00360E4E"/>
    <w:rsid w:val="003643CC"/>
    <w:rsid w:val="003679B6"/>
    <w:rsid w:val="00370AAA"/>
    <w:rsid w:val="00375F77"/>
    <w:rsid w:val="0037729F"/>
    <w:rsid w:val="00377A78"/>
    <w:rsid w:val="00381BBE"/>
    <w:rsid w:val="00382903"/>
    <w:rsid w:val="003846FF"/>
    <w:rsid w:val="00385AD4"/>
    <w:rsid w:val="003871F0"/>
    <w:rsid w:val="00387924"/>
    <w:rsid w:val="0039384D"/>
    <w:rsid w:val="00395818"/>
    <w:rsid w:val="00395C23"/>
    <w:rsid w:val="00396BDC"/>
    <w:rsid w:val="003975BF"/>
    <w:rsid w:val="00397A7C"/>
    <w:rsid w:val="003A2E4F"/>
    <w:rsid w:val="003A4438"/>
    <w:rsid w:val="003A5013"/>
    <w:rsid w:val="003A5078"/>
    <w:rsid w:val="003A62DD"/>
    <w:rsid w:val="003A6593"/>
    <w:rsid w:val="003A6B6E"/>
    <w:rsid w:val="003A775A"/>
    <w:rsid w:val="003B0DAB"/>
    <w:rsid w:val="003B213A"/>
    <w:rsid w:val="003B43AD"/>
    <w:rsid w:val="003B4636"/>
    <w:rsid w:val="003B6B0C"/>
    <w:rsid w:val="003C0584"/>
    <w:rsid w:val="003C0FEC"/>
    <w:rsid w:val="003C15B8"/>
    <w:rsid w:val="003C2AC8"/>
    <w:rsid w:val="003C3F39"/>
    <w:rsid w:val="003C64FA"/>
    <w:rsid w:val="003C70FC"/>
    <w:rsid w:val="003D0157"/>
    <w:rsid w:val="003D17F9"/>
    <w:rsid w:val="003D2D88"/>
    <w:rsid w:val="003D41EA"/>
    <w:rsid w:val="003D4850"/>
    <w:rsid w:val="003D535A"/>
    <w:rsid w:val="003D6257"/>
    <w:rsid w:val="003E0D90"/>
    <w:rsid w:val="003E10B8"/>
    <w:rsid w:val="003E2062"/>
    <w:rsid w:val="003E5265"/>
    <w:rsid w:val="003F0955"/>
    <w:rsid w:val="003F0E8A"/>
    <w:rsid w:val="003F2474"/>
    <w:rsid w:val="003F28D1"/>
    <w:rsid w:val="003F36A2"/>
    <w:rsid w:val="003F4920"/>
    <w:rsid w:val="003F5D99"/>
    <w:rsid w:val="003F6FE1"/>
    <w:rsid w:val="003F74A6"/>
    <w:rsid w:val="003F77A9"/>
    <w:rsid w:val="00400F00"/>
    <w:rsid w:val="00401932"/>
    <w:rsid w:val="00404F8B"/>
    <w:rsid w:val="00405256"/>
    <w:rsid w:val="0040550E"/>
    <w:rsid w:val="00405905"/>
    <w:rsid w:val="00406288"/>
    <w:rsid w:val="00407EDC"/>
    <w:rsid w:val="00410031"/>
    <w:rsid w:val="004115A2"/>
    <w:rsid w:val="0041379C"/>
    <w:rsid w:val="00415C81"/>
    <w:rsid w:val="00416731"/>
    <w:rsid w:val="004174F8"/>
    <w:rsid w:val="00425ADE"/>
    <w:rsid w:val="00426912"/>
    <w:rsid w:val="00426E73"/>
    <w:rsid w:val="00432378"/>
    <w:rsid w:val="00440D65"/>
    <w:rsid w:val="00443455"/>
    <w:rsid w:val="004435E6"/>
    <w:rsid w:val="00446CCB"/>
    <w:rsid w:val="00447E31"/>
    <w:rsid w:val="00453923"/>
    <w:rsid w:val="00454A25"/>
    <w:rsid w:val="00454B9B"/>
    <w:rsid w:val="00457858"/>
    <w:rsid w:val="00457DFE"/>
    <w:rsid w:val="00460B0B"/>
    <w:rsid w:val="00461023"/>
    <w:rsid w:val="004622E7"/>
    <w:rsid w:val="0046259B"/>
    <w:rsid w:val="00462DFA"/>
    <w:rsid w:val="00462FAC"/>
    <w:rsid w:val="00464631"/>
    <w:rsid w:val="00464B79"/>
    <w:rsid w:val="00467BBF"/>
    <w:rsid w:val="00470271"/>
    <w:rsid w:val="00470A75"/>
    <w:rsid w:val="004819F3"/>
    <w:rsid w:val="00482DC8"/>
    <w:rsid w:val="004867E2"/>
    <w:rsid w:val="00490D7D"/>
    <w:rsid w:val="00491EDA"/>
    <w:rsid w:val="004929A9"/>
    <w:rsid w:val="0049470A"/>
    <w:rsid w:val="004956D7"/>
    <w:rsid w:val="00495739"/>
    <w:rsid w:val="004B308C"/>
    <w:rsid w:val="004C2FEC"/>
    <w:rsid w:val="004C5EBF"/>
    <w:rsid w:val="004C5FD5"/>
    <w:rsid w:val="004C6BCF"/>
    <w:rsid w:val="004D1339"/>
    <w:rsid w:val="004D257B"/>
    <w:rsid w:val="004D308C"/>
    <w:rsid w:val="004D3820"/>
    <w:rsid w:val="004D58BF"/>
    <w:rsid w:val="004D7001"/>
    <w:rsid w:val="004E4335"/>
    <w:rsid w:val="004E5ACF"/>
    <w:rsid w:val="004E763C"/>
    <w:rsid w:val="004F13EE"/>
    <w:rsid w:val="004F2022"/>
    <w:rsid w:val="004F3E20"/>
    <w:rsid w:val="004F7C05"/>
    <w:rsid w:val="00501C94"/>
    <w:rsid w:val="00504D30"/>
    <w:rsid w:val="00506432"/>
    <w:rsid w:val="0051242B"/>
    <w:rsid w:val="005135CB"/>
    <w:rsid w:val="0052051D"/>
    <w:rsid w:val="00521AE7"/>
    <w:rsid w:val="00521BC2"/>
    <w:rsid w:val="00522C65"/>
    <w:rsid w:val="00527952"/>
    <w:rsid w:val="00534A07"/>
    <w:rsid w:val="0054119E"/>
    <w:rsid w:val="00545EE6"/>
    <w:rsid w:val="00546E14"/>
    <w:rsid w:val="005504FC"/>
    <w:rsid w:val="005550E7"/>
    <w:rsid w:val="005564FB"/>
    <w:rsid w:val="005572C7"/>
    <w:rsid w:val="00557D5A"/>
    <w:rsid w:val="00562474"/>
    <w:rsid w:val="00562842"/>
    <w:rsid w:val="00563F49"/>
    <w:rsid w:val="0056486D"/>
    <w:rsid w:val="005650ED"/>
    <w:rsid w:val="005659D7"/>
    <w:rsid w:val="00575754"/>
    <w:rsid w:val="00577760"/>
    <w:rsid w:val="00577DE5"/>
    <w:rsid w:val="00583888"/>
    <w:rsid w:val="00586FDC"/>
    <w:rsid w:val="00587000"/>
    <w:rsid w:val="00591E20"/>
    <w:rsid w:val="00591FBB"/>
    <w:rsid w:val="00594CCB"/>
    <w:rsid w:val="00595408"/>
    <w:rsid w:val="005954C8"/>
    <w:rsid w:val="00595E84"/>
    <w:rsid w:val="005A0C59"/>
    <w:rsid w:val="005A48EB"/>
    <w:rsid w:val="005A5831"/>
    <w:rsid w:val="005A6CFB"/>
    <w:rsid w:val="005B18FD"/>
    <w:rsid w:val="005C3522"/>
    <w:rsid w:val="005C56C5"/>
    <w:rsid w:val="005C5AEB"/>
    <w:rsid w:val="005C645C"/>
    <w:rsid w:val="005D325B"/>
    <w:rsid w:val="005D410A"/>
    <w:rsid w:val="005D733B"/>
    <w:rsid w:val="005E0A3F"/>
    <w:rsid w:val="005E6883"/>
    <w:rsid w:val="005E772F"/>
    <w:rsid w:val="005F4ECA"/>
    <w:rsid w:val="005F57D9"/>
    <w:rsid w:val="005F6887"/>
    <w:rsid w:val="005F6FCB"/>
    <w:rsid w:val="00602462"/>
    <w:rsid w:val="006041BE"/>
    <w:rsid w:val="006043C7"/>
    <w:rsid w:val="006128DF"/>
    <w:rsid w:val="00614E0E"/>
    <w:rsid w:val="00621565"/>
    <w:rsid w:val="00622BF3"/>
    <w:rsid w:val="00624B52"/>
    <w:rsid w:val="0062605D"/>
    <w:rsid w:val="00627143"/>
    <w:rsid w:val="00631DF4"/>
    <w:rsid w:val="00633220"/>
    <w:rsid w:val="00634175"/>
    <w:rsid w:val="00636CCA"/>
    <w:rsid w:val="006408AC"/>
    <w:rsid w:val="00640AA7"/>
    <w:rsid w:val="00647732"/>
    <w:rsid w:val="006511B6"/>
    <w:rsid w:val="00652742"/>
    <w:rsid w:val="0065784C"/>
    <w:rsid w:val="00657FF8"/>
    <w:rsid w:val="0066284E"/>
    <w:rsid w:val="00670D99"/>
    <w:rsid w:val="00670E2B"/>
    <w:rsid w:val="006718EB"/>
    <w:rsid w:val="006734BB"/>
    <w:rsid w:val="00680862"/>
    <w:rsid w:val="006815C1"/>
    <w:rsid w:val="00681A34"/>
    <w:rsid w:val="006821EB"/>
    <w:rsid w:val="00686A3A"/>
    <w:rsid w:val="00693B15"/>
    <w:rsid w:val="006A3FCF"/>
    <w:rsid w:val="006A629A"/>
    <w:rsid w:val="006A68EA"/>
    <w:rsid w:val="006A79CC"/>
    <w:rsid w:val="006B2286"/>
    <w:rsid w:val="006B2678"/>
    <w:rsid w:val="006B3BA3"/>
    <w:rsid w:val="006B42BF"/>
    <w:rsid w:val="006B56BB"/>
    <w:rsid w:val="006B7F2F"/>
    <w:rsid w:val="006C027C"/>
    <w:rsid w:val="006C1EBF"/>
    <w:rsid w:val="006C3DDE"/>
    <w:rsid w:val="006C6569"/>
    <w:rsid w:val="006C68F5"/>
    <w:rsid w:val="006C77A8"/>
    <w:rsid w:val="006D4098"/>
    <w:rsid w:val="006D5256"/>
    <w:rsid w:val="006D58C9"/>
    <w:rsid w:val="006D7681"/>
    <w:rsid w:val="006D7B2E"/>
    <w:rsid w:val="006E02EA"/>
    <w:rsid w:val="006E0968"/>
    <w:rsid w:val="006E1DBB"/>
    <w:rsid w:val="006E2AF6"/>
    <w:rsid w:val="006E2B01"/>
    <w:rsid w:val="006E44B1"/>
    <w:rsid w:val="006E46FF"/>
    <w:rsid w:val="006E5294"/>
    <w:rsid w:val="006E52E3"/>
    <w:rsid w:val="00701275"/>
    <w:rsid w:val="00702DE6"/>
    <w:rsid w:val="0070731B"/>
    <w:rsid w:val="00707F56"/>
    <w:rsid w:val="00713558"/>
    <w:rsid w:val="00713BDF"/>
    <w:rsid w:val="00714B01"/>
    <w:rsid w:val="00715454"/>
    <w:rsid w:val="00715BB3"/>
    <w:rsid w:val="00720D08"/>
    <w:rsid w:val="00722AE7"/>
    <w:rsid w:val="0072326F"/>
    <w:rsid w:val="007237F0"/>
    <w:rsid w:val="007244A7"/>
    <w:rsid w:val="00725FB5"/>
    <w:rsid w:val="007263B9"/>
    <w:rsid w:val="00726BA2"/>
    <w:rsid w:val="00726EB8"/>
    <w:rsid w:val="007334F8"/>
    <w:rsid w:val="007339CD"/>
    <w:rsid w:val="00733D1E"/>
    <w:rsid w:val="007359D8"/>
    <w:rsid w:val="007362D4"/>
    <w:rsid w:val="00741A15"/>
    <w:rsid w:val="00741DED"/>
    <w:rsid w:val="00744588"/>
    <w:rsid w:val="007460F1"/>
    <w:rsid w:val="00747772"/>
    <w:rsid w:val="00747CB1"/>
    <w:rsid w:val="00751A23"/>
    <w:rsid w:val="007601A2"/>
    <w:rsid w:val="00760370"/>
    <w:rsid w:val="00765BA9"/>
    <w:rsid w:val="0076672A"/>
    <w:rsid w:val="00766C9D"/>
    <w:rsid w:val="00775E45"/>
    <w:rsid w:val="00776999"/>
    <w:rsid w:val="00776E74"/>
    <w:rsid w:val="007777B8"/>
    <w:rsid w:val="00777C08"/>
    <w:rsid w:val="00785169"/>
    <w:rsid w:val="00786B97"/>
    <w:rsid w:val="007948A6"/>
    <w:rsid w:val="007954AB"/>
    <w:rsid w:val="007A14C5"/>
    <w:rsid w:val="007A277C"/>
    <w:rsid w:val="007A3E38"/>
    <w:rsid w:val="007A4A10"/>
    <w:rsid w:val="007A750C"/>
    <w:rsid w:val="007B1760"/>
    <w:rsid w:val="007C282B"/>
    <w:rsid w:val="007C364A"/>
    <w:rsid w:val="007C6116"/>
    <w:rsid w:val="007C6D9C"/>
    <w:rsid w:val="007C7483"/>
    <w:rsid w:val="007C7DDB"/>
    <w:rsid w:val="007D05F2"/>
    <w:rsid w:val="007D2CC7"/>
    <w:rsid w:val="007D3ECD"/>
    <w:rsid w:val="007D614B"/>
    <w:rsid w:val="007D673D"/>
    <w:rsid w:val="007E0360"/>
    <w:rsid w:val="007E1812"/>
    <w:rsid w:val="007E242D"/>
    <w:rsid w:val="007E4671"/>
    <w:rsid w:val="007F2220"/>
    <w:rsid w:val="007F4B3E"/>
    <w:rsid w:val="007F4DE3"/>
    <w:rsid w:val="007F588A"/>
    <w:rsid w:val="007F7BFA"/>
    <w:rsid w:val="008002E4"/>
    <w:rsid w:val="00802220"/>
    <w:rsid w:val="00805717"/>
    <w:rsid w:val="00806489"/>
    <w:rsid w:val="00811385"/>
    <w:rsid w:val="008127AF"/>
    <w:rsid w:val="00812B46"/>
    <w:rsid w:val="008153BC"/>
    <w:rsid w:val="00815700"/>
    <w:rsid w:val="00817B70"/>
    <w:rsid w:val="00822421"/>
    <w:rsid w:val="00824FE9"/>
    <w:rsid w:val="008255EC"/>
    <w:rsid w:val="008264EB"/>
    <w:rsid w:val="00826B8F"/>
    <w:rsid w:val="008305E3"/>
    <w:rsid w:val="00831E8A"/>
    <w:rsid w:val="00835C76"/>
    <w:rsid w:val="00836796"/>
    <w:rsid w:val="008410E1"/>
    <w:rsid w:val="00841111"/>
    <w:rsid w:val="00842CC9"/>
    <w:rsid w:val="00843049"/>
    <w:rsid w:val="00845596"/>
    <w:rsid w:val="0084607D"/>
    <w:rsid w:val="008464F2"/>
    <w:rsid w:val="00850AAC"/>
    <w:rsid w:val="0085209B"/>
    <w:rsid w:val="00856503"/>
    <w:rsid w:val="00856B66"/>
    <w:rsid w:val="00861A5F"/>
    <w:rsid w:val="008644AD"/>
    <w:rsid w:val="00865735"/>
    <w:rsid w:val="00865DDB"/>
    <w:rsid w:val="00866B32"/>
    <w:rsid w:val="00866B34"/>
    <w:rsid w:val="00867538"/>
    <w:rsid w:val="00873D90"/>
    <w:rsid w:val="00873FC8"/>
    <w:rsid w:val="00874012"/>
    <w:rsid w:val="00874347"/>
    <w:rsid w:val="00876009"/>
    <w:rsid w:val="0087623C"/>
    <w:rsid w:val="00880135"/>
    <w:rsid w:val="00881041"/>
    <w:rsid w:val="00884C63"/>
    <w:rsid w:val="00885908"/>
    <w:rsid w:val="00885FEC"/>
    <w:rsid w:val="008864B7"/>
    <w:rsid w:val="00886692"/>
    <w:rsid w:val="00887D72"/>
    <w:rsid w:val="00895D5F"/>
    <w:rsid w:val="0089677E"/>
    <w:rsid w:val="00896E8C"/>
    <w:rsid w:val="00897C81"/>
    <w:rsid w:val="008A3C99"/>
    <w:rsid w:val="008A7438"/>
    <w:rsid w:val="008B1334"/>
    <w:rsid w:val="008B266A"/>
    <w:rsid w:val="008B37F3"/>
    <w:rsid w:val="008B5234"/>
    <w:rsid w:val="008C0278"/>
    <w:rsid w:val="008C24E9"/>
    <w:rsid w:val="008C4A2F"/>
    <w:rsid w:val="008C51CF"/>
    <w:rsid w:val="008C62DD"/>
    <w:rsid w:val="008D0533"/>
    <w:rsid w:val="008D42CB"/>
    <w:rsid w:val="008D48C9"/>
    <w:rsid w:val="008D4A4F"/>
    <w:rsid w:val="008D5B79"/>
    <w:rsid w:val="008D6381"/>
    <w:rsid w:val="008E0C77"/>
    <w:rsid w:val="008E0CF0"/>
    <w:rsid w:val="008E1139"/>
    <w:rsid w:val="008E625F"/>
    <w:rsid w:val="008E76E2"/>
    <w:rsid w:val="008F264D"/>
    <w:rsid w:val="008F26C4"/>
    <w:rsid w:val="008F53E9"/>
    <w:rsid w:val="008F701B"/>
    <w:rsid w:val="00900241"/>
    <w:rsid w:val="009074E1"/>
    <w:rsid w:val="009112F7"/>
    <w:rsid w:val="009121E4"/>
    <w:rsid w:val="009122AF"/>
    <w:rsid w:val="009127BC"/>
    <w:rsid w:val="00912D54"/>
    <w:rsid w:val="00913127"/>
    <w:rsid w:val="0091389F"/>
    <w:rsid w:val="00913B01"/>
    <w:rsid w:val="009208F7"/>
    <w:rsid w:val="00922517"/>
    <w:rsid w:val="00922722"/>
    <w:rsid w:val="009228F6"/>
    <w:rsid w:val="009261E6"/>
    <w:rsid w:val="009268E1"/>
    <w:rsid w:val="00931DE6"/>
    <w:rsid w:val="00933546"/>
    <w:rsid w:val="0093411D"/>
    <w:rsid w:val="009413F6"/>
    <w:rsid w:val="009414A3"/>
    <w:rsid w:val="00944A31"/>
    <w:rsid w:val="009451BC"/>
    <w:rsid w:val="00945E7F"/>
    <w:rsid w:val="00947669"/>
    <w:rsid w:val="00954C2A"/>
    <w:rsid w:val="009557C1"/>
    <w:rsid w:val="00960D6E"/>
    <w:rsid w:val="00963B96"/>
    <w:rsid w:val="00966132"/>
    <w:rsid w:val="009676A7"/>
    <w:rsid w:val="00970ACA"/>
    <w:rsid w:val="00970E0F"/>
    <w:rsid w:val="00972BC1"/>
    <w:rsid w:val="00974B59"/>
    <w:rsid w:val="00974EF3"/>
    <w:rsid w:val="0098340B"/>
    <w:rsid w:val="009852B8"/>
    <w:rsid w:val="0098658E"/>
    <w:rsid w:val="00986830"/>
    <w:rsid w:val="00987CCB"/>
    <w:rsid w:val="009924C3"/>
    <w:rsid w:val="00993102"/>
    <w:rsid w:val="009A388A"/>
    <w:rsid w:val="009A390A"/>
    <w:rsid w:val="009A4728"/>
    <w:rsid w:val="009A7B80"/>
    <w:rsid w:val="009B1266"/>
    <w:rsid w:val="009B173F"/>
    <w:rsid w:val="009B194B"/>
    <w:rsid w:val="009B7836"/>
    <w:rsid w:val="009C07B9"/>
    <w:rsid w:val="009C3CED"/>
    <w:rsid w:val="009C4A39"/>
    <w:rsid w:val="009C66EC"/>
    <w:rsid w:val="009C6F10"/>
    <w:rsid w:val="009D148F"/>
    <w:rsid w:val="009D36A5"/>
    <w:rsid w:val="009D3D70"/>
    <w:rsid w:val="009D76AB"/>
    <w:rsid w:val="009E1ABA"/>
    <w:rsid w:val="009E2893"/>
    <w:rsid w:val="009E6F7E"/>
    <w:rsid w:val="009E7A57"/>
    <w:rsid w:val="009F4F6A"/>
    <w:rsid w:val="00A019C9"/>
    <w:rsid w:val="00A04084"/>
    <w:rsid w:val="00A076BE"/>
    <w:rsid w:val="00A100FF"/>
    <w:rsid w:val="00A15731"/>
    <w:rsid w:val="00A16E36"/>
    <w:rsid w:val="00A20790"/>
    <w:rsid w:val="00A24961"/>
    <w:rsid w:val="00A24B10"/>
    <w:rsid w:val="00A268B1"/>
    <w:rsid w:val="00A30E9B"/>
    <w:rsid w:val="00A40D15"/>
    <w:rsid w:val="00A425CF"/>
    <w:rsid w:val="00A44EA2"/>
    <w:rsid w:val="00A4512D"/>
    <w:rsid w:val="00A45C3D"/>
    <w:rsid w:val="00A50244"/>
    <w:rsid w:val="00A546FC"/>
    <w:rsid w:val="00A567AB"/>
    <w:rsid w:val="00A56F17"/>
    <w:rsid w:val="00A627D7"/>
    <w:rsid w:val="00A648F2"/>
    <w:rsid w:val="00A656C7"/>
    <w:rsid w:val="00A67C85"/>
    <w:rsid w:val="00A705AF"/>
    <w:rsid w:val="00A706F0"/>
    <w:rsid w:val="00A70E56"/>
    <w:rsid w:val="00A71EBD"/>
    <w:rsid w:val="00A72454"/>
    <w:rsid w:val="00A77696"/>
    <w:rsid w:val="00A80557"/>
    <w:rsid w:val="00A81D33"/>
    <w:rsid w:val="00A83AA1"/>
    <w:rsid w:val="00A90C90"/>
    <w:rsid w:val="00A9297D"/>
    <w:rsid w:val="00A930AE"/>
    <w:rsid w:val="00A94382"/>
    <w:rsid w:val="00AA1A95"/>
    <w:rsid w:val="00AA260F"/>
    <w:rsid w:val="00AA456F"/>
    <w:rsid w:val="00AA4864"/>
    <w:rsid w:val="00AA763F"/>
    <w:rsid w:val="00AB0067"/>
    <w:rsid w:val="00AB1EE7"/>
    <w:rsid w:val="00AB3CCA"/>
    <w:rsid w:val="00AB4B37"/>
    <w:rsid w:val="00AB5762"/>
    <w:rsid w:val="00AC01B5"/>
    <w:rsid w:val="00AC0C70"/>
    <w:rsid w:val="00AC15DD"/>
    <w:rsid w:val="00AC2679"/>
    <w:rsid w:val="00AC30C0"/>
    <w:rsid w:val="00AC4239"/>
    <w:rsid w:val="00AC4BE4"/>
    <w:rsid w:val="00AC6BF9"/>
    <w:rsid w:val="00AD05E6"/>
    <w:rsid w:val="00AD0D3F"/>
    <w:rsid w:val="00AD5887"/>
    <w:rsid w:val="00AD6B97"/>
    <w:rsid w:val="00AD7C6B"/>
    <w:rsid w:val="00AE1D7D"/>
    <w:rsid w:val="00AE236E"/>
    <w:rsid w:val="00AE2A8B"/>
    <w:rsid w:val="00AE30B6"/>
    <w:rsid w:val="00AE3A70"/>
    <w:rsid w:val="00AE3F64"/>
    <w:rsid w:val="00AE62D9"/>
    <w:rsid w:val="00AE6EA9"/>
    <w:rsid w:val="00AF0C72"/>
    <w:rsid w:val="00AF6461"/>
    <w:rsid w:val="00AF7386"/>
    <w:rsid w:val="00AF7934"/>
    <w:rsid w:val="00B00322"/>
    <w:rsid w:val="00B00B81"/>
    <w:rsid w:val="00B04580"/>
    <w:rsid w:val="00B04B09"/>
    <w:rsid w:val="00B154CB"/>
    <w:rsid w:val="00B15CB7"/>
    <w:rsid w:val="00B16A51"/>
    <w:rsid w:val="00B20C73"/>
    <w:rsid w:val="00B25440"/>
    <w:rsid w:val="00B32222"/>
    <w:rsid w:val="00B333E6"/>
    <w:rsid w:val="00B3618D"/>
    <w:rsid w:val="00B36233"/>
    <w:rsid w:val="00B36E6B"/>
    <w:rsid w:val="00B42851"/>
    <w:rsid w:val="00B43C6F"/>
    <w:rsid w:val="00B44BCB"/>
    <w:rsid w:val="00B45AC7"/>
    <w:rsid w:val="00B47622"/>
    <w:rsid w:val="00B50080"/>
    <w:rsid w:val="00B52314"/>
    <w:rsid w:val="00B52B02"/>
    <w:rsid w:val="00B5372F"/>
    <w:rsid w:val="00B554F6"/>
    <w:rsid w:val="00B61129"/>
    <w:rsid w:val="00B61DF1"/>
    <w:rsid w:val="00B6381E"/>
    <w:rsid w:val="00B64443"/>
    <w:rsid w:val="00B64AF2"/>
    <w:rsid w:val="00B67E7F"/>
    <w:rsid w:val="00B7222E"/>
    <w:rsid w:val="00B72E4A"/>
    <w:rsid w:val="00B75A04"/>
    <w:rsid w:val="00B80B11"/>
    <w:rsid w:val="00B839B2"/>
    <w:rsid w:val="00B84125"/>
    <w:rsid w:val="00B94252"/>
    <w:rsid w:val="00B94828"/>
    <w:rsid w:val="00B9715A"/>
    <w:rsid w:val="00BA14BE"/>
    <w:rsid w:val="00BA2732"/>
    <w:rsid w:val="00BA293D"/>
    <w:rsid w:val="00BA49BC"/>
    <w:rsid w:val="00BA56B7"/>
    <w:rsid w:val="00BA5B52"/>
    <w:rsid w:val="00BA70AB"/>
    <w:rsid w:val="00BA7A1E"/>
    <w:rsid w:val="00BA7CA9"/>
    <w:rsid w:val="00BA7D21"/>
    <w:rsid w:val="00BB0054"/>
    <w:rsid w:val="00BB0CB6"/>
    <w:rsid w:val="00BB2F6C"/>
    <w:rsid w:val="00BB3875"/>
    <w:rsid w:val="00BB5860"/>
    <w:rsid w:val="00BB6AAD"/>
    <w:rsid w:val="00BC0388"/>
    <w:rsid w:val="00BC28E9"/>
    <w:rsid w:val="00BC4A19"/>
    <w:rsid w:val="00BC4E6D"/>
    <w:rsid w:val="00BD0617"/>
    <w:rsid w:val="00BD2E9B"/>
    <w:rsid w:val="00BD3046"/>
    <w:rsid w:val="00BD3EC7"/>
    <w:rsid w:val="00BE559C"/>
    <w:rsid w:val="00BE6DBC"/>
    <w:rsid w:val="00BF1406"/>
    <w:rsid w:val="00BF5E3F"/>
    <w:rsid w:val="00C00930"/>
    <w:rsid w:val="00C060AD"/>
    <w:rsid w:val="00C0670D"/>
    <w:rsid w:val="00C113BF"/>
    <w:rsid w:val="00C13C20"/>
    <w:rsid w:val="00C2176E"/>
    <w:rsid w:val="00C21800"/>
    <w:rsid w:val="00C2185E"/>
    <w:rsid w:val="00C23430"/>
    <w:rsid w:val="00C23F0D"/>
    <w:rsid w:val="00C24065"/>
    <w:rsid w:val="00C26C47"/>
    <w:rsid w:val="00C27787"/>
    <w:rsid w:val="00C27D67"/>
    <w:rsid w:val="00C35C6E"/>
    <w:rsid w:val="00C36976"/>
    <w:rsid w:val="00C36E3A"/>
    <w:rsid w:val="00C37BC9"/>
    <w:rsid w:val="00C402B3"/>
    <w:rsid w:val="00C40E7B"/>
    <w:rsid w:val="00C452F9"/>
    <w:rsid w:val="00C4631F"/>
    <w:rsid w:val="00C503E4"/>
    <w:rsid w:val="00C50DB9"/>
    <w:rsid w:val="00C50E16"/>
    <w:rsid w:val="00C51EBE"/>
    <w:rsid w:val="00C53B2E"/>
    <w:rsid w:val="00C55258"/>
    <w:rsid w:val="00C55BA2"/>
    <w:rsid w:val="00C6002D"/>
    <w:rsid w:val="00C624D6"/>
    <w:rsid w:val="00C62CCA"/>
    <w:rsid w:val="00C63208"/>
    <w:rsid w:val="00C6416B"/>
    <w:rsid w:val="00C67B0C"/>
    <w:rsid w:val="00C71A30"/>
    <w:rsid w:val="00C80694"/>
    <w:rsid w:val="00C82D89"/>
    <w:rsid w:val="00C82EEB"/>
    <w:rsid w:val="00C971DC"/>
    <w:rsid w:val="00C974C2"/>
    <w:rsid w:val="00CA16B7"/>
    <w:rsid w:val="00CA1E1B"/>
    <w:rsid w:val="00CA4BE3"/>
    <w:rsid w:val="00CA62AE"/>
    <w:rsid w:val="00CA6BEE"/>
    <w:rsid w:val="00CA79CF"/>
    <w:rsid w:val="00CB324C"/>
    <w:rsid w:val="00CB39BD"/>
    <w:rsid w:val="00CB5B1A"/>
    <w:rsid w:val="00CC0495"/>
    <w:rsid w:val="00CC220B"/>
    <w:rsid w:val="00CC4523"/>
    <w:rsid w:val="00CC5C43"/>
    <w:rsid w:val="00CD02AE"/>
    <w:rsid w:val="00CD2A4F"/>
    <w:rsid w:val="00CD2E81"/>
    <w:rsid w:val="00CD793A"/>
    <w:rsid w:val="00CE0396"/>
    <w:rsid w:val="00CE03CA"/>
    <w:rsid w:val="00CE22F1"/>
    <w:rsid w:val="00CE34B4"/>
    <w:rsid w:val="00CE50F2"/>
    <w:rsid w:val="00CE6502"/>
    <w:rsid w:val="00CE7CB8"/>
    <w:rsid w:val="00CF14A6"/>
    <w:rsid w:val="00CF3FAE"/>
    <w:rsid w:val="00CF6004"/>
    <w:rsid w:val="00CF7D3C"/>
    <w:rsid w:val="00D03A58"/>
    <w:rsid w:val="00D11602"/>
    <w:rsid w:val="00D13E7B"/>
    <w:rsid w:val="00D147EB"/>
    <w:rsid w:val="00D14D7B"/>
    <w:rsid w:val="00D15EB0"/>
    <w:rsid w:val="00D17CBB"/>
    <w:rsid w:val="00D21C86"/>
    <w:rsid w:val="00D22447"/>
    <w:rsid w:val="00D22E7A"/>
    <w:rsid w:val="00D24EF9"/>
    <w:rsid w:val="00D306B4"/>
    <w:rsid w:val="00D30F33"/>
    <w:rsid w:val="00D33BF2"/>
    <w:rsid w:val="00D34625"/>
    <w:rsid w:val="00D34667"/>
    <w:rsid w:val="00D401E1"/>
    <w:rsid w:val="00D408B4"/>
    <w:rsid w:val="00D414A8"/>
    <w:rsid w:val="00D45D94"/>
    <w:rsid w:val="00D4716F"/>
    <w:rsid w:val="00D524C8"/>
    <w:rsid w:val="00D53030"/>
    <w:rsid w:val="00D5381E"/>
    <w:rsid w:val="00D548BC"/>
    <w:rsid w:val="00D60E25"/>
    <w:rsid w:val="00D620E6"/>
    <w:rsid w:val="00D65B0D"/>
    <w:rsid w:val="00D67161"/>
    <w:rsid w:val="00D700AF"/>
    <w:rsid w:val="00D70E24"/>
    <w:rsid w:val="00D713E6"/>
    <w:rsid w:val="00D716B3"/>
    <w:rsid w:val="00D72B61"/>
    <w:rsid w:val="00D74815"/>
    <w:rsid w:val="00D816ED"/>
    <w:rsid w:val="00D83B30"/>
    <w:rsid w:val="00D85C9E"/>
    <w:rsid w:val="00D92559"/>
    <w:rsid w:val="00DA3D1D"/>
    <w:rsid w:val="00DA4C68"/>
    <w:rsid w:val="00DA6D9B"/>
    <w:rsid w:val="00DB0138"/>
    <w:rsid w:val="00DB2140"/>
    <w:rsid w:val="00DB6286"/>
    <w:rsid w:val="00DB645F"/>
    <w:rsid w:val="00DB76E9"/>
    <w:rsid w:val="00DC0A67"/>
    <w:rsid w:val="00DC1D5E"/>
    <w:rsid w:val="00DC2313"/>
    <w:rsid w:val="00DC49E0"/>
    <w:rsid w:val="00DC5220"/>
    <w:rsid w:val="00DC7910"/>
    <w:rsid w:val="00DD2061"/>
    <w:rsid w:val="00DD39BF"/>
    <w:rsid w:val="00DD7DAB"/>
    <w:rsid w:val="00DE2B82"/>
    <w:rsid w:val="00DE3355"/>
    <w:rsid w:val="00DE6D1D"/>
    <w:rsid w:val="00DE7748"/>
    <w:rsid w:val="00DF411F"/>
    <w:rsid w:val="00DF486F"/>
    <w:rsid w:val="00DF5B5B"/>
    <w:rsid w:val="00DF7619"/>
    <w:rsid w:val="00E01C4C"/>
    <w:rsid w:val="00E042D8"/>
    <w:rsid w:val="00E0642B"/>
    <w:rsid w:val="00E07B6F"/>
    <w:rsid w:val="00E07EE7"/>
    <w:rsid w:val="00E109C4"/>
    <w:rsid w:val="00E1103B"/>
    <w:rsid w:val="00E12354"/>
    <w:rsid w:val="00E137BD"/>
    <w:rsid w:val="00E15AB6"/>
    <w:rsid w:val="00E17B44"/>
    <w:rsid w:val="00E20C4B"/>
    <w:rsid w:val="00E27FEA"/>
    <w:rsid w:val="00E313A7"/>
    <w:rsid w:val="00E406A9"/>
    <w:rsid w:val="00E4086F"/>
    <w:rsid w:val="00E4293C"/>
    <w:rsid w:val="00E43320"/>
    <w:rsid w:val="00E43B3C"/>
    <w:rsid w:val="00E45938"/>
    <w:rsid w:val="00E45D7E"/>
    <w:rsid w:val="00E50188"/>
    <w:rsid w:val="00E515CB"/>
    <w:rsid w:val="00E51901"/>
    <w:rsid w:val="00E52260"/>
    <w:rsid w:val="00E55662"/>
    <w:rsid w:val="00E56BD2"/>
    <w:rsid w:val="00E60A24"/>
    <w:rsid w:val="00E61C8B"/>
    <w:rsid w:val="00E62F70"/>
    <w:rsid w:val="00E639B6"/>
    <w:rsid w:val="00E6434B"/>
    <w:rsid w:val="00E6463D"/>
    <w:rsid w:val="00E72E9B"/>
    <w:rsid w:val="00E82EA7"/>
    <w:rsid w:val="00E849DA"/>
    <w:rsid w:val="00E87C28"/>
    <w:rsid w:val="00E911F2"/>
    <w:rsid w:val="00E91325"/>
    <w:rsid w:val="00E9462E"/>
    <w:rsid w:val="00E951F7"/>
    <w:rsid w:val="00E960BD"/>
    <w:rsid w:val="00EA470E"/>
    <w:rsid w:val="00EA47A7"/>
    <w:rsid w:val="00EA57EB"/>
    <w:rsid w:val="00EA5F06"/>
    <w:rsid w:val="00EA6B45"/>
    <w:rsid w:val="00EA73CA"/>
    <w:rsid w:val="00EB31F0"/>
    <w:rsid w:val="00EB3226"/>
    <w:rsid w:val="00EC1F76"/>
    <w:rsid w:val="00EC213A"/>
    <w:rsid w:val="00EC6603"/>
    <w:rsid w:val="00EC7744"/>
    <w:rsid w:val="00ED0D01"/>
    <w:rsid w:val="00ED0DAD"/>
    <w:rsid w:val="00ED0F46"/>
    <w:rsid w:val="00ED2373"/>
    <w:rsid w:val="00ED47E9"/>
    <w:rsid w:val="00ED7FA9"/>
    <w:rsid w:val="00EE3E8A"/>
    <w:rsid w:val="00EE6A3F"/>
    <w:rsid w:val="00EF2202"/>
    <w:rsid w:val="00EF6ECA"/>
    <w:rsid w:val="00F024E1"/>
    <w:rsid w:val="00F025D4"/>
    <w:rsid w:val="00F0410F"/>
    <w:rsid w:val="00F06C10"/>
    <w:rsid w:val="00F1096F"/>
    <w:rsid w:val="00F1188F"/>
    <w:rsid w:val="00F12589"/>
    <w:rsid w:val="00F12595"/>
    <w:rsid w:val="00F134D9"/>
    <w:rsid w:val="00F1384F"/>
    <w:rsid w:val="00F139F7"/>
    <w:rsid w:val="00F1403D"/>
    <w:rsid w:val="00F141AA"/>
    <w:rsid w:val="00F1463F"/>
    <w:rsid w:val="00F21302"/>
    <w:rsid w:val="00F21379"/>
    <w:rsid w:val="00F226F4"/>
    <w:rsid w:val="00F24B0C"/>
    <w:rsid w:val="00F25A40"/>
    <w:rsid w:val="00F25DA5"/>
    <w:rsid w:val="00F30C5B"/>
    <w:rsid w:val="00F321DE"/>
    <w:rsid w:val="00F33777"/>
    <w:rsid w:val="00F33783"/>
    <w:rsid w:val="00F3442C"/>
    <w:rsid w:val="00F40648"/>
    <w:rsid w:val="00F47DA2"/>
    <w:rsid w:val="00F519FC"/>
    <w:rsid w:val="00F51FEC"/>
    <w:rsid w:val="00F53482"/>
    <w:rsid w:val="00F5703C"/>
    <w:rsid w:val="00F6239D"/>
    <w:rsid w:val="00F66B56"/>
    <w:rsid w:val="00F715D2"/>
    <w:rsid w:val="00F726DF"/>
    <w:rsid w:val="00F7274F"/>
    <w:rsid w:val="00F76FA8"/>
    <w:rsid w:val="00F83EF8"/>
    <w:rsid w:val="00F86552"/>
    <w:rsid w:val="00F86F85"/>
    <w:rsid w:val="00F90060"/>
    <w:rsid w:val="00F90C94"/>
    <w:rsid w:val="00F91661"/>
    <w:rsid w:val="00F93F08"/>
    <w:rsid w:val="00F94CED"/>
    <w:rsid w:val="00FA2CEE"/>
    <w:rsid w:val="00FA318C"/>
    <w:rsid w:val="00FB6F92"/>
    <w:rsid w:val="00FB73A9"/>
    <w:rsid w:val="00FB748A"/>
    <w:rsid w:val="00FC026E"/>
    <w:rsid w:val="00FC5124"/>
    <w:rsid w:val="00FC673F"/>
    <w:rsid w:val="00FD2A9E"/>
    <w:rsid w:val="00FD4731"/>
    <w:rsid w:val="00FD499C"/>
    <w:rsid w:val="00FD53DA"/>
    <w:rsid w:val="00FD5DA1"/>
    <w:rsid w:val="00FE0DD4"/>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10FCE5"/>
  <w15:docId w15:val="{E5190D12-3DBC-406A-9BA8-D764AC34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70E0F"/>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F86F85"/>
    <w:pPr>
      <w:keepNext/>
      <w:numPr>
        <w:numId w:val="8"/>
      </w:numPr>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qFormat/>
    <w:rsid w:val="00DE6D1D"/>
    <w:pPr>
      <w:keepNext/>
      <w:numPr>
        <w:ilvl w:val="1"/>
        <w:numId w:val="8"/>
      </w:numPr>
      <w:spacing w:before="240" w:after="60"/>
      <w:outlineLvl w:val="1"/>
    </w:pPr>
    <w:rPr>
      <w:rFonts w:ascii="Arial" w:hAnsi="Arial" w:cs="Arial"/>
      <w:b/>
      <w:bCs/>
      <w:iCs/>
      <w:color w:val="3F4A75" w:themeColor="text2"/>
      <w:sz w:val="28"/>
      <w:szCs w:val="28"/>
      <w:lang w:eastAsia="en-US"/>
    </w:rPr>
  </w:style>
  <w:style w:type="paragraph" w:styleId="Heading3">
    <w:name w:val="heading 3"/>
    <w:next w:val="Normal"/>
    <w:qFormat/>
    <w:rsid w:val="00944A31"/>
    <w:pPr>
      <w:keepNext/>
      <w:numPr>
        <w:ilvl w:val="2"/>
        <w:numId w:val="8"/>
      </w:numPr>
      <w:spacing w:before="180" w:after="60"/>
      <w:outlineLvl w:val="2"/>
    </w:pPr>
    <w:rPr>
      <w:rFonts w:ascii="Arial" w:hAnsi="Arial" w:cs="Arial"/>
      <w:b/>
      <w:bCs/>
      <w:color w:val="3F4A75" w:themeColor="accent1"/>
      <w:sz w:val="24"/>
      <w:szCs w:val="26"/>
      <w:lang w:eastAsia="en-US"/>
    </w:rPr>
  </w:style>
  <w:style w:type="paragraph" w:styleId="Heading4">
    <w:name w:val="heading 4"/>
    <w:next w:val="Normal"/>
    <w:qFormat/>
    <w:rsid w:val="00F86F85"/>
    <w:pPr>
      <w:keepNext/>
      <w:numPr>
        <w:ilvl w:val="3"/>
        <w:numId w:val="8"/>
      </w:numPr>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F86F85"/>
    <w:pPr>
      <w:keepNext/>
      <w:numPr>
        <w:ilvl w:val="4"/>
        <w:numId w:val="8"/>
      </w:numPr>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numPr>
        <w:ilvl w:val="5"/>
        <w:numId w:val="8"/>
      </w:numPr>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numPr>
        <w:ilvl w:val="6"/>
        <w:numId w:val="8"/>
      </w:numPr>
      <w:spacing w:before="40"/>
      <w:outlineLvl w:val="6"/>
    </w:pPr>
    <w:rPr>
      <w:rFonts w:ascii="Arial" w:eastAsiaTheme="majorEastAsia" w:hAnsi="Arial" w:cstheme="majorBidi"/>
      <w:b/>
      <w:i/>
      <w:iCs/>
      <w:color w:val="1F243A" w:themeColor="accent1" w:themeShade="7F"/>
      <w:sz w:val="22"/>
      <w:szCs w:val="24"/>
      <w:lang w:eastAsia="en-US"/>
    </w:rPr>
  </w:style>
  <w:style w:type="paragraph" w:styleId="Heading8">
    <w:name w:val="heading 8"/>
    <w:basedOn w:val="Normal"/>
    <w:next w:val="Normal"/>
    <w:link w:val="Heading8Char"/>
    <w:semiHidden/>
    <w:unhideWhenUsed/>
    <w:qFormat/>
    <w:rsid w:val="002A2064"/>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A2064"/>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D92559"/>
    <w:pPr>
      <w:spacing w:before="132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D92559"/>
    <w:rPr>
      <w:rFonts w:ascii="Arial" w:eastAsiaTheme="majorEastAsia" w:hAnsi="Arial" w:cstheme="majorBidi"/>
      <w:b/>
      <w:color w:val="3F4A75"/>
      <w:kern w:val="28"/>
      <w:sz w:val="48"/>
      <w:szCs w:val="52"/>
      <w:lang w:eastAsia="en-US"/>
    </w:rPr>
  </w:style>
  <w:style w:type="paragraph" w:styleId="NoSpacing">
    <w:name w:val="No Spacing"/>
    <w:link w:val="NoSpacingChar"/>
    <w:uiPriority w:val="1"/>
    <w:qFormat/>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qFormat/>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766C9D"/>
    <w:pPr>
      <w:numPr>
        <w:numId w:val="4"/>
      </w:numPr>
      <w:ind w:left="1418" w:hanging="425"/>
    </w:pPr>
  </w:style>
  <w:style w:type="paragraph" w:styleId="ListNumber2">
    <w:name w:val="List Number 2"/>
    <w:basedOn w:val="ListBullet"/>
    <w:qFormat/>
    <w:rsid w:val="00BA70AB"/>
    <w:pPr>
      <w:numPr>
        <w:numId w:val="6"/>
      </w:numPr>
      <w:ind w:left="680" w:hanging="340"/>
    </w:pPr>
  </w:style>
  <w:style w:type="paragraph" w:styleId="ListBullet">
    <w:name w:val="List Bullet"/>
    <w:basedOn w:val="Normal"/>
    <w:qFormat/>
    <w:rsid w:val="00766C9D"/>
    <w:pPr>
      <w:numPr>
        <w:numId w:val="5"/>
      </w:numPr>
      <w:spacing w:line="240" w:lineRule="auto"/>
    </w:pPr>
  </w:style>
  <w:style w:type="paragraph" w:styleId="ListParagraph">
    <w:name w:val="List Paragraph"/>
    <w:aliases w:val="Bulletr List Paragraph,Use Case List Paragraph,lp1,Figure_name,List Paragraph1,Numbered Indented Text,Bullet- First level,List NUmber,Listenabsatz1,List Paragraph11,Style 2,TOC style,List Paragraph2,Number_1,new,L,List Paragraph Char Char"/>
    <w:basedOn w:val="Normal"/>
    <w:link w:val="ListParagraphChar"/>
    <w:uiPriority w:val="34"/>
    <w:qFormat/>
    <w:rsid w:val="00A4512D"/>
    <w:pPr>
      <w:ind w:left="720"/>
      <w:contextualSpacing/>
    </w:pPr>
  </w:style>
  <w:style w:type="paragraph" w:styleId="ListNumber3">
    <w:name w:val="List Number 3"/>
    <w:aliases w:val="List Third Level"/>
    <w:basedOn w:val="ListBullet2"/>
    <w:rsid w:val="00766C9D"/>
    <w:pPr>
      <w:numPr>
        <w:numId w:val="1"/>
      </w:numPr>
      <w:ind w:left="1843"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uiPriority w:val="39"/>
    <w:locked/>
    <w:rsid w:val="00C2180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rPr>
    </w:tblStylePr>
    <w:tblStylePr w:type="firstCol">
      <w:rPr>
        <w:b/>
      </w:rPr>
    </w:tblStyle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character" w:customStyle="1" w:styleId="ListParagraphChar">
    <w:name w:val="List Paragraph Char"/>
    <w:aliases w:val="Bulletr List Paragraph Char,Use Case List Paragraph Char,lp1 Char,Figure_name Char,List Paragraph1 Char,Numbered Indented Text Char,Bullet- First level Char,List NUmber Char,Listenabsatz1 Char,List Paragraph11 Char,Style 2 Char"/>
    <w:basedOn w:val="DefaultParagraphFont"/>
    <w:link w:val="ListParagraph"/>
    <w:uiPriority w:val="34"/>
    <w:locked/>
    <w:rsid w:val="0084607D"/>
    <w:rPr>
      <w:rFonts w:ascii="Arial" w:hAnsi="Arial"/>
      <w:color w:val="000000" w:themeColor="text1"/>
      <w:sz w:val="22"/>
      <w:szCs w:val="24"/>
      <w:lang w:eastAsia="en-US"/>
    </w:rPr>
  </w:style>
  <w:style w:type="paragraph" w:styleId="TOCHeading">
    <w:name w:val="TOC Heading"/>
    <w:next w:val="Normal"/>
    <w:uiPriority w:val="39"/>
    <w:unhideWhenUsed/>
    <w:qFormat/>
    <w:rsid w:val="007A750C"/>
    <w:pPr>
      <w:keepLines/>
      <w:spacing w:line="259" w:lineRule="auto"/>
    </w:pPr>
    <w:rPr>
      <w:rFonts w:asciiTheme="minorHAnsi" w:eastAsiaTheme="majorEastAsia" w:hAnsiTheme="minorHAnsi" w:cstheme="majorBidi"/>
      <w:b/>
      <w:color w:val="3F4A75" w:themeColor="accent1"/>
      <w:sz w:val="32"/>
      <w:szCs w:val="32"/>
      <w:lang w:val="en-US" w:eastAsia="en-US"/>
    </w:rPr>
  </w:style>
  <w:style w:type="paragraph" w:styleId="TOC1">
    <w:name w:val="toc 1"/>
    <w:basedOn w:val="Normal"/>
    <w:next w:val="Normal"/>
    <w:autoRedefine/>
    <w:uiPriority w:val="39"/>
    <w:unhideWhenUsed/>
    <w:rsid w:val="007A750C"/>
    <w:pPr>
      <w:tabs>
        <w:tab w:val="right" w:leader="dot" w:pos="9016"/>
      </w:tabs>
      <w:spacing w:before="0" w:after="100" w:line="259" w:lineRule="auto"/>
    </w:pPr>
    <w:rPr>
      <w:rFonts w:ascii="Calibri" w:eastAsiaTheme="minorHAnsi" w:hAnsi="Calibri"/>
      <w:color w:val="auto"/>
      <w:kern w:val="2"/>
      <w:sz w:val="24"/>
      <w14:ligatures w14:val="standardContextual"/>
    </w:rPr>
  </w:style>
  <w:style w:type="paragraph" w:styleId="TOC2">
    <w:name w:val="toc 2"/>
    <w:basedOn w:val="Normal"/>
    <w:next w:val="Normal"/>
    <w:autoRedefine/>
    <w:uiPriority w:val="39"/>
    <w:unhideWhenUsed/>
    <w:rsid w:val="007A750C"/>
    <w:pPr>
      <w:tabs>
        <w:tab w:val="right" w:leader="dot" w:pos="9016"/>
      </w:tabs>
      <w:spacing w:before="0" w:after="100" w:line="259" w:lineRule="auto"/>
      <w:ind w:left="720"/>
    </w:pPr>
    <w:rPr>
      <w:rFonts w:ascii="Calibri" w:eastAsiaTheme="minorHAnsi" w:hAnsi="Calibri"/>
      <w:color w:val="auto"/>
      <w:kern w:val="2"/>
      <w:sz w:val="24"/>
      <w14:ligatures w14:val="standardContextual"/>
    </w:rPr>
  </w:style>
  <w:style w:type="paragraph" w:styleId="TOC3">
    <w:name w:val="toc 3"/>
    <w:basedOn w:val="Normal"/>
    <w:next w:val="Normal"/>
    <w:autoRedefine/>
    <w:uiPriority w:val="39"/>
    <w:unhideWhenUsed/>
    <w:rsid w:val="00A20790"/>
    <w:pPr>
      <w:tabs>
        <w:tab w:val="left" w:pos="1320"/>
        <w:tab w:val="right" w:leader="dot" w:pos="9060"/>
      </w:tabs>
      <w:spacing w:before="0" w:after="100" w:line="259" w:lineRule="auto"/>
      <w:ind w:left="1320"/>
    </w:pPr>
    <w:rPr>
      <w:rFonts w:asciiTheme="minorHAnsi" w:eastAsiaTheme="minorEastAsia" w:hAnsiTheme="minorHAnsi"/>
      <w:color w:val="auto"/>
      <w:szCs w:val="22"/>
      <w:lang w:val="en-US"/>
    </w:rPr>
  </w:style>
  <w:style w:type="paragraph" w:styleId="Revision">
    <w:name w:val="Revision"/>
    <w:hidden/>
    <w:uiPriority w:val="99"/>
    <w:semiHidden/>
    <w:rsid w:val="003E2062"/>
    <w:rPr>
      <w:rFonts w:ascii="Arial" w:hAnsi="Arial"/>
      <w:color w:val="000000" w:themeColor="text1"/>
      <w:sz w:val="22"/>
      <w:szCs w:val="24"/>
      <w:lang w:eastAsia="en-US"/>
    </w:rPr>
  </w:style>
  <w:style w:type="paragraph" w:styleId="CommentText">
    <w:name w:val="annotation text"/>
    <w:basedOn w:val="Normal"/>
    <w:link w:val="CommentTextChar"/>
    <w:uiPriority w:val="99"/>
    <w:unhideWhenUsed/>
    <w:rsid w:val="003E2062"/>
    <w:pPr>
      <w:spacing w:before="0" w:after="160" w:line="240" w:lineRule="auto"/>
    </w:pPr>
    <w:rPr>
      <w:rFonts w:ascii="Times New Roman" w:eastAsiaTheme="minorHAnsi" w:hAnsi="Times New Roman"/>
      <w:color w:val="auto"/>
      <w:sz w:val="20"/>
      <w:szCs w:val="20"/>
    </w:rPr>
  </w:style>
  <w:style w:type="character" w:customStyle="1" w:styleId="CommentTextChar">
    <w:name w:val="Comment Text Char"/>
    <w:basedOn w:val="DefaultParagraphFont"/>
    <w:link w:val="CommentText"/>
    <w:uiPriority w:val="99"/>
    <w:rsid w:val="003E2062"/>
    <w:rPr>
      <w:rFonts w:eastAsiaTheme="minorHAnsi"/>
      <w:lang w:eastAsia="en-US"/>
    </w:rPr>
  </w:style>
  <w:style w:type="character" w:styleId="CommentReference">
    <w:name w:val="annotation reference"/>
    <w:basedOn w:val="DefaultParagraphFont"/>
    <w:uiPriority w:val="99"/>
    <w:semiHidden/>
    <w:unhideWhenUsed/>
    <w:rsid w:val="003E2062"/>
    <w:rPr>
      <w:sz w:val="16"/>
      <w:szCs w:val="16"/>
    </w:rPr>
  </w:style>
  <w:style w:type="character" w:styleId="UnresolvedMention">
    <w:name w:val="Unresolved Mention"/>
    <w:basedOn w:val="DefaultParagraphFont"/>
    <w:uiPriority w:val="99"/>
    <w:semiHidden/>
    <w:unhideWhenUsed/>
    <w:rsid w:val="00ED47E9"/>
    <w:rPr>
      <w:color w:val="605E5C"/>
      <w:shd w:val="clear" w:color="auto" w:fill="E1DFDD"/>
    </w:rPr>
  </w:style>
  <w:style w:type="character" w:customStyle="1" w:styleId="Heading8Char">
    <w:name w:val="Heading 8 Char"/>
    <w:basedOn w:val="DefaultParagraphFont"/>
    <w:link w:val="Heading8"/>
    <w:semiHidden/>
    <w:rsid w:val="002A206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2A2064"/>
    <w:rPr>
      <w:rFonts w:asciiTheme="majorHAnsi" w:eastAsiaTheme="majorEastAsia" w:hAnsiTheme="majorHAnsi" w:cstheme="majorBidi"/>
      <w:i/>
      <w:iCs/>
      <w:color w:val="272727" w:themeColor="text1" w:themeTint="D8"/>
      <w:sz w:val="21"/>
      <w:szCs w:val="21"/>
      <w:lang w:eastAsia="en-US"/>
    </w:rPr>
  </w:style>
  <w:style w:type="character" w:styleId="FootnoteReference">
    <w:name w:val="footnote reference"/>
    <w:basedOn w:val="DefaultParagraphFont"/>
    <w:uiPriority w:val="99"/>
    <w:semiHidden/>
    <w:unhideWhenUsed/>
    <w:rsid w:val="002F2EBC"/>
    <w:rPr>
      <w:vertAlign w:val="superscript"/>
    </w:rPr>
  </w:style>
  <w:style w:type="paragraph" w:customStyle="1" w:styleId="CheckMarks">
    <w:name w:val="Check Marks"/>
    <w:basedOn w:val="Normal"/>
    <w:qFormat/>
    <w:rsid w:val="001A7C93"/>
    <w:pPr>
      <w:spacing w:before="0" w:after="0" w:line="245" w:lineRule="auto"/>
    </w:pPr>
    <w:rPr>
      <w:rFonts w:asciiTheme="minorHAnsi" w:eastAsia="MS Gothic" w:hAnsiTheme="minorHAnsi" w:cs="Times New Roman (Body CS)"/>
      <w:b/>
      <w:color w:val="707E1C" w:themeColor="accent6" w:themeShade="BF"/>
      <w:sz w:val="24"/>
      <w:szCs w:val="22"/>
      <w:lang w:val="en-US"/>
    </w:rPr>
  </w:style>
  <w:style w:type="paragraph" w:styleId="EndnoteText">
    <w:name w:val="endnote text"/>
    <w:basedOn w:val="Normal"/>
    <w:link w:val="EndnoteTextChar"/>
    <w:semiHidden/>
    <w:unhideWhenUsed/>
    <w:rsid w:val="002F6B7B"/>
    <w:pPr>
      <w:spacing w:before="0" w:after="0" w:line="240" w:lineRule="auto"/>
    </w:pPr>
    <w:rPr>
      <w:sz w:val="20"/>
      <w:szCs w:val="20"/>
    </w:rPr>
  </w:style>
  <w:style w:type="character" w:customStyle="1" w:styleId="EndnoteTextChar">
    <w:name w:val="Endnote Text Char"/>
    <w:basedOn w:val="DefaultParagraphFont"/>
    <w:link w:val="EndnoteText"/>
    <w:semiHidden/>
    <w:rsid w:val="002F6B7B"/>
    <w:rPr>
      <w:rFonts w:ascii="Arial" w:hAnsi="Arial"/>
      <w:color w:val="000000" w:themeColor="text1"/>
      <w:lang w:eastAsia="en-US"/>
    </w:rPr>
  </w:style>
  <w:style w:type="character" w:styleId="EndnoteReference">
    <w:name w:val="endnote reference"/>
    <w:basedOn w:val="DefaultParagraphFont"/>
    <w:semiHidden/>
    <w:unhideWhenUsed/>
    <w:rsid w:val="002F6B7B"/>
    <w:rPr>
      <w:vertAlign w:val="superscript"/>
    </w:rPr>
  </w:style>
  <w:style w:type="character" w:styleId="FollowedHyperlink">
    <w:name w:val="FollowedHyperlink"/>
    <w:basedOn w:val="DefaultParagraphFont"/>
    <w:semiHidden/>
    <w:unhideWhenUsed/>
    <w:rsid w:val="009121E4"/>
    <w:rPr>
      <w:color w:val="800080" w:themeColor="followedHyperlink"/>
      <w:u w:val="single"/>
    </w:rPr>
  </w:style>
  <w:style w:type="paragraph" w:customStyle="1" w:styleId="Heading2nonumbering">
    <w:name w:val="Heading 2 (no numbering)"/>
    <w:basedOn w:val="Heading2"/>
    <w:link w:val="Heading2nonumberingChar"/>
    <w:qFormat/>
    <w:rsid w:val="00766C9D"/>
    <w:pPr>
      <w:numPr>
        <w:ilvl w:val="0"/>
        <w:numId w:val="0"/>
      </w:numPr>
    </w:pPr>
    <w:rPr>
      <w:sz w:val="22"/>
    </w:rPr>
  </w:style>
  <w:style w:type="character" w:customStyle="1" w:styleId="Heading2Char">
    <w:name w:val="Heading 2 Char"/>
    <w:basedOn w:val="DefaultParagraphFont"/>
    <w:link w:val="Heading2"/>
    <w:rsid w:val="00D92559"/>
    <w:rPr>
      <w:rFonts w:ascii="Arial" w:hAnsi="Arial" w:cs="Arial"/>
      <w:b/>
      <w:bCs/>
      <w:iCs/>
      <w:color w:val="3F4A75" w:themeColor="text2"/>
      <w:sz w:val="28"/>
      <w:szCs w:val="28"/>
      <w:lang w:eastAsia="en-US"/>
    </w:rPr>
  </w:style>
  <w:style w:type="character" w:customStyle="1" w:styleId="Heading2nonumberingChar">
    <w:name w:val="Heading 2 (no numbering) Char"/>
    <w:basedOn w:val="Heading2Char"/>
    <w:link w:val="Heading2nonumbering"/>
    <w:rsid w:val="00766C9D"/>
    <w:rPr>
      <w:rFonts w:ascii="Arial" w:hAnsi="Arial" w:cs="Arial"/>
      <w:b/>
      <w:bCs/>
      <w:iCs/>
      <w:color w:val="3F4A75" w:themeColor="text2"/>
      <w:sz w:val="22"/>
      <w:szCs w:val="28"/>
      <w:lang w:eastAsia="en-US"/>
    </w:rPr>
  </w:style>
  <w:style w:type="paragraph" w:customStyle="1" w:styleId="Checklisttext">
    <w:name w:val="Checklist (text)"/>
    <w:basedOn w:val="NoSpacing"/>
    <w:link w:val="ChecklisttextChar"/>
    <w:qFormat/>
    <w:rsid w:val="00766C9D"/>
    <w:pPr>
      <w:spacing w:before="120" w:after="120" w:line="276" w:lineRule="auto"/>
      <w:ind w:left="567" w:hanging="567"/>
    </w:pPr>
    <w:rPr>
      <w:rFonts w:ascii="Arial" w:hAnsi="Arial" w:cs="Arial"/>
      <w:sz w:val="22"/>
      <w:szCs w:val="22"/>
      <w:lang w:val="en-US"/>
    </w:rPr>
  </w:style>
  <w:style w:type="character" w:customStyle="1" w:styleId="NoSpacingChar">
    <w:name w:val="No Spacing Char"/>
    <w:basedOn w:val="DefaultParagraphFont"/>
    <w:link w:val="NoSpacing"/>
    <w:uiPriority w:val="1"/>
    <w:rsid w:val="00944A31"/>
    <w:rPr>
      <w:sz w:val="24"/>
      <w:szCs w:val="24"/>
      <w:lang w:eastAsia="en-US"/>
    </w:rPr>
  </w:style>
  <w:style w:type="character" w:customStyle="1" w:styleId="ChecklisttextChar">
    <w:name w:val="Checklist (text) Char"/>
    <w:basedOn w:val="NoSpacingChar"/>
    <w:link w:val="Checklisttext"/>
    <w:rsid w:val="00766C9D"/>
    <w:rPr>
      <w:rFonts w:ascii="Arial" w:hAnsi="Arial" w:cs="Arial"/>
      <w:sz w:val="22"/>
      <w:szCs w:val="22"/>
      <w:lang w:val="en-US" w:eastAsia="en-US"/>
    </w:rPr>
  </w:style>
  <w:style w:type="paragraph" w:styleId="ListContinue">
    <w:name w:val="List Continue"/>
    <w:basedOn w:val="Normal"/>
    <w:unhideWhenUsed/>
    <w:rsid w:val="007A750C"/>
    <w:pPr>
      <w:numPr>
        <w:numId w:val="7"/>
      </w:numPr>
    </w:pPr>
  </w:style>
  <w:style w:type="paragraph" w:customStyle="1" w:styleId="Checklistheadinglevel1">
    <w:name w:val="Checklist (heading level 1)"/>
    <w:basedOn w:val="Normal"/>
    <w:link w:val="Checklistheadinglevel1Char"/>
    <w:qFormat/>
    <w:rsid w:val="00876009"/>
    <w:pPr>
      <w:outlineLvl w:val="0"/>
    </w:pPr>
    <w:rPr>
      <w:rFonts w:cs="Arial"/>
      <w:b/>
      <w:bCs/>
      <w:kern w:val="24"/>
      <w:sz w:val="56"/>
      <w:szCs w:val="56"/>
    </w:rPr>
  </w:style>
  <w:style w:type="character" w:customStyle="1" w:styleId="Checklistheadinglevel1Char">
    <w:name w:val="Checklist (heading level 1) Char"/>
    <w:basedOn w:val="DefaultParagraphFont"/>
    <w:link w:val="Checklistheadinglevel1"/>
    <w:rsid w:val="00876009"/>
    <w:rPr>
      <w:rFonts w:ascii="Arial" w:hAnsi="Arial" w:cs="Arial"/>
      <w:b/>
      <w:bCs/>
      <w:color w:val="000000" w:themeColor="text1"/>
      <w:kern w:val="24"/>
      <w:sz w:val="56"/>
      <w:szCs w:val="56"/>
      <w:lang w:eastAsia="en-US"/>
    </w:rPr>
  </w:style>
  <w:style w:type="paragraph" w:customStyle="1" w:styleId="Checklistheadinglevel2">
    <w:name w:val="Checklist (heading level 2)"/>
    <w:basedOn w:val="Normal"/>
    <w:link w:val="Checklistheadinglevel2Char"/>
    <w:qFormat/>
    <w:rsid w:val="00876009"/>
    <w:pPr>
      <w:outlineLvl w:val="1"/>
    </w:pPr>
    <w:rPr>
      <w:rFonts w:cs="Arial"/>
      <w:kern w:val="24"/>
      <w:sz w:val="44"/>
      <w:szCs w:val="44"/>
    </w:rPr>
  </w:style>
  <w:style w:type="character" w:customStyle="1" w:styleId="Checklistheadinglevel2Char">
    <w:name w:val="Checklist (heading level 2) Char"/>
    <w:basedOn w:val="DefaultParagraphFont"/>
    <w:link w:val="Checklistheadinglevel2"/>
    <w:rsid w:val="00876009"/>
    <w:rPr>
      <w:rFonts w:ascii="Arial" w:hAnsi="Arial" w:cs="Arial"/>
      <w:color w:val="000000" w:themeColor="text1"/>
      <w:kern w:val="24"/>
      <w:sz w:val="44"/>
      <w:szCs w:val="44"/>
      <w:lang w:eastAsia="en-US"/>
    </w:rPr>
  </w:style>
  <w:style w:type="paragraph" w:customStyle="1" w:styleId="Heading3nonumbering">
    <w:name w:val="Heading 3 (no numbering)"/>
    <w:basedOn w:val="Heading2nonumbering"/>
    <w:link w:val="Heading3nonumberingChar"/>
    <w:qFormat/>
    <w:rsid w:val="00F25DA5"/>
    <w:pPr>
      <w:outlineLvl w:val="2"/>
    </w:pPr>
    <w:rPr>
      <w:rFonts w:eastAsia="MS Gothic"/>
    </w:rPr>
  </w:style>
  <w:style w:type="character" w:customStyle="1" w:styleId="Heading3nonumberingChar">
    <w:name w:val="Heading 3 (no numbering) Char"/>
    <w:basedOn w:val="Heading2nonumberingChar"/>
    <w:link w:val="Heading3nonumbering"/>
    <w:rsid w:val="00F25DA5"/>
    <w:rPr>
      <w:rFonts w:ascii="Arial" w:eastAsia="MS Gothic" w:hAnsi="Arial" w:cs="Arial"/>
      <w:b/>
      <w:bCs/>
      <w:iCs/>
      <w:color w:val="3F4A75" w:themeColor="text2"/>
      <w:sz w:val="22"/>
      <w:szCs w:val="28"/>
      <w:lang w:eastAsia="en-US"/>
    </w:rPr>
  </w:style>
  <w:style w:type="paragraph" w:styleId="ListNumber4">
    <w:name w:val="List Number 4"/>
    <w:basedOn w:val="Normal"/>
    <w:unhideWhenUsed/>
    <w:rsid w:val="00766C9D"/>
    <w:pPr>
      <w:numPr>
        <w:numId w:val="9"/>
      </w:numPr>
      <w:contextualSpacing/>
    </w:pPr>
  </w:style>
  <w:style w:type="paragraph" w:styleId="ListBullet4">
    <w:name w:val="List Bullet 4"/>
    <w:basedOn w:val="ListBullet3"/>
    <w:unhideWhenUsed/>
    <w:rsid w:val="00766C9D"/>
    <w:pPr>
      <w:numPr>
        <w:numId w:val="10"/>
      </w:numPr>
      <w:ind w:left="2268" w:hanging="357"/>
    </w:pPr>
  </w:style>
  <w:style w:type="paragraph" w:styleId="ListBullet3">
    <w:name w:val="List Bullet 3"/>
    <w:basedOn w:val="Normal"/>
    <w:semiHidden/>
    <w:unhideWhenUsed/>
    <w:rsid w:val="00766C9D"/>
    <w:pPr>
      <w:numPr>
        <w:numId w:val="11"/>
      </w:numPr>
      <w:contextualSpacing/>
    </w:pPr>
  </w:style>
  <w:style w:type="paragraph" w:customStyle="1" w:styleId="Default">
    <w:name w:val="Default"/>
    <w:rsid w:val="00EA6B45"/>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semiHidden/>
    <w:unhideWhenUsed/>
    <w:rsid w:val="00041A98"/>
    <w:pPr>
      <w:spacing w:before="120" w:after="120"/>
    </w:pPr>
    <w:rPr>
      <w:rFonts w:ascii="Arial" w:eastAsia="Times New Roman" w:hAnsi="Arial"/>
      <w:b/>
      <w:bCs/>
      <w:color w:val="000000" w:themeColor="text1"/>
    </w:rPr>
  </w:style>
  <w:style w:type="character" w:customStyle="1" w:styleId="CommentSubjectChar">
    <w:name w:val="Comment Subject Char"/>
    <w:basedOn w:val="CommentTextChar"/>
    <w:link w:val="CommentSubject"/>
    <w:semiHidden/>
    <w:rsid w:val="00041A98"/>
    <w:rPr>
      <w:rFonts w:ascii="Arial" w:eastAsiaTheme="minorHAnsi"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15546">
      <w:bodyDiv w:val="1"/>
      <w:marLeft w:val="0"/>
      <w:marRight w:val="0"/>
      <w:marTop w:val="0"/>
      <w:marBottom w:val="0"/>
      <w:divBdr>
        <w:top w:val="none" w:sz="0" w:space="0" w:color="auto"/>
        <w:left w:val="none" w:sz="0" w:space="0" w:color="auto"/>
        <w:bottom w:val="none" w:sz="0" w:space="0" w:color="auto"/>
        <w:right w:val="none" w:sz="0" w:space="0" w:color="auto"/>
      </w:divBdr>
    </w:div>
    <w:div w:id="14905647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02332296">
      <w:bodyDiv w:val="1"/>
      <w:marLeft w:val="0"/>
      <w:marRight w:val="0"/>
      <w:marTop w:val="0"/>
      <w:marBottom w:val="0"/>
      <w:divBdr>
        <w:top w:val="none" w:sz="0" w:space="0" w:color="auto"/>
        <w:left w:val="none" w:sz="0" w:space="0" w:color="auto"/>
        <w:bottom w:val="none" w:sz="0" w:space="0" w:color="auto"/>
        <w:right w:val="none" w:sz="0" w:space="0" w:color="auto"/>
      </w:divBdr>
    </w:div>
    <w:div w:id="411201127">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29037048">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07905240">
      <w:bodyDiv w:val="1"/>
      <w:marLeft w:val="0"/>
      <w:marRight w:val="0"/>
      <w:marTop w:val="0"/>
      <w:marBottom w:val="0"/>
      <w:divBdr>
        <w:top w:val="none" w:sz="0" w:space="0" w:color="auto"/>
        <w:left w:val="none" w:sz="0" w:space="0" w:color="auto"/>
        <w:bottom w:val="none" w:sz="0" w:space="0" w:color="auto"/>
        <w:right w:val="none" w:sz="0" w:space="0" w:color="auto"/>
      </w:divBdr>
    </w:div>
    <w:div w:id="103858171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57982790">
      <w:bodyDiv w:val="1"/>
      <w:marLeft w:val="0"/>
      <w:marRight w:val="0"/>
      <w:marTop w:val="0"/>
      <w:marBottom w:val="0"/>
      <w:divBdr>
        <w:top w:val="none" w:sz="0" w:space="0" w:color="auto"/>
        <w:left w:val="none" w:sz="0" w:space="0" w:color="auto"/>
        <w:bottom w:val="none" w:sz="0" w:space="0" w:color="auto"/>
        <w:right w:val="none" w:sz="0" w:space="0" w:color="auto"/>
      </w:divBdr>
    </w:div>
    <w:div w:id="1361517899">
      <w:bodyDiv w:val="1"/>
      <w:marLeft w:val="0"/>
      <w:marRight w:val="0"/>
      <w:marTop w:val="0"/>
      <w:marBottom w:val="0"/>
      <w:divBdr>
        <w:top w:val="none" w:sz="0" w:space="0" w:color="auto"/>
        <w:left w:val="none" w:sz="0" w:space="0" w:color="auto"/>
        <w:bottom w:val="none" w:sz="0" w:space="0" w:color="auto"/>
        <w:right w:val="none" w:sz="0" w:space="0" w:color="auto"/>
      </w:divBdr>
    </w:div>
    <w:div w:id="1421098719">
      <w:bodyDiv w:val="1"/>
      <w:marLeft w:val="0"/>
      <w:marRight w:val="0"/>
      <w:marTop w:val="0"/>
      <w:marBottom w:val="0"/>
      <w:divBdr>
        <w:top w:val="none" w:sz="0" w:space="0" w:color="auto"/>
        <w:left w:val="none" w:sz="0" w:space="0" w:color="auto"/>
        <w:bottom w:val="none" w:sz="0" w:space="0" w:color="auto"/>
        <w:right w:val="none" w:sz="0" w:space="0" w:color="auto"/>
      </w:divBdr>
    </w:div>
    <w:div w:id="1529367672">
      <w:bodyDiv w:val="1"/>
      <w:marLeft w:val="0"/>
      <w:marRight w:val="0"/>
      <w:marTop w:val="0"/>
      <w:marBottom w:val="0"/>
      <w:divBdr>
        <w:top w:val="none" w:sz="0" w:space="0" w:color="auto"/>
        <w:left w:val="none" w:sz="0" w:space="0" w:color="auto"/>
        <w:bottom w:val="none" w:sz="0" w:space="0" w:color="auto"/>
        <w:right w:val="none" w:sz="0" w:space="0" w:color="auto"/>
      </w:divBdr>
    </w:div>
    <w:div w:id="1590849651">
      <w:bodyDiv w:val="1"/>
      <w:marLeft w:val="0"/>
      <w:marRight w:val="0"/>
      <w:marTop w:val="0"/>
      <w:marBottom w:val="0"/>
      <w:divBdr>
        <w:top w:val="none" w:sz="0" w:space="0" w:color="auto"/>
        <w:left w:val="none" w:sz="0" w:space="0" w:color="auto"/>
        <w:bottom w:val="none" w:sz="0" w:space="0" w:color="auto"/>
        <w:right w:val="none" w:sz="0" w:space="0" w:color="auto"/>
      </w:divBdr>
    </w:div>
    <w:div w:id="206105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yperlink" Target="https://www.ppaonline.com.au/wp-content/uploads/2024/07/Example-ACOP-activities.docx" TargetMode="External"/><Relationship Id="rId3" Type="http://schemas.openxmlformats.org/officeDocument/2006/relationships/customXml" Target="../customXml/item3.xml"/><Relationship Id="rId21" Type="http://schemas.openxmlformats.org/officeDocument/2006/relationships/hyperlink" Target="https://www.ppaonline.com.au/programs/aged-care-on-site-pharmacist-measure/tier-2"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www.pharmacycouncil.org.au/resources/pharmacist-education-programs-standards/Indicative-Role-Description.pdf" TargetMode="External"/><Relationship Id="rId33" Type="http://schemas.openxmlformats.org/officeDocument/2006/relationships/hyperlink" Target="https://www9.health.gov.au/mbs/fullDisplay.cfm?type=item&amp;q=903"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ppaonline.com.au/programs/aged-care-on-site-pharmacist-measure/tier-2" TargetMode="External"/><Relationship Id="rId29" Type="http://schemas.openxmlformats.org/officeDocument/2006/relationships/hyperlink" Target="https://www.ppaonline.com.au/wp-content/uploads/2024/06/ACOP-Tier-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ppaonline.com.au/programs/aged-care-on-site-pharmacist-measure/tier-2" TargetMode="External"/><Relationship Id="rId32" Type="http://schemas.openxmlformats.org/officeDocument/2006/relationships/hyperlink" Target="https://www.ppaonline.com.au/wp-content/uploads/2024/06/ACOP-Tier-2.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pharmacycouncil.org.au/education-provider/accreditation/pharmacist-education-programs/accredited-pharmacist-education-programs/" TargetMode="External"/><Relationship Id="rId28" Type="http://schemas.openxmlformats.org/officeDocument/2006/relationships/hyperlink" Target="https://www.health.gov.au/our-work/aged-care-on-site-pharmacist"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grants.gov.au/Go/Show?GoUuid=26e0ac8e-3203-47fc-9d6b-3dfc3d81b60e" TargetMode="External"/><Relationship Id="rId31" Type="http://schemas.openxmlformats.org/officeDocument/2006/relationships/hyperlink" Target="https://www.ppaonline.com.au/wp-content/uploads/2024/06/ACOP-Weekly-Timesheet-and-Activities-Summary-Templat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image" Target="media/image3.png"/><Relationship Id="rId27" Type="http://schemas.openxmlformats.org/officeDocument/2006/relationships/hyperlink" Target="https://www.health.gov.au/resources/publications/aged-care-on-site-pharmacist-measure-pharmacist-and-residential-aged-care-home-guide" TargetMode="External"/><Relationship Id="rId30" Type="http://schemas.openxmlformats.org/officeDocument/2006/relationships/hyperlink" Target="https://www.pharmacycouncil.org.au/resources/pharmacist-education-programs-standards/Indicative-Role-Description.pdf" TargetMode="External"/><Relationship Id="rId35"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1" ma:contentTypeDescription="Create a new document." ma:contentTypeScope="" ma:versionID="88aa01f07995322e4e085a031f03abd4">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0ab732e1bb992d06c8f4a2f367b278c0"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A75241-00E8-477C-8F3B-6E33E4CC5839}">
  <ds:schemaRefs>
    <ds:schemaRef ds:uri="http://purl.org/dc/elements/1.1/"/>
    <ds:schemaRef ds:uri="http://purl.org/dc/dcmitype/"/>
    <ds:schemaRef ds:uri="http://schemas.microsoft.com/office/infopath/2007/PartnerControls"/>
    <ds:schemaRef ds:uri="55f32057-c7d7-4cf2-a083-f930dcef3185"/>
    <ds:schemaRef ds:uri="http://purl.org/dc/terms/"/>
    <ds:schemaRef ds:uri="http://schemas.microsoft.com/office/2006/metadata/properties"/>
    <ds:schemaRef ds:uri="http://schemas.microsoft.com/office/2006/documentManagement/types"/>
    <ds:schemaRef ds:uri="31ed7be0-71df-4ef7-a44a-46c20e97f856"/>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932D3B2-7998-40A1-8F03-789AD560932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69B15528-1678-44F0-B24D-56D6AC959CCB}">
  <ds:schemaRefs>
    <ds:schemaRef ds:uri="http://schemas.microsoft.com/sharepoint/v3/contenttype/forms"/>
  </ds:schemaRefs>
</ds:datastoreItem>
</file>

<file path=customXml/itemProps4.xml><?xml version="1.0" encoding="utf-8"?>
<ds:datastoreItem xmlns:ds="http://schemas.openxmlformats.org/officeDocument/2006/customXml" ds:itemID="{10F8EBDA-4451-4143-83DC-C40EDF06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d7be0-71df-4ef7-a44a-46c20e97f856"/>
    <ds:schemaRef ds:uri="55f32057-c7d7-4cf2-a083-f930dcef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3504</Words>
  <Characters>19973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Tianna</dc:creator>
  <cp:lastModifiedBy>COSTIN, Siobhan</cp:lastModifiedBy>
  <cp:revision>2</cp:revision>
  <dcterms:created xsi:type="dcterms:W3CDTF">2025-04-15T04:07:00Z</dcterms:created>
  <dcterms:modified xsi:type="dcterms:W3CDTF">2025-04-15T04:07:00Z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0x010100A51386D899F9CA4298648C0791762DBC</vt:lpwstr>
  </property>
</Properties>
</file>