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251FE" w14:textId="22E104F3" w:rsidR="00751A23" w:rsidRPr="006249DC" w:rsidRDefault="000B2549" w:rsidP="005D4A3F">
      <w:pPr>
        <w:pStyle w:val="Title"/>
      </w:pPr>
      <w:r>
        <w:t>Aged Care Financial</w:t>
      </w:r>
      <w:r w:rsidR="002A124D">
        <w:t xml:space="preserve"> Report</w:t>
      </w:r>
    </w:p>
    <w:p w14:paraId="0CDC9141" w14:textId="05D14190" w:rsidR="00751A23" w:rsidRDefault="00624430" w:rsidP="006249DC">
      <w:pPr>
        <w:pStyle w:val="Subtitle"/>
      </w:pPr>
      <w:r>
        <w:t>User Guide and F</w:t>
      </w:r>
      <w:r w:rsidR="002A124D">
        <w:t>requently Asked Questions</w:t>
      </w:r>
    </w:p>
    <w:p w14:paraId="650A579B" w14:textId="77777777" w:rsidR="00B10E7A" w:rsidRDefault="00B10E7A" w:rsidP="00B10E7A"/>
    <w:p w14:paraId="7B005EC0" w14:textId="4F47002D" w:rsidR="00B10E7A" w:rsidRPr="006B5800" w:rsidRDefault="006B5800" w:rsidP="006B5800">
      <w:pPr>
        <w:pStyle w:val="Subtitle"/>
        <w:rPr>
          <w:sz w:val="40"/>
          <w:szCs w:val="40"/>
        </w:rPr>
        <w:sectPr w:rsidR="00B10E7A" w:rsidRPr="006B5800" w:rsidSect="00627385">
          <w:headerReference w:type="default" r:id="rId11"/>
          <w:footerReference w:type="even" r:id="rId12"/>
          <w:footerReference w:type="default" r:id="rId13"/>
          <w:headerReference w:type="first" r:id="rId14"/>
          <w:footerReference w:type="first" r:id="rId15"/>
          <w:type w:val="continuous"/>
          <w:pgSz w:w="11906" w:h="16838"/>
          <w:pgMar w:top="8505" w:right="1418" w:bottom="1418" w:left="1418" w:header="850" w:footer="709" w:gutter="0"/>
          <w:cols w:space="708"/>
          <w:titlePg/>
          <w:docGrid w:linePitch="360"/>
        </w:sectPr>
      </w:pPr>
      <w:r>
        <w:rPr>
          <w:sz w:val="40"/>
          <w:szCs w:val="40"/>
        </w:rPr>
        <w:t>(</w:t>
      </w:r>
      <w:r w:rsidR="00FF7DF7" w:rsidRPr="006B5800">
        <w:rPr>
          <w:sz w:val="40"/>
          <w:szCs w:val="40"/>
        </w:rPr>
        <w:t>2024-25</w:t>
      </w:r>
      <w:r w:rsidR="00B10E7A" w:rsidRPr="006B5800">
        <w:rPr>
          <w:sz w:val="40"/>
          <w:szCs w:val="40"/>
        </w:rPr>
        <w:t xml:space="preserve"> Financial Year</w:t>
      </w:r>
      <w:r>
        <w:rPr>
          <w:sz w:val="40"/>
          <w:szCs w:val="40"/>
        </w:rPr>
        <w:t>)</w:t>
      </w:r>
      <w:r w:rsidR="00B10E7A" w:rsidRPr="006B5800">
        <w:rPr>
          <w:sz w:val="40"/>
          <w:szCs w:val="40"/>
        </w:rPr>
        <w:t xml:space="preserve"> </w:t>
      </w:r>
    </w:p>
    <w:p w14:paraId="6D940025" w14:textId="525C61F4" w:rsidR="00B42F8F" w:rsidRDefault="00513486">
      <w:pPr>
        <w:pStyle w:val="TOC1"/>
        <w:rPr>
          <w:rFonts w:asciiTheme="minorHAnsi" w:eastAsiaTheme="minorEastAsia" w:hAnsiTheme="minorHAnsi" w:cstheme="minorBidi"/>
          <w:b w:val="0"/>
          <w:bCs w:val="0"/>
          <w:noProof/>
          <w:color w:val="auto"/>
          <w:kern w:val="2"/>
          <w:szCs w:val="24"/>
          <w:lang w:eastAsia="en-AU"/>
          <w14:ligatures w14:val="standardContextual"/>
        </w:rPr>
      </w:pPr>
      <w:r>
        <w:lastRenderedPageBreak/>
        <w:fldChar w:fldCharType="begin"/>
      </w:r>
      <w:r>
        <w:instrText xml:space="preserve"> TOC \o "1-1" \h \z \u </w:instrText>
      </w:r>
      <w:r>
        <w:fldChar w:fldCharType="separate"/>
      </w:r>
      <w:hyperlink w:anchor="_Toc192694867" w:history="1">
        <w:r w:rsidR="00B42F8F" w:rsidRPr="000E37E7">
          <w:rPr>
            <w:rStyle w:val="Hyperlink"/>
            <w:rFonts w:eastAsia="Calibri Light"/>
            <w:noProof/>
          </w:rPr>
          <w:t>1.</w:t>
        </w:r>
        <w:r w:rsidR="00B42F8F">
          <w:rPr>
            <w:rFonts w:asciiTheme="minorHAnsi" w:eastAsiaTheme="minorEastAsia" w:hAnsiTheme="minorHAnsi" w:cstheme="minorBidi"/>
            <w:b w:val="0"/>
            <w:bCs w:val="0"/>
            <w:noProof/>
            <w:color w:val="auto"/>
            <w:kern w:val="2"/>
            <w:szCs w:val="24"/>
            <w:lang w:eastAsia="en-AU"/>
            <w14:ligatures w14:val="standardContextual"/>
          </w:rPr>
          <w:tab/>
        </w:r>
        <w:r w:rsidR="00B42F8F" w:rsidRPr="000E37E7">
          <w:rPr>
            <w:rStyle w:val="Hyperlink"/>
            <w:rFonts w:eastAsia="Calibri Light"/>
            <w:noProof/>
          </w:rPr>
          <w:t>General</w:t>
        </w:r>
        <w:r w:rsidR="00B42F8F">
          <w:rPr>
            <w:noProof/>
            <w:webHidden/>
          </w:rPr>
          <w:tab/>
        </w:r>
        <w:r w:rsidR="00B42F8F">
          <w:rPr>
            <w:noProof/>
            <w:webHidden/>
          </w:rPr>
          <w:fldChar w:fldCharType="begin"/>
        </w:r>
        <w:r w:rsidR="00B42F8F">
          <w:rPr>
            <w:noProof/>
            <w:webHidden/>
          </w:rPr>
          <w:instrText xml:space="preserve"> PAGEREF _Toc192694867 \h </w:instrText>
        </w:r>
        <w:r w:rsidR="00B42F8F">
          <w:rPr>
            <w:noProof/>
            <w:webHidden/>
          </w:rPr>
        </w:r>
        <w:r w:rsidR="00B42F8F">
          <w:rPr>
            <w:noProof/>
            <w:webHidden/>
          </w:rPr>
          <w:fldChar w:fldCharType="separate"/>
        </w:r>
        <w:r w:rsidR="00250BBC">
          <w:rPr>
            <w:noProof/>
            <w:webHidden/>
          </w:rPr>
          <w:t>3</w:t>
        </w:r>
        <w:r w:rsidR="00B42F8F">
          <w:rPr>
            <w:noProof/>
            <w:webHidden/>
          </w:rPr>
          <w:fldChar w:fldCharType="end"/>
        </w:r>
      </w:hyperlink>
    </w:p>
    <w:p w14:paraId="61D66EDF" w14:textId="44D5732C" w:rsidR="00B42F8F" w:rsidRDefault="00B42F8F">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2694868" w:history="1">
        <w:r w:rsidRPr="000E37E7">
          <w:rPr>
            <w:rStyle w:val="Hyperlink"/>
            <w:noProof/>
            <w:lang w:val="en-US"/>
          </w:rPr>
          <w:t>2.</w:t>
        </w:r>
        <w:r>
          <w:rPr>
            <w:rFonts w:asciiTheme="minorHAnsi" w:eastAsiaTheme="minorEastAsia" w:hAnsiTheme="minorHAnsi" w:cstheme="minorBidi"/>
            <w:b w:val="0"/>
            <w:bCs w:val="0"/>
            <w:noProof/>
            <w:color w:val="auto"/>
            <w:kern w:val="2"/>
            <w:szCs w:val="24"/>
            <w:lang w:eastAsia="en-AU"/>
            <w14:ligatures w14:val="standardContextual"/>
          </w:rPr>
          <w:tab/>
        </w:r>
        <w:r w:rsidRPr="000E37E7">
          <w:rPr>
            <w:rStyle w:val="Hyperlink"/>
            <w:rFonts w:eastAsia="Calibri Light"/>
            <w:noProof/>
          </w:rPr>
          <w:t>Changes to the 2024-25 ACFR</w:t>
        </w:r>
        <w:r>
          <w:rPr>
            <w:noProof/>
            <w:webHidden/>
          </w:rPr>
          <w:tab/>
        </w:r>
        <w:r>
          <w:rPr>
            <w:noProof/>
            <w:webHidden/>
          </w:rPr>
          <w:fldChar w:fldCharType="begin"/>
        </w:r>
        <w:r>
          <w:rPr>
            <w:noProof/>
            <w:webHidden/>
          </w:rPr>
          <w:instrText xml:space="preserve"> PAGEREF _Toc192694868 \h </w:instrText>
        </w:r>
        <w:r>
          <w:rPr>
            <w:noProof/>
            <w:webHidden/>
          </w:rPr>
        </w:r>
        <w:r>
          <w:rPr>
            <w:noProof/>
            <w:webHidden/>
          </w:rPr>
          <w:fldChar w:fldCharType="separate"/>
        </w:r>
        <w:r w:rsidR="00250BBC">
          <w:rPr>
            <w:noProof/>
            <w:webHidden/>
          </w:rPr>
          <w:t>8</w:t>
        </w:r>
        <w:r>
          <w:rPr>
            <w:noProof/>
            <w:webHidden/>
          </w:rPr>
          <w:fldChar w:fldCharType="end"/>
        </w:r>
      </w:hyperlink>
    </w:p>
    <w:p w14:paraId="7A683C59" w14:textId="4047A1EE" w:rsidR="00B42F8F" w:rsidRDefault="00B42F8F">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2694869" w:history="1">
        <w:r w:rsidRPr="000E37E7">
          <w:rPr>
            <w:rStyle w:val="Hyperlink"/>
            <w:rFonts w:eastAsia="Calibri Light"/>
            <w:noProof/>
          </w:rPr>
          <w:t>3.</w:t>
        </w:r>
        <w:r>
          <w:rPr>
            <w:rFonts w:asciiTheme="minorHAnsi" w:eastAsiaTheme="minorEastAsia" w:hAnsiTheme="minorHAnsi" w:cstheme="minorBidi"/>
            <w:b w:val="0"/>
            <w:bCs w:val="0"/>
            <w:noProof/>
            <w:color w:val="auto"/>
            <w:kern w:val="2"/>
            <w:szCs w:val="24"/>
            <w:lang w:eastAsia="en-AU"/>
            <w14:ligatures w14:val="standardContextual"/>
          </w:rPr>
          <w:tab/>
        </w:r>
        <w:r w:rsidRPr="000E37E7">
          <w:rPr>
            <w:rStyle w:val="Hyperlink"/>
            <w:rFonts w:eastAsia="Calibri Light"/>
            <w:noProof/>
          </w:rPr>
          <w:t>Consolidated Segment Report</w:t>
        </w:r>
        <w:r>
          <w:rPr>
            <w:noProof/>
            <w:webHidden/>
          </w:rPr>
          <w:tab/>
        </w:r>
        <w:r>
          <w:rPr>
            <w:noProof/>
            <w:webHidden/>
          </w:rPr>
          <w:fldChar w:fldCharType="begin"/>
        </w:r>
        <w:r>
          <w:rPr>
            <w:noProof/>
            <w:webHidden/>
          </w:rPr>
          <w:instrText xml:space="preserve"> PAGEREF _Toc192694869 \h </w:instrText>
        </w:r>
        <w:r>
          <w:rPr>
            <w:noProof/>
            <w:webHidden/>
          </w:rPr>
        </w:r>
        <w:r>
          <w:rPr>
            <w:noProof/>
            <w:webHidden/>
          </w:rPr>
          <w:fldChar w:fldCharType="separate"/>
        </w:r>
        <w:r w:rsidR="00250BBC">
          <w:rPr>
            <w:noProof/>
            <w:webHidden/>
          </w:rPr>
          <w:t>10</w:t>
        </w:r>
        <w:r>
          <w:rPr>
            <w:noProof/>
            <w:webHidden/>
          </w:rPr>
          <w:fldChar w:fldCharType="end"/>
        </w:r>
      </w:hyperlink>
    </w:p>
    <w:p w14:paraId="0BE00C49" w14:textId="29E62793" w:rsidR="00B42F8F" w:rsidRDefault="00B42F8F">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2694870" w:history="1">
        <w:r w:rsidRPr="000E37E7">
          <w:rPr>
            <w:rStyle w:val="Hyperlink"/>
            <w:rFonts w:eastAsia="Calibri Light"/>
            <w:noProof/>
          </w:rPr>
          <w:t>4.</w:t>
        </w:r>
        <w:r>
          <w:rPr>
            <w:rFonts w:asciiTheme="minorHAnsi" w:eastAsiaTheme="minorEastAsia" w:hAnsiTheme="minorHAnsi" w:cstheme="minorBidi"/>
            <w:b w:val="0"/>
            <w:bCs w:val="0"/>
            <w:noProof/>
            <w:color w:val="auto"/>
            <w:kern w:val="2"/>
            <w:szCs w:val="24"/>
            <w:lang w:eastAsia="en-AU"/>
            <w14:ligatures w14:val="standardContextual"/>
          </w:rPr>
          <w:tab/>
        </w:r>
        <w:r w:rsidRPr="000E37E7">
          <w:rPr>
            <w:rStyle w:val="Hyperlink"/>
            <w:rFonts w:eastAsia="Calibri Light"/>
            <w:noProof/>
          </w:rPr>
          <w:t>Approved Provider Reporting</w:t>
        </w:r>
        <w:r>
          <w:rPr>
            <w:noProof/>
            <w:webHidden/>
          </w:rPr>
          <w:tab/>
        </w:r>
        <w:r>
          <w:rPr>
            <w:noProof/>
            <w:webHidden/>
          </w:rPr>
          <w:fldChar w:fldCharType="begin"/>
        </w:r>
        <w:r>
          <w:rPr>
            <w:noProof/>
            <w:webHidden/>
          </w:rPr>
          <w:instrText xml:space="preserve"> PAGEREF _Toc192694870 \h </w:instrText>
        </w:r>
        <w:r>
          <w:rPr>
            <w:noProof/>
            <w:webHidden/>
          </w:rPr>
        </w:r>
        <w:r>
          <w:rPr>
            <w:noProof/>
            <w:webHidden/>
          </w:rPr>
          <w:fldChar w:fldCharType="separate"/>
        </w:r>
        <w:r w:rsidR="00250BBC">
          <w:rPr>
            <w:noProof/>
            <w:webHidden/>
          </w:rPr>
          <w:t>13</w:t>
        </w:r>
        <w:r>
          <w:rPr>
            <w:noProof/>
            <w:webHidden/>
          </w:rPr>
          <w:fldChar w:fldCharType="end"/>
        </w:r>
      </w:hyperlink>
    </w:p>
    <w:p w14:paraId="2D43FA01" w14:textId="0C8DC4DF" w:rsidR="00B42F8F" w:rsidRDefault="00B42F8F">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2694875" w:history="1">
        <w:r w:rsidRPr="000E37E7">
          <w:rPr>
            <w:rStyle w:val="Hyperlink"/>
            <w:rFonts w:eastAsia="Calibri Light"/>
            <w:noProof/>
          </w:rPr>
          <w:t>5.</w:t>
        </w:r>
        <w:r>
          <w:rPr>
            <w:rFonts w:asciiTheme="minorHAnsi" w:eastAsiaTheme="minorEastAsia" w:hAnsiTheme="minorHAnsi" w:cstheme="minorBidi"/>
            <w:b w:val="0"/>
            <w:bCs w:val="0"/>
            <w:noProof/>
            <w:color w:val="auto"/>
            <w:kern w:val="2"/>
            <w:szCs w:val="24"/>
            <w:lang w:eastAsia="en-AU"/>
            <w14:ligatures w14:val="standardContextual"/>
          </w:rPr>
          <w:tab/>
        </w:r>
        <w:r w:rsidRPr="000E37E7">
          <w:rPr>
            <w:rStyle w:val="Hyperlink"/>
            <w:rFonts w:eastAsia="Calibri Light"/>
            <w:noProof/>
          </w:rPr>
          <w:t>General Purpose Financial Statement</w:t>
        </w:r>
        <w:r>
          <w:rPr>
            <w:noProof/>
            <w:webHidden/>
          </w:rPr>
          <w:tab/>
        </w:r>
        <w:r>
          <w:rPr>
            <w:noProof/>
            <w:webHidden/>
          </w:rPr>
          <w:fldChar w:fldCharType="begin"/>
        </w:r>
        <w:r>
          <w:rPr>
            <w:noProof/>
            <w:webHidden/>
          </w:rPr>
          <w:instrText xml:space="preserve"> PAGEREF _Toc192694875 \h </w:instrText>
        </w:r>
        <w:r>
          <w:rPr>
            <w:noProof/>
            <w:webHidden/>
          </w:rPr>
        </w:r>
        <w:r>
          <w:rPr>
            <w:noProof/>
            <w:webHidden/>
          </w:rPr>
          <w:fldChar w:fldCharType="separate"/>
        </w:r>
        <w:r w:rsidR="00250BBC">
          <w:rPr>
            <w:noProof/>
            <w:webHidden/>
          </w:rPr>
          <w:t>16</w:t>
        </w:r>
        <w:r>
          <w:rPr>
            <w:noProof/>
            <w:webHidden/>
          </w:rPr>
          <w:fldChar w:fldCharType="end"/>
        </w:r>
      </w:hyperlink>
    </w:p>
    <w:p w14:paraId="23DAB5A8" w14:textId="174E34F1" w:rsidR="00B42F8F" w:rsidRDefault="00B42F8F">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2694876" w:history="1">
        <w:r w:rsidRPr="000E37E7">
          <w:rPr>
            <w:rStyle w:val="Hyperlink"/>
            <w:rFonts w:eastAsia="Calibri Light"/>
            <w:noProof/>
          </w:rPr>
          <w:t>6.</w:t>
        </w:r>
        <w:r>
          <w:rPr>
            <w:rFonts w:asciiTheme="minorHAnsi" w:eastAsiaTheme="minorEastAsia" w:hAnsiTheme="minorHAnsi" w:cstheme="minorBidi"/>
            <w:b w:val="0"/>
            <w:bCs w:val="0"/>
            <w:noProof/>
            <w:color w:val="auto"/>
            <w:kern w:val="2"/>
            <w:szCs w:val="24"/>
            <w:lang w:eastAsia="en-AU"/>
            <w14:ligatures w14:val="standardContextual"/>
          </w:rPr>
          <w:tab/>
        </w:r>
        <w:r w:rsidRPr="000E37E7">
          <w:rPr>
            <w:rStyle w:val="Hyperlink"/>
            <w:rFonts w:eastAsia="Calibri Light"/>
            <w:noProof/>
          </w:rPr>
          <w:t>Residential Aged Care Financials</w:t>
        </w:r>
        <w:r>
          <w:rPr>
            <w:noProof/>
            <w:webHidden/>
          </w:rPr>
          <w:tab/>
        </w:r>
        <w:r>
          <w:rPr>
            <w:noProof/>
            <w:webHidden/>
          </w:rPr>
          <w:fldChar w:fldCharType="begin"/>
        </w:r>
        <w:r>
          <w:rPr>
            <w:noProof/>
            <w:webHidden/>
          </w:rPr>
          <w:instrText xml:space="preserve"> PAGEREF _Toc192694876 \h </w:instrText>
        </w:r>
        <w:r>
          <w:rPr>
            <w:noProof/>
            <w:webHidden/>
          </w:rPr>
        </w:r>
        <w:r>
          <w:rPr>
            <w:noProof/>
            <w:webHidden/>
          </w:rPr>
          <w:fldChar w:fldCharType="separate"/>
        </w:r>
        <w:r w:rsidR="00250BBC">
          <w:rPr>
            <w:noProof/>
            <w:webHidden/>
          </w:rPr>
          <w:t>19</w:t>
        </w:r>
        <w:r>
          <w:rPr>
            <w:noProof/>
            <w:webHidden/>
          </w:rPr>
          <w:fldChar w:fldCharType="end"/>
        </w:r>
      </w:hyperlink>
    </w:p>
    <w:p w14:paraId="1877B7D7" w14:textId="13383593" w:rsidR="00B42F8F" w:rsidRDefault="00B42F8F">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2694877" w:history="1">
        <w:r w:rsidRPr="000E37E7">
          <w:rPr>
            <w:rStyle w:val="Hyperlink"/>
            <w:rFonts w:eastAsia="Calibri Light"/>
            <w:noProof/>
          </w:rPr>
          <w:t>7.</w:t>
        </w:r>
        <w:r>
          <w:rPr>
            <w:rFonts w:asciiTheme="minorHAnsi" w:eastAsiaTheme="minorEastAsia" w:hAnsiTheme="minorHAnsi" w:cstheme="minorBidi"/>
            <w:b w:val="0"/>
            <w:bCs w:val="0"/>
            <w:noProof/>
            <w:color w:val="auto"/>
            <w:kern w:val="2"/>
            <w:szCs w:val="24"/>
            <w:lang w:eastAsia="en-AU"/>
            <w14:ligatures w14:val="standardContextual"/>
          </w:rPr>
          <w:tab/>
        </w:r>
        <w:r w:rsidRPr="000E37E7">
          <w:rPr>
            <w:rStyle w:val="Hyperlink"/>
            <w:rFonts w:eastAsia="Calibri Light"/>
            <w:noProof/>
          </w:rPr>
          <w:t>Short-Term Restorative Care Financials</w:t>
        </w:r>
        <w:r>
          <w:rPr>
            <w:noProof/>
            <w:webHidden/>
          </w:rPr>
          <w:tab/>
        </w:r>
        <w:r>
          <w:rPr>
            <w:noProof/>
            <w:webHidden/>
          </w:rPr>
          <w:fldChar w:fldCharType="begin"/>
        </w:r>
        <w:r>
          <w:rPr>
            <w:noProof/>
            <w:webHidden/>
          </w:rPr>
          <w:instrText xml:space="preserve"> PAGEREF _Toc192694877 \h </w:instrText>
        </w:r>
        <w:r>
          <w:rPr>
            <w:noProof/>
            <w:webHidden/>
          </w:rPr>
        </w:r>
        <w:r>
          <w:rPr>
            <w:noProof/>
            <w:webHidden/>
          </w:rPr>
          <w:fldChar w:fldCharType="separate"/>
        </w:r>
        <w:r w:rsidR="00250BBC">
          <w:rPr>
            <w:noProof/>
            <w:webHidden/>
          </w:rPr>
          <w:t>25</w:t>
        </w:r>
        <w:r>
          <w:rPr>
            <w:noProof/>
            <w:webHidden/>
          </w:rPr>
          <w:fldChar w:fldCharType="end"/>
        </w:r>
      </w:hyperlink>
    </w:p>
    <w:p w14:paraId="43D4635C" w14:textId="41F51E07" w:rsidR="00B42F8F" w:rsidRDefault="00B42F8F">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2694878" w:history="1">
        <w:r w:rsidRPr="000E37E7">
          <w:rPr>
            <w:rStyle w:val="Hyperlink"/>
            <w:rFonts w:eastAsia="Calibri Light"/>
            <w:noProof/>
          </w:rPr>
          <w:t>8.</w:t>
        </w:r>
        <w:r>
          <w:rPr>
            <w:rFonts w:asciiTheme="minorHAnsi" w:eastAsiaTheme="minorEastAsia" w:hAnsiTheme="minorHAnsi" w:cstheme="minorBidi"/>
            <w:b w:val="0"/>
            <w:bCs w:val="0"/>
            <w:noProof/>
            <w:color w:val="auto"/>
            <w:kern w:val="2"/>
            <w:szCs w:val="24"/>
            <w:lang w:eastAsia="en-AU"/>
            <w14:ligatures w14:val="standardContextual"/>
          </w:rPr>
          <w:tab/>
        </w:r>
        <w:r w:rsidRPr="000E37E7">
          <w:rPr>
            <w:rStyle w:val="Hyperlink"/>
            <w:rFonts w:eastAsia="Calibri Light"/>
            <w:noProof/>
          </w:rPr>
          <w:t>Home Care Financials</w:t>
        </w:r>
        <w:r>
          <w:rPr>
            <w:noProof/>
            <w:webHidden/>
          </w:rPr>
          <w:tab/>
        </w:r>
        <w:r>
          <w:rPr>
            <w:noProof/>
            <w:webHidden/>
          </w:rPr>
          <w:fldChar w:fldCharType="begin"/>
        </w:r>
        <w:r>
          <w:rPr>
            <w:noProof/>
            <w:webHidden/>
          </w:rPr>
          <w:instrText xml:space="preserve"> PAGEREF _Toc192694878 \h </w:instrText>
        </w:r>
        <w:r>
          <w:rPr>
            <w:noProof/>
            <w:webHidden/>
          </w:rPr>
        </w:r>
        <w:r>
          <w:rPr>
            <w:noProof/>
            <w:webHidden/>
          </w:rPr>
          <w:fldChar w:fldCharType="separate"/>
        </w:r>
        <w:r w:rsidR="00250BBC">
          <w:rPr>
            <w:noProof/>
            <w:webHidden/>
          </w:rPr>
          <w:t>26</w:t>
        </w:r>
        <w:r>
          <w:rPr>
            <w:noProof/>
            <w:webHidden/>
          </w:rPr>
          <w:fldChar w:fldCharType="end"/>
        </w:r>
      </w:hyperlink>
    </w:p>
    <w:p w14:paraId="45F4995D" w14:textId="2259981A" w:rsidR="00B42F8F" w:rsidRDefault="00B42F8F">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2694879" w:history="1">
        <w:r w:rsidRPr="000E37E7">
          <w:rPr>
            <w:rStyle w:val="Hyperlink"/>
            <w:rFonts w:eastAsia="Calibri Light"/>
            <w:noProof/>
          </w:rPr>
          <w:t>9.</w:t>
        </w:r>
        <w:r>
          <w:rPr>
            <w:rFonts w:asciiTheme="minorHAnsi" w:eastAsiaTheme="minorEastAsia" w:hAnsiTheme="minorHAnsi" w:cstheme="minorBidi"/>
            <w:b w:val="0"/>
            <w:bCs w:val="0"/>
            <w:noProof/>
            <w:color w:val="auto"/>
            <w:kern w:val="2"/>
            <w:szCs w:val="24"/>
            <w:lang w:eastAsia="en-AU"/>
            <w14:ligatures w14:val="standardContextual"/>
          </w:rPr>
          <w:tab/>
        </w:r>
        <w:r w:rsidRPr="000E37E7">
          <w:rPr>
            <w:rStyle w:val="Hyperlink"/>
            <w:rFonts w:eastAsia="Calibri Light"/>
            <w:noProof/>
          </w:rPr>
          <w:t>Annual Prudential Compliance Statement</w:t>
        </w:r>
        <w:r>
          <w:rPr>
            <w:noProof/>
            <w:webHidden/>
          </w:rPr>
          <w:tab/>
        </w:r>
        <w:r>
          <w:rPr>
            <w:noProof/>
            <w:webHidden/>
          </w:rPr>
          <w:fldChar w:fldCharType="begin"/>
        </w:r>
        <w:r>
          <w:rPr>
            <w:noProof/>
            <w:webHidden/>
          </w:rPr>
          <w:instrText xml:space="preserve"> PAGEREF _Toc192694879 \h </w:instrText>
        </w:r>
        <w:r>
          <w:rPr>
            <w:noProof/>
            <w:webHidden/>
          </w:rPr>
        </w:r>
        <w:r>
          <w:rPr>
            <w:noProof/>
            <w:webHidden/>
          </w:rPr>
          <w:fldChar w:fldCharType="separate"/>
        </w:r>
        <w:r w:rsidR="00250BBC">
          <w:rPr>
            <w:noProof/>
            <w:webHidden/>
          </w:rPr>
          <w:t>29</w:t>
        </w:r>
        <w:r>
          <w:rPr>
            <w:noProof/>
            <w:webHidden/>
          </w:rPr>
          <w:fldChar w:fldCharType="end"/>
        </w:r>
      </w:hyperlink>
    </w:p>
    <w:p w14:paraId="53AC4F90" w14:textId="7057115D" w:rsidR="00B42F8F" w:rsidRDefault="00B42F8F">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2694880" w:history="1">
        <w:r w:rsidRPr="000E37E7">
          <w:rPr>
            <w:rStyle w:val="Hyperlink"/>
            <w:rFonts w:eastAsia="Calibri Light"/>
            <w:noProof/>
          </w:rPr>
          <w:t>10.</w:t>
        </w:r>
        <w:r>
          <w:rPr>
            <w:rFonts w:asciiTheme="minorHAnsi" w:eastAsiaTheme="minorEastAsia" w:hAnsiTheme="minorHAnsi" w:cstheme="minorBidi"/>
            <w:b w:val="0"/>
            <w:bCs w:val="0"/>
            <w:noProof/>
            <w:color w:val="auto"/>
            <w:kern w:val="2"/>
            <w:szCs w:val="24"/>
            <w:lang w:eastAsia="en-AU"/>
            <w14:ligatures w14:val="standardContextual"/>
          </w:rPr>
          <w:tab/>
        </w:r>
        <w:r w:rsidRPr="000E37E7">
          <w:rPr>
            <w:rStyle w:val="Hyperlink"/>
            <w:rFonts w:eastAsia="Calibri Light"/>
            <w:noProof/>
          </w:rPr>
          <w:t>Survey of Aged Care Homes</w:t>
        </w:r>
        <w:r>
          <w:rPr>
            <w:noProof/>
            <w:webHidden/>
          </w:rPr>
          <w:tab/>
        </w:r>
        <w:r>
          <w:rPr>
            <w:noProof/>
            <w:webHidden/>
          </w:rPr>
          <w:fldChar w:fldCharType="begin"/>
        </w:r>
        <w:r>
          <w:rPr>
            <w:noProof/>
            <w:webHidden/>
          </w:rPr>
          <w:instrText xml:space="preserve"> PAGEREF _Toc192694880 \h </w:instrText>
        </w:r>
        <w:r>
          <w:rPr>
            <w:noProof/>
            <w:webHidden/>
          </w:rPr>
        </w:r>
        <w:r>
          <w:rPr>
            <w:noProof/>
            <w:webHidden/>
          </w:rPr>
          <w:fldChar w:fldCharType="separate"/>
        </w:r>
        <w:r w:rsidR="00250BBC">
          <w:rPr>
            <w:noProof/>
            <w:webHidden/>
          </w:rPr>
          <w:t>32</w:t>
        </w:r>
        <w:r>
          <w:rPr>
            <w:noProof/>
            <w:webHidden/>
          </w:rPr>
          <w:fldChar w:fldCharType="end"/>
        </w:r>
      </w:hyperlink>
    </w:p>
    <w:p w14:paraId="14752BCB" w14:textId="1CE93879" w:rsidR="00B42F8F" w:rsidRDefault="00B42F8F">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2694881" w:history="1">
        <w:r w:rsidRPr="000E37E7">
          <w:rPr>
            <w:rStyle w:val="Hyperlink"/>
            <w:rFonts w:eastAsia="Calibri Light"/>
            <w:noProof/>
          </w:rPr>
          <w:t>11.</w:t>
        </w:r>
        <w:r>
          <w:rPr>
            <w:rFonts w:asciiTheme="minorHAnsi" w:eastAsiaTheme="minorEastAsia" w:hAnsiTheme="minorHAnsi" w:cstheme="minorBidi"/>
            <w:b w:val="0"/>
            <w:bCs w:val="0"/>
            <w:noProof/>
            <w:color w:val="auto"/>
            <w:kern w:val="2"/>
            <w:szCs w:val="24"/>
            <w:lang w:eastAsia="en-AU"/>
            <w14:ligatures w14:val="standardContextual"/>
          </w:rPr>
          <w:tab/>
        </w:r>
        <w:r w:rsidRPr="000E37E7">
          <w:rPr>
            <w:rStyle w:val="Hyperlink"/>
            <w:rFonts w:eastAsia="Calibri Light"/>
            <w:noProof/>
          </w:rPr>
          <w:t xml:space="preserve">Building activity by residential aged care service </w:t>
        </w:r>
        <w:r>
          <w:rPr>
            <w:noProof/>
            <w:webHidden/>
          </w:rPr>
          <w:tab/>
        </w:r>
        <w:r>
          <w:rPr>
            <w:noProof/>
            <w:webHidden/>
          </w:rPr>
          <w:fldChar w:fldCharType="begin"/>
        </w:r>
        <w:r>
          <w:rPr>
            <w:noProof/>
            <w:webHidden/>
          </w:rPr>
          <w:instrText xml:space="preserve"> PAGEREF _Toc192694881 \h </w:instrText>
        </w:r>
        <w:r>
          <w:rPr>
            <w:noProof/>
            <w:webHidden/>
          </w:rPr>
        </w:r>
        <w:r>
          <w:rPr>
            <w:noProof/>
            <w:webHidden/>
          </w:rPr>
          <w:fldChar w:fldCharType="separate"/>
        </w:r>
        <w:r w:rsidR="00250BBC">
          <w:rPr>
            <w:noProof/>
            <w:webHidden/>
          </w:rPr>
          <w:t>34</w:t>
        </w:r>
        <w:r>
          <w:rPr>
            <w:noProof/>
            <w:webHidden/>
          </w:rPr>
          <w:fldChar w:fldCharType="end"/>
        </w:r>
      </w:hyperlink>
    </w:p>
    <w:p w14:paraId="499898D4" w14:textId="08704DC3" w:rsidR="00730CBA" w:rsidRDefault="00513486" w:rsidP="00955ADA">
      <w:r>
        <w:rPr>
          <w:szCs w:val="20"/>
        </w:rPr>
        <w:fldChar w:fldCharType="end"/>
      </w:r>
    </w:p>
    <w:p w14:paraId="147EEEF8" w14:textId="77777777" w:rsidR="00751391" w:rsidRDefault="00751391" w:rsidP="00730CBA"/>
    <w:p w14:paraId="09E22251" w14:textId="35EDA79C" w:rsidR="005238DD" w:rsidRDefault="005238DD" w:rsidP="005238DD">
      <w:pPr>
        <w:tabs>
          <w:tab w:val="left" w:pos="7676"/>
        </w:tabs>
      </w:pPr>
      <w:r>
        <w:tab/>
      </w:r>
    </w:p>
    <w:p w14:paraId="2E1A9ECB" w14:textId="77777777" w:rsidR="005238DD" w:rsidRPr="005238DD" w:rsidRDefault="005238DD" w:rsidP="005238DD">
      <w:pPr>
        <w:tabs>
          <w:tab w:val="left" w:pos="7676"/>
        </w:tabs>
        <w:sectPr w:rsidR="005238DD" w:rsidRPr="005238DD" w:rsidSect="00A86E33">
          <w:headerReference w:type="default" r:id="rId16"/>
          <w:footerReference w:type="even" r:id="rId17"/>
          <w:footerReference w:type="default" r:id="rId18"/>
          <w:pgSz w:w="11906" w:h="16838"/>
          <w:pgMar w:top="1701" w:right="1418" w:bottom="1418" w:left="1418" w:header="709" w:footer="709" w:gutter="0"/>
          <w:cols w:space="708"/>
          <w:docGrid w:linePitch="360"/>
        </w:sectPr>
      </w:pPr>
      <w:r>
        <w:tab/>
      </w:r>
    </w:p>
    <w:p w14:paraId="3971EB72" w14:textId="09037CA0" w:rsidR="002A124D" w:rsidRPr="004766D9" w:rsidRDefault="008803DE" w:rsidP="00B45FFD">
      <w:pPr>
        <w:pStyle w:val="Heading1"/>
        <w:numPr>
          <w:ilvl w:val="0"/>
          <w:numId w:val="38"/>
        </w:numPr>
        <w:tabs>
          <w:tab w:val="left" w:pos="709"/>
        </w:tabs>
        <w:rPr>
          <w:rFonts w:eastAsia="Calibri Light"/>
        </w:rPr>
      </w:pPr>
      <w:bookmarkStart w:id="0" w:name="_Toc144458487"/>
      <w:bookmarkStart w:id="1" w:name="_Toc184198003"/>
      <w:bookmarkStart w:id="2" w:name="_Toc192694867"/>
      <w:r w:rsidRPr="00CD13E7">
        <w:rPr>
          <w:rFonts w:eastAsia="Calibri Light"/>
        </w:rPr>
        <w:lastRenderedPageBreak/>
        <w:t>General</w:t>
      </w:r>
      <w:bookmarkEnd w:id="0"/>
      <w:bookmarkEnd w:id="1"/>
      <w:bookmarkEnd w:id="2"/>
    </w:p>
    <w:p w14:paraId="4696761F" w14:textId="572625EF" w:rsidR="002514B0" w:rsidRPr="0066768B" w:rsidRDefault="00785211" w:rsidP="0066768B">
      <w:pPr>
        <w:pStyle w:val="Heading3"/>
        <w:spacing w:before="240" w:after="240"/>
        <w:ind w:left="0" w:firstLine="0"/>
        <w:rPr>
          <w:color w:val="1F848B" w:themeColor="accent1" w:themeShade="BF"/>
          <w:sz w:val="28"/>
        </w:rPr>
      </w:pPr>
      <w:r w:rsidRPr="0066768B">
        <w:rPr>
          <w:color w:val="1F848B" w:themeColor="accent1" w:themeShade="BF"/>
          <w:sz w:val="28"/>
        </w:rPr>
        <w:t>Purpose of this guide</w:t>
      </w:r>
    </w:p>
    <w:p w14:paraId="525EFA16" w14:textId="192DBECB" w:rsidR="00485E9E" w:rsidRDefault="000807AC" w:rsidP="00AB5B0C">
      <w:pPr>
        <w:rPr>
          <w:lang w:val="en-US"/>
        </w:rPr>
      </w:pPr>
      <w:r w:rsidRPr="00DF1525">
        <w:rPr>
          <w:lang w:val="en-US"/>
        </w:rPr>
        <w:t xml:space="preserve">This guide is designed to help approved providers (providers) of </w:t>
      </w:r>
      <w:r>
        <w:rPr>
          <w:lang w:val="en-US"/>
        </w:rPr>
        <w:t>r</w:t>
      </w:r>
      <w:r w:rsidRPr="00DF1525">
        <w:rPr>
          <w:lang w:val="en-US"/>
        </w:rPr>
        <w:t xml:space="preserve">esidential </w:t>
      </w:r>
      <w:r>
        <w:rPr>
          <w:lang w:val="en-US"/>
        </w:rPr>
        <w:t>a</w:t>
      </w:r>
      <w:r w:rsidRPr="00DF1525">
        <w:rPr>
          <w:lang w:val="en-US"/>
        </w:rPr>
        <w:t xml:space="preserve">ged </w:t>
      </w:r>
      <w:r>
        <w:rPr>
          <w:lang w:val="en-US"/>
        </w:rPr>
        <w:t>c</w:t>
      </w:r>
      <w:r w:rsidRPr="00DF1525">
        <w:rPr>
          <w:lang w:val="en-US"/>
        </w:rPr>
        <w:t>are,</w:t>
      </w:r>
      <w:r>
        <w:rPr>
          <w:lang w:val="en-US"/>
        </w:rPr>
        <w:t xml:space="preserve"> home care,</w:t>
      </w:r>
      <w:r w:rsidRPr="00DF1525">
        <w:rPr>
          <w:lang w:val="en-US"/>
        </w:rPr>
        <w:t xml:space="preserve"> </w:t>
      </w:r>
      <w:r>
        <w:rPr>
          <w:lang w:val="en-US"/>
        </w:rPr>
        <w:t>m</w:t>
      </w:r>
      <w:r w:rsidRPr="00DF1525">
        <w:rPr>
          <w:lang w:val="en-US"/>
        </w:rPr>
        <w:t>ulti-</w:t>
      </w:r>
      <w:r>
        <w:rPr>
          <w:lang w:val="en-US"/>
        </w:rPr>
        <w:t>pu</w:t>
      </w:r>
      <w:r w:rsidRPr="00DF1525">
        <w:rPr>
          <w:lang w:val="en-US"/>
        </w:rPr>
        <w:t xml:space="preserve">rpose </w:t>
      </w:r>
      <w:r>
        <w:rPr>
          <w:lang w:val="en-US"/>
        </w:rPr>
        <w:t>s</w:t>
      </w:r>
      <w:r w:rsidRPr="00DF1525">
        <w:rPr>
          <w:lang w:val="en-US"/>
        </w:rPr>
        <w:t>ervice</w:t>
      </w:r>
      <w:r>
        <w:rPr>
          <w:lang w:val="en-US"/>
        </w:rPr>
        <w:t>s</w:t>
      </w:r>
      <w:r w:rsidR="000C13AA">
        <w:rPr>
          <w:lang w:val="en-US"/>
        </w:rPr>
        <w:t xml:space="preserve"> (MPS)</w:t>
      </w:r>
      <w:r w:rsidRPr="00DF1525">
        <w:rPr>
          <w:lang w:val="en-US"/>
        </w:rPr>
        <w:t xml:space="preserve">, and </w:t>
      </w:r>
      <w:r>
        <w:rPr>
          <w:lang w:val="en-US"/>
        </w:rPr>
        <w:t>s</w:t>
      </w:r>
      <w:r w:rsidRPr="00DF1525">
        <w:rPr>
          <w:lang w:val="en-US"/>
        </w:rPr>
        <w:t>hort-</w:t>
      </w:r>
      <w:r>
        <w:rPr>
          <w:lang w:val="en-US"/>
        </w:rPr>
        <w:t>t</w:t>
      </w:r>
      <w:r w:rsidRPr="00DF1525">
        <w:rPr>
          <w:lang w:val="en-US"/>
        </w:rPr>
        <w:t xml:space="preserve">erm </w:t>
      </w:r>
      <w:r>
        <w:rPr>
          <w:lang w:val="en-US"/>
        </w:rPr>
        <w:t>r</w:t>
      </w:r>
      <w:r w:rsidRPr="00DF1525">
        <w:rPr>
          <w:lang w:val="en-US"/>
        </w:rPr>
        <w:t xml:space="preserve">estorative </w:t>
      </w:r>
      <w:r>
        <w:rPr>
          <w:lang w:val="en-US"/>
        </w:rPr>
        <w:t>c</w:t>
      </w:r>
      <w:r w:rsidRPr="00DF1525">
        <w:rPr>
          <w:lang w:val="en-US"/>
        </w:rPr>
        <w:t xml:space="preserve">are </w:t>
      </w:r>
      <w:r w:rsidR="000C13AA">
        <w:rPr>
          <w:lang w:val="en-US"/>
        </w:rPr>
        <w:t xml:space="preserve">(STRC) </w:t>
      </w:r>
      <w:r w:rsidRPr="00DF1525">
        <w:rPr>
          <w:lang w:val="en-US"/>
        </w:rPr>
        <w:t xml:space="preserve">complete </w:t>
      </w:r>
      <w:r>
        <w:rPr>
          <w:lang w:val="en-US"/>
        </w:rPr>
        <w:t>their</w:t>
      </w:r>
      <w:r w:rsidRPr="00DF1525">
        <w:rPr>
          <w:lang w:val="en-US"/>
        </w:rPr>
        <w:t xml:space="preserve"> Aged Care Financial Report (ACFR). </w:t>
      </w:r>
      <w:r w:rsidR="00485E9E">
        <w:rPr>
          <w:lang w:val="en-US"/>
        </w:rPr>
        <w:t xml:space="preserve">In the instance that there are inconsistencies between this guide and the ACFR portal, the portal should </w:t>
      </w:r>
      <w:r w:rsidR="00A54C01">
        <w:rPr>
          <w:lang w:val="en-US"/>
        </w:rPr>
        <w:t xml:space="preserve">be considered the source of truth. </w:t>
      </w:r>
    </w:p>
    <w:p w14:paraId="010895A0" w14:textId="03FFB2E0" w:rsidR="00F03F49" w:rsidRDefault="436D6DA3" w:rsidP="00AB5B0C">
      <w:pPr>
        <w:rPr>
          <w:lang w:val="en-US"/>
        </w:rPr>
      </w:pPr>
      <w:r w:rsidRPr="0F2430EF">
        <w:rPr>
          <w:rFonts w:eastAsia="Calibri Light"/>
          <w:lang w:val="en-US"/>
        </w:rPr>
        <w:t>F</w:t>
      </w:r>
      <w:r w:rsidR="00F03F49" w:rsidRPr="0F2430EF">
        <w:rPr>
          <w:rFonts w:eastAsia="Calibri Light"/>
          <w:lang w:val="en-US"/>
        </w:rPr>
        <w:t>requently</w:t>
      </w:r>
      <w:r w:rsidR="00F03F49">
        <w:rPr>
          <w:rFonts w:eastAsia="Calibri Light"/>
          <w:lang w:val="en-US"/>
        </w:rPr>
        <w:t xml:space="preserve"> asked questions (FAQs) are incorporated in each section of this document along with guidance on completing the ACFR</w:t>
      </w:r>
      <w:r w:rsidR="009A279B">
        <w:rPr>
          <w:rFonts w:eastAsia="Calibri Light"/>
          <w:lang w:val="en-US"/>
        </w:rPr>
        <w:t>.</w:t>
      </w:r>
    </w:p>
    <w:p w14:paraId="35EEB3EA" w14:textId="77777777" w:rsidR="001355CB" w:rsidRPr="00716E6D" w:rsidRDefault="001355CB" w:rsidP="00716E6D">
      <w:pPr>
        <w:pStyle w:val="Heading3"/>
        <w:spacing w:before="240" w:after="240"/>
        <w:ind w:left="0" w:firstLine="0"/>
        <w:rPr>
          <w:color w:val="1F848B" w:themeColor="accent1" w:themeShade="BF"/>
          <w:sz w:val="28"/>
        </w:rPr>
      </w:pPr>
      <w:r w:rsidRPr="00716E6D">
        <w:rPr>
          <w:color w:val="1F848B" w:themeColor="accent1" w:themeShade="BF"/>
          <w:sz w:val="28"/>
        </w:rPr>
        <w:t>Background</w:t>
      </w:r>
    </w:p>
    <w:p w14:paraId="1686291A" w14:textId="2B2DD59C" w:rsidR="002514B0" w:rsidRPr="00586B73" w:rsidRDefault="00586B73" w:rsidP="00AB5B0C">
      <w:pPr>
        <w:rPr>
          <w:lang w:val="en-US"/>
        </w:rPr>
      </w:pPr>
      <w:r w:rsidRPr="00586B73">
        <w:rPr>
          <w:lang w:val="en-US"/>
        </w:rPr>
        <w:t>The ACFR allows</w:t>
      </w:r>
      <w:r>
        <w:rPr>
          <w:lang w:val="en-US"/>
        </w:rPr>
        <w:t xml:space="preserve"> the </w:t>
      </w:r>
      <w:r w:rsidR="00DF0744">
        <w:rPr>
          <w:lang w:val="en-US"/>
        </w:rPr>
        <w:t>Department of Health and Aged Care (the department)</w:t>
      </w:r>
      <w:r w:rsidR="00FF2844">
        <w:rPr>
          <w:lang w:val="en-US"/>
        </w:rPr>
        <w:t xml:space="preserve"> </w:t>
      </w:r>
      <w:r>
        <w:rPr>
          <w:lang w:val="en-US"/>
        </w:rPr>
        <w:t xml:space="preserve">to collect financial information </w:t>
      </w:r>
      <w:r w:rsidR="00911836">
        <w:rPr>
          <w:lang w:val="en-US"/>
        </w:rPr>
        <w:t xml:space="preserve">annually </w:t>
      </w:r>
      <w:r w:rsidR="7D0A57A5" w:rsidRPr="0C3084AD">
        <w:rPr>
          <w:lang w:val="en-US"/>
        </w:rPr>
        <w:t>f</w:t>
      </w:r>
      <w:r w:rsidR="6EB5226B" w:rsidRPr="0C3084AD">
        <w:rPr>
          <w:lang w:val="en-US"/>
        </w:rPr>
        <w:t>rom</w:t>
      </w:r>
      <w:r>
        <w:rPr>
          <w:lang w:val="en-US"/>
        </w:rPr>
        <w:t xml:space="preserve"> approved providers</w:t>
      </w:r>
      <w:r w:rsidR="75977348" w:rsidRPr="51C86A7C">
        <w:rPr>
          <w:lang w:val="en-US"/>
        </w:rPr>
        <w:t>.</w:t>
      </w:r>
      <w:r>
        <w:rPr>
          <w:lang w:val="en-US"/>
        </w:rPr>
        <w:t xml:space="preserve"> </w:t>
      </w:r>
    </w:p>
    <w:p w14:paraId="3E3FE605" w14:textId="77777777" w:rsidR="00631FD2" w:rsidRDefault="00631FD2" w:rsidP="00F0151D">
      <w:pPr>
        <w:pStyle w:val="Heading3"/>
        <w:spacing w:before="240" w:after="240"/>
        <w:ind w:left="0" w:firstLine="0"/>
        <w:rPr>
          <w:color w:val="1F848B" w:themeColor="accent1" w:themeShade="BF"/>
          <w:sz w:val="28"/>
        </w:rPr>
      </w:pPr>
      <w:r w:rsidRPr="00F0151D">
        <w:rPr>
          <w:color w:val="1F848B" w:themeColor="accent1" w:themeShade="BF"/>
          <w:sz w:val="28"/>
        </w:rPr>
        <w:t>Reporting responsibilities</w:t>
      </w:r>
    </w:p>
    <w:p w14:paraId="3ED5EC91" w14:textId="543F927A" w:rsidR="008B3B54" w:rsidRDefault="008B3B54" w:rsidP="00AB5B0C">
      <w:pPr>
        <w:rPr>
          <w:lang w:val="en-US"/>
        </w:rPr>
      </w:pPr>
      <w:r w:rsidRPr="008B3B54">
        <w:rPr>
          <w:lang w:val="en-US"/>
        </w:rPr>
        <w:t xml:space="preserve">The ACFR portal </w:t>
      </w:r>
      <w:r w:rsidR="00A54C01">
        <w:rPr>
          <w:lang w:val="en-US"/>
        </w:rPr>
        <w:t xml:space="preserve">(the portal) </w:t>
      </w:r>
      <w:r w:rsidR="00D72764">
        <w:rPr>
          <w:lang w:val="en-US"/>
        </w:rPr>
        <w:t>is</w:t>
      </w:r>
      <w:r w:rsidRPr="008B3B54">
        <w:rPr>
          <w:lang w:val="en-US"/>
        </w:rPr>
        <w:t xml:space="preserve"> customised for each approved provider and only the ACFR sections relevant to each provider will be accessible</w:t>
      </w:r>
      <w:r w:rsidR="479ABDC3" w:rsidRPr="76C3C5B3">
        <w:rPr>
          <w:lang w:val="en-US"/>
        </w:rPr>
        <w:t xml:space="preserve"> </w:t>
      </w:r>
      <w:r w:rsidR="479ABDC3" w:rsidRPr="0950915D">
        <w:rPr>
          <w:lang w:val="en-US"/>
        </w:rPr>
        <w:t xml:space="preserve">in the </w:t>
      </w:r>
      <w:r w:rsidR="00A54C01">
        <w:rPr>
          <w:lang w:val="en-US"/>
        </w:rPr>
        <w:t xml:space="preserve">portal. </w:t>
      </w:r>
      <w:r w:rsidRPr="008B3B54">
        <w:rPr>
          <w:lang w:val="en-US"/>
        </w:rPr>
        <w:t xml:space="preserve"> </w:t>
      </w:r>
    </w:p>
    <w:p w14:paraId="1D2AED68" w14:textId="25E33F45" w:rsidR="00F0151D" w:rsidRPr="00F0151D" w:rsidRDefault="00F0151D" w:rsidP="00AB5B0C">
      <w:pPr>
        <w:rPr>
          <w:lang w:val="en-US"/>
        </w:rPr>
      </w:pPr>
      <w:r w:rsidRPr="00F0151D">
        <w:rPr>
          <w:lang w:val="en-US"/>
        </w:rPr>
        <w:t xml:space="preserve">Providers must lodge all required sections of the ACFR, via the portal, available at the </w:t>
      </w:r>
      <w:hyperlink r:id="rId19" w:history="1">
        <w:r w:rsidRPr="00CB6A33">
          <w:rPr>
            <w:rStyle w:val="Hyperlink"/>
            <w:rFonts w:cs="Arial"/>
            <w:lang w:val="en-US"/>
          </w:rPr>
          <w:t>Forms Administration website</w:t>
        </w:r>
      </w:hyperlink>
      <w:r w:rsidRPr="00F0151D">
        <w:rPr>
          <w:lang w:val="en-US"/>
        </w:rPr>
        <w:t xml:space="preserve">. </w:t>
      </w:r>
    </w:p>
    <w:p w14:paraId="12E26EA0" w14:textId="19FEF197" w:rsidR="00F0151D" w:rsidRPr="00F0151D" w:rsidRDefault="00F0151D" w:rsidP="00AB5B0C">
      <w:pPr>
        <w:rPr>
          <w:lang w:val="en-US"/>
        </w:rPr>
      </w:pPr>
      <w:r w:rsidRPr="00F0151D">
        <w:rPr>
          <w:lang w:val="en-US"/>
        </w:rPr>
        <w:t xml:space="preserve">The ACFR cannot be lodged until all sections relevant to the </w:t>
      </w:r>
      <w:r w:rsidR="002135D2">
        <w:rPr>
          <w:lang w:val="en-US"/>
        </w:rPr>
        <w:t>provider</w:t>
      </w:r>
      <w:r w:rsidRPr="00F0151D">
        <w:rPr>
          <w:lang w:val="en-US"/>
        </w:rPr>
        <w:t xml:space="preserve"> are completed and all necessary documents have been uploaded </w:t>
      </w:r>
      <w:r w:rsidR="007B6993">
        <w:rPr>
          <w:lang w:val="en-US"/>
        </w:rPr>
        <w:t xml:space="preserve">in the </w:t>
      </w:r>
      <w:r w:rsidRPr="00F0151D">
        <w:rPr>
          <w:lang w:val="en-US"/>
        </w:rPr>
        <w:t>portal.</w:t>
      </w:r>
    </w:p>
    <w:p w14:paraId="13BAB151" w14:textId="6486F82F" w:rsidR="00F0151D" w:rsidRPr="00F0151D" w:rsidRDefault="00F0151D" w:rsidP="00AB5B0C">
      <w:pPr>
        <w:rPr>
          <w:lang w:val="en-US"/>
        </w:rPr>
      </w:pPr>
      <w:r w:rsidRPr="00F0151D">
        <w:rPr>
          <w:lang w:val="en-US"/>
        </w:rPr>
        <w:t xml:space="preserve">Providers will receive a letter from </w:t>
      </w:r>
      <w:r w:rsidR="00376F47">
        <w:rPr>
          <w:lang w:val="en-US"/>
        </w:rPr>
        <w:t>the department</w:t>
      </w:r>
      <w:r w:rsidRPr="00F0151D">
        <w:rPr>
          <w:lang w:val="en-US"/>
        </w:rPr>
        <w:t xml:space="preserve"> outlining the sections of the ACFR that are required to be completed.</w:t>
      </w:r>
      <w:r w:rsidR="000C3274">
        <w:rPr>
          <w:lang w:val="en-US"/>
        </w:rPr>
        <w:t xml:space="preserve"> These letters are sent out when the portal is </w:t>
      </w:r>
      <w:r w:rsidR="70D32D6F" w:rsidRPr="52C1EDCF">
        <w:rPr>
          <w:lang w:val="en-US"/>
        </w:rPr>
        <w:t>open</w:t>
      </w:r>
      <w:r w:rsidR="29AE2BBD" w:rsidRPr="52C1EDCF">
        <w:rPr>
          <w:lang w:val="en-US"/>
        </w:rPr>
        <w:t>ed</w:t>
      </w:r>
      <w:r w:rsidR="000C3274">
        <w:rPr>
          <w:lang w:val="en-US"/>
        </w:rPr>
        <w:t xml:space="preserve">. </w:t>
      </w:r>
    </w:p>
    <w:p w14:paraId="6BFB5862" w14:textId="1D77F641" w:rsidR="00D16E09" w:rsidRPr="00F0151D" w:rsidRDefault="00F0151D" w:rsidP="00AB5B0C">
      <w:pPr>
        <w:rPr>
          <w:lang w:val="en-US"/>
        </w:rPr>
      </w:pPr>
      <w:r w:rsidRPr="00F0151D">
        <w:rPr>
          <w:lang w:val="en-US"/>
        </w:rPr>
        <w:t>The portal can only be accessed through a myID login.</w:t>
      </w:r>
      <w:r w:rsidR="00C80546">
        <w:rPr>
          <w:lang w:val="en-US"/>
        </w:rPr>
        <w:t xml:space="preserve"> </w:t>
      </w:r>
      <w:r w:rsidR="00003267" w:rsidRPr="42B6A197">
        <w:rPr>
          <w:lang w:val="en-US"/>
        </w:rPr>
        <w:t xml:space="preserve">A provider can </w:t>
      </w:r>
      <w:r w:rsidR="00C80546" w:rsidRPr="42B6A197">
        <w:rPr>
          <w:lang w:val="en-US"/>
        </w:rPr>
        <w:t xml:space="preserve">set up </w:t>
      </w:r>
      <w:r w:rsidR="00003267" w:rsidRPr="42B6A197">
        <w:rPr>
          <w:lang w:val="en-US"/>
        </w:rPr>
        <w:t>the</w:t>
      </w:r>
      <w:r w:rsidR="00C80546" w:rsidRPr="42B6A197">
        <w:rPr>
          <w:lang w:val="en-US"/>
        </w:rPr>
        <w:t xml:space="preserve"> </w:t>
      </w:r>
      <w:r w:rsidR="00003267" w:rsidRPr="42B6A197">
        <w:rPr>
          <w:lang w:val="en-US"/>
        </w:rPr>
        <w:t xml:space="preserve">myID login on the </w:t>
      </w:r>
      <w:hyperlink r:id="rId20">
        <w:r w:rsidR="00003267" w:rsidRPr="42B6A197">
          <w:rPr>
            <w:rStyle w:val="Hyperlink"/>
            <w:rFonts w:cs="Arial"/>
            <w:lang w:val="en-US"/>
          </w:rPr>
          <w:t>Forms Adminis</w:t>
        </w:r>
        <w:r w:rsidR="0090488B" w:rsidRPr="42B6A197">
          <w:rPr>
            <w:rStyle w:val="Hyperlink"/>
            <w:rFonts w:cs="Arial"/>
            <w:lang w:val="en-US"/>
          </w:rPr>
          <w:t>tration website</w:t>
        </w:r>
      </w:hyperlink>
      <w:r w:rsidR="0090488B" w:rsidRPr="42B6A197">
        <w:rPr>
          <w:lang w:val="en-US"/>
        </w:rPr>
        <w:t>.</w:t>
      </w:r>
    </w:p>
    <w:p w14:paraId="21F18B04" w14:textId="77777777" w:rsidR="00D16E09" w:rsidRDefault="00D16E09" w:rsidP="007F5D70">
      <w:pPr>
        <w:pStyle w:val="Heading3"/>
        <w:spacing w:before="240" w:after="240"/>
        <w:ind w:left="0" w:firstLine="0"/>
        <w:rPr>
          <w:color w:val="1F848B" w:themeColor="accent1" w:themeShade="BF"/>
          <w:sz w:val="28"/>
        </w:rPr>
      </w:pPr>
      <w:r w:rsidRPr="007F5D70">
        <w:rPr>
          <w:color w:val="1F848B" w:themeColor="accent1" w:themeShade="BF"/>
          <w:sz w:val="28"/>
        </w:rPr>
        <w:t>Submission dates</w:t>
      </w:r>
    </w:p>
    <w:p w14:paraId="46B8E68C" w14:textId="28EC041C" w:rsidR="009C6B8B" w:rsidRDefault="00B75664" w:rsidP="002135D2">
      <w:pPr>
        <w:rPr>
          <w:bCs/>
        </w:rPr>
      </w:pPr>
      <w:r w:rsidRPr="00B75664">
        <w:rPr>
          <w:lang w:val="en-US"/>
        </w:rPr>
        <w:t xml:space="preserve">It is a legislative requirement that the </w:t>
      </w:r>
      <w:r w:rsidR="002135D2">
        <w:rPr>
          <w:lang w:val="en-US"/>
        </w:rPr>
        <w:t>ACFR</w:t>
      </w:r>
      <w:r w:rsidRPr="00B75664">
        <w:rPr>
          <w:lang w:val="en-US"/>
        </w:rPr>
        <w:t xml:space="preserve"> is lodged by 31 October </w:t>
      </w:r>
      <w:r w:rsidR="00770674">
        <w:rPr>
          <w:lang w:val="en-US"/>
        </w:rPr>
        <w:t xml:space="preserve">each year </w:t>
      </w:r>
      <w:r w:rsidRPr="00B75664">
        <w:rPr>
          <w:lang w:val="en-US"/>
        </w:rPr>
        <w:t xml:space="preserve">using the portal. </w:t>
      </w:r>
      <w:r w:rsidR="009C6B8B" w:rsidRPr="00700341">
        <w:t xml:space="preserve">There is no provision under the </w:t>
      </w:r>
      <w:r w:rsidR="009C6B8B" w:rsidRPr="00700341">
        <w:rPr>
          <w:i/>
        </w:rPr>
        <w:t>Aged Care Act 1997</w:t>
      </w:r>
      <w:r w:rsidR="009C6B8B" w:rsidRPr="00700341">
        <w:t xml:space="preserve"> </w:t>
      </w:r>
      <w:r w:rsidR="00505E8D" w:rsidRPr="00D72764">
        <w:t xml:space="preserve">(the Act) </w:t>
      </w:r>
      <w:r w:rsidR="009C6B8B" w:rsidRPr="00700341">
        <w:t xml:space="preserve">or </w:t>
      </w:r>
      <w:r w:rsidR="009C6B8B" w:rsidRPr="00700341">
        <w:rPr>
          <w:i/>
        </w:rPr>
        <w:t>Accountability Principles 2014</w:t>
      </w:r>
      <w:r w:rsidR="009C6B8B" w:rsidRPr="00700341">
        <w:t xml:space="preserve"> to allow for a later reporting date. </w:t>
      </w:r>
      <w:r w:rsidR="009C6B8B" w:rsidRPr="00700341">
        <w:rPr>
          <w:bCs/>
        </w:rPr>
        <w:t xml:space="preserve">No extension of time will be given for the lodgement outside of this legislated period. </w:t>
      </w:r>
    </w:p>
    <w:p w14:paraId="3E715B81" w14:textId="01666245" w:rsidR="009C6B8B" w:rsidRPr="00700341" w:rsidRDefault="009C6B8B" w:rsidP="002C67F1">
      <w:pPr>
        <w:rPr>
          <w:bCs/>
        </w:rPr>
      </w:pPr>
      <w:r w:rsidRPr="00700341">
        <w:t xml:space="preserve">Providers are encouraged to complete and lodge their ACFR early </w:t>
      </w:r>
      <w:r w:rsidR="00770674">
        <w:t>so that there is</w:t>
      </w:r>
      <w:r w:rsidRPr="00700341">
        <w:t xml:space="preserve"> adequate time to address any issues and finalise all components of the ACFR.</w:t>
      </w:r>
    </w:p>
    <w:p w14:paraId="13609E9E" w14:textId="0430E621" w:rsidR="00B75664" w:rsidRDefault="00B75664" w:rsidP="000A3A91">
      <w:pPr>
        <w:pStyle w:val="BodyText"/>
        <w:rPr>
          <w:lang w:val="en-US"/>
        </w:rPr>
      </w:pPr>
      <w:r w:rsidRPr="00B75664">
        <w:rPr>
          <w:lang w:val="en-US"/>
        </w:rPr>
        <w:lastRenderedPageBreak/>
        <w:t xml:space="preserve">Some providers have </w:t>
      </w:r>
      <w:r w:rsidR="007F4AFB">
        <w:rPr>
          <w:lang w:val="en-US"/>
        </w:rPr>
        <w:t xml:space="preserve">an </w:t>
      </w:r>
      <w:r w:rsidRPr="00B75664">
        <w:rPr>
          <w:lang w:val="en-US"/>
        </w:rPr>
        <w:t>alternative financial year in place</w:t>
      </w:r>
      <w:r w:rsidR="001D7EBD">
        <w:rPr>
          <w:lang w:val="en-US"/>
        </w:rPr>
        <w:t xml:space="preserve"> that is </w:t>
      </w:r>
      <w:r w:rsidR="00627105">
        <w:rPr>
          <w:lang w:val="en-US"/>
        </w:rPr>
        <w:t>different to the standard financial year from 1 July to 30 June</w:t>
      </w:r>
      <w:r w:rsidR="00173823">
        <w:rPr>
          <w:lang w:val="en-US"/>
        </w:rPr>
        <w:t xml:space="preserve">. </w:t>
      </w:r>
      <w:r w:rsidRPr="00B75664">
        <w:rPr>
          <w:lang w:val="en-US"/>
        </w:rPr>
        <w:t xml:space="preserve">Providers can request an application form for a different financial year by </w:t>
      </w:r>
      <w:hyperlink w:anchor="_Questions_and_feedback" w:history="1">
        <w:r w:rsidR="00FE3D18" w:rsidRPr="00FE3D18">
          <w:rPr>
            <w:rStyle w:val="Hyperlink"/>
            <w:lang w:val="en-US"/>
          </w:rPr>
          <w:t xml:space="preserve">contacting </w:t>
        </w:r>
        <w:r w:rsidRPr="00FE3D18">
          <w:rPr>
            <w:rStyle w:val="Hyperlink"/>
            <w:lang w:val="en-US"/>
          </w:rPr>
          <w:t>Forms Administration</w:t>
        </w:r>
      </w:hyperlink>
      <w:r w:rsidR="00FE3D18">
        <w:rPr>
          <w:lang w:val="en-US"/>
        </w:rPr>
        <w:t>.</w:t>
      </w:r>
      <w:r w:rsidRPr="00B75664">
        <w:rPr>
          <w:lang w:val="en-US"/>
        </w:rPr>
        <w:t xml:space="preserve"> </w:t>
      </w:r>
    </w:p>
    <w:p w14:paraId="51DD1209" w14:textId="19077DB2" w:rsidR="00BA5FE0" w:rsidRDefault="00BA5FE0" w:rsidP="002C67F1">
      <w:r>
        <w:t>A</w:t>
      </w:r>
      <w:r w:rsidRPr="0082546F">
        <w:t>n alternative financial year can only be approved if the Secretary is satisfied, on reasonable grounds, that it would be impracticable for a provider to prepare a financial report for the standard financial year. In general, a determination will only be available where a provider does not currently have the systems or processes in place that would reasonably allow them to meet the requirement of reporting for the standard financial year.</w:t>
      </w:r>
    </w:p>
    <w:p w14:paraId="7606B519" w14:textId="55CC3345" w:rsidR="009C6B8B" w:rsidRPr="00B75664" w:rsidRDefault="009C6B8B" w:rsidP="000A3A91">
      <w:pPr>
        <w:pStyle w:val="BodyText"/>
        <w:rPr>
          <w:lang w:val="en-US"/>
        </w:rPr>
      </w:pPr>
      <w:r w:rsidRPr="00B75664">
        <w:rPr>
          <w:lang w:val="en-US"/>
        </w:rPr>
        <w:t>Please note, the department has 28 days in which to process any application for alternative arrangements</w:t>
      </w:r>
      <w:r w:rsidR="002E79D5">
        <w:rPr>
          <w:lang w:val="en-US"/>
        </w:rPr>
        <w:t>.</w:t>
      </w:r>
      <w:r w:rsidRPr="00B75664">
        <w:rPr>
          <w:lang w:val="en-US"/>
        </w:rPr>
        <w:t xml:space="preserve"> </w:t>
      </w:r>
      <w:r w:rsidR="002E79D5">
        <w:rPr>
          <w:lang w:val="en-US"/>
        </w:rPr>
        <w:t>R</w:t>
      </w:r>
      <w:r w:rsidRPr="00B75664">
        <w:rPr>
          <w:lang w:val="en-US"/>
        </w:rPr>
        <w:t>equest</w:t>
      </w:r>
      <w:r w:rsidR="002E79D5">
        <w:rPr>
          <w:lang w:val="en-US"/>
        </w:rPr>
        <w:t>s</w:t>
      </w:r>
      <w:r w:rsidRPr="00B75664">
        <w:rPr>
          <w:lang w:val="en-US"/>
        </w:rPr>
        <w:t xml:space="preserve"> for a different financial year must be made by </w:t>
      </w:r>
      <w:r w:rsidR="002E79D5">
        <w:rPr>
          <w:lang w:val="en-US"/>
        </w:rPr>
        <w:br/>
      </w:r>
      <w:r w:rsidR="008F7EAB">
        <w:rPr>
          <w:lang w:val="en-US"/>
        </w:rPr>
        <w:t xml:space="preserve">31 August </w:t>
      </w:r>
      <w:r w:rsidR="00587250">
        <w:rPr>
          <w:lang w:val="en-US"/>
        </w:rPr>
        <w:t>each year</w:t>
      </w:r>
      <w:r w:rsidRPr="00B75664">
        <w:rPr>
          <w:lang w:val="en-US"/>
        </w:rPr>
        <w:t>.</w:t>
      </w:r>
    </w:p>
    <w:p w14:paraId="25934EF5" w14:textId="77777777" w:rsidR="00A00E31" w:rsidRPr="00A00E31" w:rsidRDefault="00A00E31" w:rsidP="00A00E31">
      <w:pPr>
        <w:pStyle w:val="Heading3"/>
        <w:spacing w:before="240" w:after="240"/>
        <w:ind w:left="0" w:firstLine="0"/>
        <w:rPr>
          <w:color w:val="1F848B" w:themeColor="accent1" w:themeShade="BF"/>
          <w:sz w:val="28"/>
        </w:rPr>
      </w:pPr>
      <w:r w:rsidRPr="00A00E31">
        <w:rPr>
          <w:color w:val="1F848B" w:themeColor="accent1" w:themeShade="BF"/>
          <w:sz w:val="28"/>
        </w:rPr>
        <w:t>Completing the ACFR</w:t>
      </w:r>
    </w:p>
    <w:p w14:paraId="64C8346C" w14:textId="3FBA22CB" w:rsidR="003600F7" w:rsidRPr="00E616F4" w:rsidRDefault="00D94512" w:rsidP="00F84946">
      <w:r>
        <w:t>T</w:t>
      </w:r>
      <w:r w:rsidR="003600F7" w:rsidRPr="00E616F4">
        <w:t xml:space="preserve">he </w:t>
      </w:r>
      <w:r w:rsidR="00CF483F" w:rsidRPr="00E616F4">
        <w:t>General Purpose Financial Statement (</w:t>
      </w:r>
      <w:r w:rsidR="003600F7" w:rsidRPr="00E616F4">
        <w:t>GPFS</w:t>
      </w:r>
      <w:r w:rsidR="00CF483F" w:rsidRPr="00E616F4">
        <w:t>)</w:t>
      </w:r>
      <w:r w:rsidR="003600F7" w:rsidRPr="00E616F4">
        <w:t xml:space="preserve"> and the Annual Prudential Compliance Statement (APCS) section</w:t>
      </w:r>
      <w:r>
        <w:t>s</w:t>
      </w:r>
      <w:r w:rsidR="003600F7" w:rsidRPr="00E616F4">
        <w:t xml:space="preserve"> of the ACFR are required to be audited. All other sections do not need to be audited – this includes the Approved Provider Permitted Uses Reconciliation which does not form part of the APCS.</w:t>
      </w:r>
    </w:p>
    <w:p w14:paraId="4C1775DE" w14:textId="15D7CA1E" w:rsidR="003600F7" w:rsidRPr="00E616F4" w:rsidRDefault="003600F7" w:rsidP="00F84946">
      <w:r w:rsidRPr="00E616F4">
        <w:t xml:space="preserve">The ACFR declaration will become available to download from the  portal once all the required sections of the ACFR have been successfully completed. </w:t>
      </w:r>
    </w:p>
    <w:p w14:paraId="3B11AC87" w14:textId="539D040C" w:rsidR="003600F7" w:rsidRPr="00E616F4" w:rsidRDefault="003600F7" w:rsidP="00F84946">
      <w:r w:rsidRPr="00E616F4">
        <w:t xml:space="preserve">The ACFR </w:t>
      </w:r>
      <w:r w:rsidR="00311584">
        <w:t>d</w:t>
      </w:r>
      <w:r w:rsidRPr="00E616F4">
        <w:t xml:space="preserve">eclaration form is required to be signed by a member of the governing board. </w:t>
      </w:r>
    </w:p>
    <w:p w14:paraId="1F48D2B1" w14:textId="4AB964E8" w:rsidR="00A00E31" w:rsidRPr="00E616F4" w:rsidRDefault="003600F7" w:rsidP="00F84946">
      <w:r w:rsidRPr="00E616F4">
        <w:t xml:space="preserve">If the approved provider is not a </w:t>
      </w:r>
      <w:r w:rsidR="00DA4826">
        <w:t>s</w:t>
      </w:r>
      <w:r w:rsidRPr="00E616F4">
        <w:t xml:space="preserve">tate, a </w:t>
      </w:r>
      <w:r w:rsidR="00DA4826">
        <w:t>t</w:t>
      </w:r>
      <w:r w:rsidRPr="00E616F4">
        <w:t xml:space="preserve">erritory, an authority of a </w:t>
      </w:r>
      <w:r w:rsidR="00DA4826">
        <w:t>s</w:t>
      </w:r>
      <w:r w:rsidRPr="00E616F4">
        <w:t xml:space="preserve">tate or </w:t>
      </w:r>
      <w:r w:rsidR="00DA4826">
        <w:t>t</w:t>
      </w:r>
      <w:r w:rsidRPr="00E616F4">
        <w:t xml:space="preserve">erritory or a local government authority, the </w:t>
      </w:r>
      <w:r w:rsidR="00311584">
        <w:t>ACFR</w:t>
      </w:r>
      <w:r w:rsidRPr="00E616F4">
        <w:t xml:space="preserve"> must be signed by:</w:t>
      </w:r>
    </w:p>
    <w:p w14:paraId="0FDCA2A3" w14:textId="7B4396E1" w:rsidR="003600F7" w:rsidRPr="00F84946" w:rsidRDefault="003600F7" w:rsidP="00FF2844">
      <w:pPr>
        <w:pStyle w:val="ListBullet"/>
        <w:tabs>
          <w:tab w:val="clear" w:pos="360"/>
          <w:tab w:val="num" w:pos="720"/>
        </w:tabs>
        <w:ind w:left="720"/>
        <w:rPr>
          <w:lang w:val="en-US"/>
        </w:rPr>
      </w:pPr>
      <w:r w:rsidRPr="1BBB45AF">
        <w:rPr>
          <w:lang w:val="en-US"/>
        </w:rPr>
        <w:t xml:space="preserve">if the provider is a body corporate that is incorporated, or taken to be incorporated, under the </w:t>
      </w:r>
      <w:r w:rsidRPr="1BBB45AF">
        <w:rPr>
          <w:i/>
          <w:iCs/>
          <w:lang w:val="en-US"/>
        </w:rPr>
        <w:t>Corporations Act 2001</w:t>
      </w:r>
      <w:r w:rsidRPr="1BBB45AF">
        <w:rPr>
          <w:lang w:val="en-US"/>
        </w:rPr>
        <w:t xml:space="preserve">—a director of the body corporate for the purposes of that Act; and </w:t>
      </w:r>
    </w:p>
    <w:p w14:paraId="31F3D60F" w14:textId="55FD4893" w:rsidR="003600F7" w:rsidRPr="00F84946" w:rsidRDefault="003600F7" w:rsidP="00FF2844">
      <w:pPr>
        <w:pStyle w:val="ListBullet"/>
        <w:tabs>
          <w:tab w:val="clear" w:pos="360"/>
          <w:tab w:val="num" w:pos="720"/>
        </w:tabs>
        <w:ind w:left="720"/>
        <w:rPr>
          <w:lang w:val="en-US"/>
        </w:rPr>
      </w:pPr>
      <w:r w:rsidRPr="1BBB45AF">
        <w:rPr>
          <w:lang w:val="en-US"/>
        </w:rPr>
        <w:t>otherwise—a member of the provider’s governing body.</w:t>
      </w:r>
    </w:p>
    <w:p w14:paraId="7389FDDB" w14:textId="00192BBC" w:rsidR="003600F7" w:rsidRDefault="003600F7" w:rsidP="00F84946">
      <w:r w:rsidRPr="00E616F4">
        <w:t xml:space="preserve">If the approved provider is a </w:t>
      </w:r>
      <w:r w:rsidR="00A57CF7">
        <w:t>s</w:t>
      </w:r>
      <w:r w:rsidRPr="00E616F4">
        <w:t xml:space="preserve">tate, a </w:t>
      </w:r>
      <w:r w:rsidR="00A57CF7">
        <w:t>t</w:t>
      </w:r>
      <w:r w:rsidRPr="00E616F4">
        <w:t xml:space="preserve">erritory, an authority of a </w:t>
      </w:r>
      <w:r w:rsidR="00A57CF7">
        <w:t>s</w:t>
      </w:r>
      <w:r w:rsidRPr="00E616F4">
        <w:t xml:space="preserve">tate or </w:t>
      </w:r>
      <w:r w:rsidR="00A57CF7">
        <w:t>t</w:t>
      </w:r>
      <w:r w:rsidRPr="00E616F4">
        <w:t xml:space="preserve">erritory or a local government authority, the </w:t>
      </w:r>
      <w:r w:rsidR="00196776">
        <w:t>ACFR</w:t>
      </w:r>
      <w:r w:rsidRPr="00E616F4">
        <w:t xml:space="preserve"> must be signed by one of the approved provider’s key personnel who is authorised by the provider to sign the report. </w:t>
      </w:r>
    </w:p>
    <w:p w14:paraId="696DE839" w14:textId="4E5023DA" w:rsidR="00F70AB9" w:rsidRPr="00470E2A" w:rsidRDefault="00F70AB9" w:rsidP="00716E6D">
      <w:pPr>
        <w:rPr>
          <w:lang w:val="en-US"/>
        </w:rPr>
      </w:pPr>
      <w:r>
        <w:t>To avoid delays in completing the ACFR, it is recommended that providers have</w:t>
      </w:r>
      <w:r w:rsidR="00892156">
        <w:t xml:space="preserve"> at least </w:t>
      </w:r>
      <w:r>
        <w:t xml:space="preserve">two signatories </w:t>
      </w:r>
      <w:r w:rsidR="00892156">
        <w:t xml:space="preserve">to ensure coverage in the event the regular signatory is not available. </w:t>
      </w:r>
      <w:r>
        <w:t xml:space="preserve"> </w:t>
      </w:r>
    </w:p>
    <w:p w14:paraId="263121C7" w14:textId="77777777" w:rsidR="002E79D5" w:rsidRDefault="002E79D5">
      <w:pPr>
        <w:spacing w:before="0" w:after="0" w:line="240" w:lineRule="auto"/>
        <w:rPr>
          <w:rFonts w:cs="Arial"/>
          <w:b/>
          <w:bCs/>
          <w:color w:val="1F848B" w:themeColor="accent1" w:themeShade="BF"/>
          <w:sz w:val="28"/>
        </w:rPr>
      </w:pPr>
      <w:r>
        <w:rPr>
          <w:color w:val="1F848B" w:themeColor="accent1" w:themeShade="BF"/>
          <w:sz w:val="28"/>
        </w:rPr>
        <w:br w:type="page"/>
      </w:r>
    </w:p>
    <w:p w14:paraId="54F06659" w14:textId="5608AF12" w:rsidR="00A00E31" w:rsidRDefault="00A00E31" w:rsidP="00A00E31">
      <w:pPr>
        <w:pStyle w:val="Heading3"/>
        <w:spacing w:before="240" w:after="240"/>
        <w:ind w:left="0" w:firstLine="0"/>
        <w:rPr>
          <w:color w:val="1F848B" w:themeColor="accent1" w:themeShade="BF"/>
          <w:sz w:val="28"/>
        </w:rPr>
      </w:pPr>
      <w:r w:rsidRPr="00A00E31">
        <w:rPr>
          <w:color w:val="1F848B" w:themeColor="accent1" w:themeShade="BF"/>
          <w:sz w:val="28"/>
        </w:rPr>
        <w:lastRenderedPageBreak/>
        <w:t>Non-compliance with reporting obligations</w:t>
      </w:r>
    </w:p>
    <w:p w14:paraId="5F45E477" w14:textId="538AE36F" w:rsidR="001D79CA" w:rsidRPr="00D72764" w:rsidRDefault="001D79CA" w:rsidP="00716E6D">
      <w:r w:rsidRPr="00D72764">
        <w:t xml:space="preserve">Providers have responsibilities under the </w:t>
      </w:r>
      <w:r w:rsidRPr="007129E8">
        <w:rPr>
          <w:i/>
        </w:rPr>
        <w:t>Act</w:t>
      </w:r>
      <w:r w:rsidRPr="00D72764">
        <w:t xml:space="preserve"> and associated Principles to report certain information to the department and </w:t>
      </w:r>
      <w:r w:rsidR="003B1342">
        <w:t>ACQSC</w:t>
      </w:r>
      <w:r w:rsidRPr="00D72764">
        <w:t>. This includes providing statements on financial and prudential matters</w:t>
      </w:r>
      <w:r w:rsidR="0DEAB631">
        <w:t>.</w:t>
      </w:r>
      <w:r w:rsidRPr="00D72764">
        <w:t xml:space="preserve"> Section 63-1(1)(m) of the Act and Part 4 of the Accountability Principles 2014 (the Principles) set out the requirements for approved providers to prepare </w:t>
      </w:r>
      <w:r w:rsidR="00657CEA">
        <w:t>an AC</w:t>
      </w:r>
      <w:r w:rsidRPr="00D72764">
        <w:t xml:space="preserve">FR for each financial </w:t>
      </w:r>
      <w:r w:rsidR="006761DB">
        <w:t>year</w:t>
      </w:r>
      <w:r w:rsidR="0094714B">
        <w:t xml:space="preserve">. </w:t>
      </w:r>
      <w:r w:rsidRPr="00D72764">
        <w:t xml:space="preserve">Failure to lodge a </w:t>
      </w:r>
      <w:r w:rsidR="0094714B">
        <w:t>AC</w:t>
      </w:r>
      <w:r w:rsidRPr="00D72764">
        <w:t xml:space="preserve">FR is a breach of </w:t>
      </w:r>
      <w:r w:rsidR="004802FB">
        <w:t>the</w:t>
      </w:r>
      <w:r w:rsidRPr="00D72764">
        <w:t xml:space="preserve"> approved provider responsibilities set out under section </w:t>
      </w:r>
      <w:r w:rsidR="530FE1DE">
        <w:t>35</w:t>
      </w:r>
      <w:r w:rsidRPr="00D72764">
        <w:t xml:space="preserve"> of the Principles. Any breach of </w:t>
      </w:r>
      <w:r w:rsidR="004802FB">
        <w:t>these</w:t>
      </w:r>
      <w:r w:rsidRPr="00D72764">
        <w:t xml:space="preserve"> responsibilities under the Act or Principles, may result in a delegate of the Commissioner taking regulatory action including by issuing a Non-Compliance Notice, or imposing one or more sanctions under section 63N of the </w:t>
      </w:r>
      <w:r w:rsidR="003B1342" w:rsidRPr="002E79D5">
        <w:rPr>
          <w:i/>
        </w:rPr>
        <w:t>ACQSC</w:t>
      </w:r>
      <w:r w:rsidRPr="002E79D5">
        <w:rPr>
          <w:i/>
        </w:rPr>
        <w:t xml:space="preserve"> Act 2018</w:t>
      </w:r>
      <w:r w:rsidRPr="00D72764">
        <w:t>.</w:t>
      </w:r>
    </w:p>
    <w:p w14:paraId="2462D504" w14:textId="728E3767" w:rsidR="00AF0E12" w:rsidRDefault="00E85F81" w:rsidP="00AF0E12">
      <w:pPr>
        <w:pStyle w:val="Heading3"/>
        <w:spacing w:before="240" w:after="240"/>
        <w:ind w:left="0" w:firstLine="0"/>
        <w:rPr>
          <w:color w:val="1F848B" w:themeColor="accent1" w:themeShade="BF"/>
          <w:sz w:val="28"/>
        </w:rPr>
      </w:pPr>
      <w:bookmarkStart w:id="3" w:name="_Questions_and_feedback"/>
      <w:bookmarkEnd w:id="3"/>
      <w:r w:rsidRPr="00E85F81">
        <w:rPr>
          <w:color w:val="1F848B" w:themeColor="accent1" w:themeShade="BF"/>
          <w:sz w:val="28"/>
        </w:rPr>
        <w:t>Questions and feedback</w:t>
      </w:r>
    </w:p>
    <w:p w14:paraId="2B323026" w14:textId="5A0EB3E6" w:rsidR="00E25FF0" w:rsidRPr="00AF0E12" w:rsidRDefault="00957834" w:rsidP="00AF0E12">
      <w:pPr>
        <w:pStyle w:val="Heading3"/>
        <w:spacing w:before="240" w:after="240"/>
        <w:ind w:left="0" w:firstLine="0"/>
        <w:rPr>
          <w:rFonts w:cs="Times New Roman"/>
          <w:b w:val="0"/>
          <w:bCs w:val="0"/>
        </w:rPr>
      </w:pPr>
      <w:r w:rsidRPr="00AF0E12">
        <w:rPr>
          <w:rFonts w:cs="Times New Roman"/>
          <w:b w:val="0"/>
          <w:bCs w:val="0"/>
        </w:rPr>
        <w:t>If you require</w:t>
      </w:r>
      <w:r w:rsidR="005934B2" w:rsidRPr="00AF0E12">
        <w:rPr>
          <w:rFonts w:cs="Times New Roman"/>
          <w:b w:val="0"/>
          <w:bCs w:val="0"/>
        </w:rPr>
        <w:t xml:space="preserve"> assistance</w:t>
      </w:r>
      <w:r w:rsidR="00AF0E12" w:rsidRPr="00AF0E12">
        <w:rPr>
          <w:rFonts w:cs="Times New Roman"/>
          <w:b w:val="0"/>
          <w:bCs w:val="0"/>
        </w:rPr>
        <w:t xml:space="preserve"> with </w:t>
      </w:r>
      <w:r w:rsidR="00AF0E12">
        <w:rPr>
          <w:rFonts w:cs="Times New Roman"/>
          <w:b w:val="0"/>
          <w:bCs w:val="0"/>
        </w:rPr>
        <w:t xml:space="preserve">the </w:t>
      </w:r>
      <w:r w:rsidR="00AF0E12" w:rsidRPr="00AF0E12">
        <w:rPr>
          <w:rFonts w:cs="Times New Roman"/>
          <w:b w:val="0"/>
          <w:bCs w:val="0"/>
        </w:rPr>
        <w:t>ACFR, please refer to the following contact details below:</w:t>
      </w:r>
    </w:p>
    <w:p w14:paraId="60AAE124" w14:textId="08F146B5" w:rsidR="00E85F81" w:rsidRPr="002257DC" w:rsidRDefault="00E85F81" w:rsidP="002257DC">
      <w:pPr>
        <w:pStyle w:val="ListParagraph"/>
        <w:numPr>
          <w:ilvl w:val="0"/>
          <w:numId w:val="41"/>
        </w:numPr>
        <w:rPr>
          <w:rFonts w:cs="Arial"/>
        </w:rPr>
      </w:pPr>
      <w:r w:rsidRPr="00716E6D">
        <w:t>For questions relating to the completion of the ACFR including the audited GPFS</w:t>
      </w:r>
      <w:r w:rsidR="001C1011">
        <w:t xml:space="preserve"> </w:t>
      </w:r>
      <w:r w:rsidRPr="00716E6D">
        <w:t>or APCS Compliance Audit</w:t>
      </w:r>
      <w:r w:rsidRPr="00716E6D" w:rsidDel="00F77B2B">
        <w:t xml:space="preserve"> </w:t>
      </w:r>
      <w:r w:rsidRPr="00716E6D">
        <w:t xml:space="preserve">please contact Forms Administration on </w:t>
      </w:r>
      <w:r w:rsidRPr="002257DC">
        <w:rPr>
          <w:b/>
          <w:bCs/>
        </w:rPr>
        <w:t>(02) 4403 0640</w:t>
      </w:r>
      <w:r w:rsidRPr="00716E6D">
        <w:t xml:space="preserve"> or via email</w:t>
      </w:r>
      <w:r w:rsidRPr="002257DC">
        <w:rPr>
          <w:rFonts w:cs="Arial"/>
          <w:bCs/>
        </w:rPr>
        <w:t xml:space="preserve"> </w:t>
      </w:r>
      <w:r w:rsidRPr="002257DC">
        <w:rPr>
          <w:rFonts w:cs="Arial"/>
          <w:color w:val="2AB1BB" w:themeColor="hyperlink"/>
          <w:u w:val="single"/>
          <w:lang w:val="en-US"/>
        </w:rPr>
        <w:t>health@formsadministration.com.au</w:t>
      </w:r>
      <w:r w:rsidRPr="002257DC">
        <w:rPr>
          <w:rFonts w:cs="Arial"/>
          <w:color w:val="2AB1BB" w:themeColor="hyperlink"/>
          <w:lang w:val="en-US"/>
        </w:rPr>
        <w:t>.</w:t>
      </w:r>
    </w:p>
    <w:p w14:paraId="168C1ACA" w14:textId="73F8D434" w:rsidR="00E85F81" w:rsidRPr="002257DC" w:rsidRDefault="00E85F81" w:rsidP="002257DC">
      <w:pPr>
        <w:pStyle w:val="ListParagraph"/>
        <w:numPr>
          <w:ilvl w:val="0"/>
          <w:numId w:val="41"/>
        </w:numPr>
        <w:rPr>
          <w:rFonts w:cs="Arial"/>
          <w:color w:val="auto"/>
          <w:u w:val="single"/>
          <w:lang w:val="en-US"/>
        </w:rPr>
      </w:pPr>
      <w:r w:rsidRPr="00716E6D">
        <w:t>For help reporting residential care or home care expenses data in the ACFR</w:t>
      </w:r>
      <w:r w:rsidR="00CC6857">
        <w:t>,</w:t>
      </w:r>
      <w:r w:rsidRPr="00716E6D">
        <w:t xml:space="preserve"> please email</w:t>
      </w:r>
      <w:r w:rsidRPr="002257DC">
        <w:rPr>
          <w:rFonts w:cs="Arial"/>
          <w:lang w:val="en-US"/>
        </w:rPr>
        <w:t xml:space="preserve"> </w:t>
      </w:r>
      <w:hyperlink r:id="rId21" w:history="1">
        <w:r w:rsidR="00E56A3A" w:rsidRPr="002257DC">
          <w:rPr>
            <w:rStyle w:val="Hyperlink"/>
            <w:rFonts w:cs="Arial"/>
            <w:lang w:val="en-US"/>
          </w:rPr>
          <w:t>QFRACFRhelp@health.gov.au</w:t>
        </w:r>
      </w:hyperlink>
      <w:r w:rsidR="00D44797" w:rsidRPr="002257DC">
        <w:rPr>
          <w:rStyle w:val="Hyperlink"/>
          <w:rFonts w:cs="Arial"/>
          <w:color w:val="auto"/>
          <w:lang w:val="en-US"/>
        </w:rPr>
        <w:t>.</w:t>
      </w:r>
    </w:p>
    <w:p w14:paraId="17EC82C3" w14:textId="118BF0AF" w:rsidR="00E85F81" w:rsidRPr="002257DC" w:rsidRDefault="00E85F81" w:rsidP="002257DC">
      <w:pPr>
        <w:pStyle w:val="ListParagraph"/>
        <w:numPr>
          <w:ilvl w:val="0"/>
          <w:numId w:val="41"/>
        </w:numPr>
        <w:rPr>
          <w:rFonts w:cs="Arial"/>
        </w:rPr>
      </w:pPr>
      <w:r w:rsidRPr="002257DC">
        <w:rPr>
          <w:rFonts w:cs="Arial"/>
        </w:rPr>
        <w:t>To provide feedback to the department</w:t>
      </w:r>
      <w:r w:rsidRPr="002257DC">
        <w:rPr>
          <w:rFonts w:cs="Arial"/>
          <w:b/>
        </w:rPr>
        <w:t xml:space="preserve"> </w:t>
      </w:r>
      <w:r w:rsidRPr="002257DC">
        <w:rPr>
          <w:rFonts w:cs="Arial"/>
          <w:lang w:val="en"/>
        </w:rPr>
        <w:t xml:space="preserve">on financial reporting arrangements, please email </w:t>
      </w:r>
      <w:hyperlink r:id="rId22" w:history="1">
        <w:r w:rsidRPr="002257DC">
          <w:rPr>
            <w:rStyle w:val="Hyperlink"/>
            <w:rFonts w:cs="Arial"/>
            <w:lang w:val="en"/>
          </w:rPr>
          <w:t>ACFRQFRQueries@health.gov.au</w:t>
        </w:r>
      </w:hyperlink>
      <w:r w:rsidRPr="002257DC">
        <w:rPr>
          <w:rFonts w:cs="Arial"/>
          <w:lang w:val="en"/>
        </w:rPr>
        <w:t xml:space="preserve">. </w:t>
      </w:r>
      <w:r w:rsidRPr="002257DC">
        <w:rPr>
          <w:rFonts w:cs="Arial"/>
        </w:rPr>
        <w:t xml:space="preserve"> </w:t>
      </w:r>
    </w:p>
    <w:p w14:paraId="622210D0" w14:textId="4CD576CF" w:rsidR="00DF4BAF" w:rsidRPr="00E85F81" w:rsidRDefault="00DF4BAF" w:rsidP="00DF4BAF">
      <w:pPr>
        <w:pStyle w:val="Heading3"/>
        <w:spacing w:before="240" w:after="240"/>
        <w:ind w:left="0" w:firstLine="0"/>
        <w:rPr>
          <w:color w:val="1F848B" w:themeColor="accent1" w:themeShade="BF"/>
          <w:sz w:val="28"/>
        </w:rPr>
      </w:pPr>
      <w:r>
        <w:rPr>
          <w:color w:val="1F848B" w:themeColor="accent1" w:themeShade="BF"/>
          <w:sz w:val="28"/>
        </w:rPr>
        <w:t>Other resources</w:t>
      </w:r>
    </w:p>
    <w:p w14:paraId="75502319" w14:textId="4107714C" w:rsidR="008B6798" w:rsidRDefault="00DF4BAF" w:rsidP="007F5D70">
      <w:pPr>
        <w:rPr>
          <w:rFonts w:cs="Arial"/>
        </w:rPr>
      </w:pPr>
      <w:r>
        <w:rPr>
          <w:rFonts w:cs="Arial"/>
        </w:rPr>
        <w:t xml:space="preserve">There are additional resources provided on the </w:t>
      </w:r>
      <w:hyperlink r:id="rId23" w:history="1">
        <w:r w:rsidRPr="00FF0A02">
          <w:rPr>
            <w:rStyle w:val="Hyperlink"/>
            <w:rFonts w:cs="Arial"/>
          </w:rPr>
          <w:t>department’s website</w:t>
        </w:r>
      </w:hyperlink>
      <w:r>
        <w:rPr>
          <w:rFonts w:cs="Arial"/>
        </w:rPr>
        <w:t xml:space="preserve"> </w:t>
      </w:r>
      <w:r w:rsidR="00765633">
        <w:rPr>
          <w:rFonts w:cs="Arial"/>
        </w:rPr>
        <w:t xml:space="preserve">and </w:t>
      </w:r>
      <w:hyperlink r:id="rId24" w:history="1">
        <w:r w:rsidR="00765633" w:rsidRPr="008B6798">
          <w:rPr>
            <w:rStyle w:val="Hyperlink"/>
            <w:rFonts w:cs="Arial"/>
          </w:rPr>
          <w:t>Forms Administration website</w:t>
        </w:r>
      </w:hyperlink>
      <w:r w:rsidR="00765633">
        <w:rPr>
          <w:rFonts w:cs="Arial"/>
        </w:rPr>
        <w:t xml:space="preserve"> </w:t>
      </w:r>
      <w:r w:rsidR="00D66690">
        <w:rPr>
          <w:rFonts w:cs="Arial"/>
        </w:rPr>
        <w:t xml:space="preserve">to assist providers completing the ACFR. </w:t>
      </w:r>
    </w:p>
    <w:p w14:paraId="4B2CCD3C" w14:textId="3FA69934" w:rsidR="007F5D70" w:rsidRDefault="00D66690" w:rsidP="00716E6D">
      <w:r>
        <w:t>These include:</w:t>
      </w:r>
    </w:p>
    <w:p w14:paraId="4E2EE242" w14:textId="0FF692BF" w:rsidR="00B0598F" w:rsidRDefault="00B0598F" w:rsidP="002F091A">
      <w:pPr>
        <w:pStyle w:val="ListBullet"/>
        <w:tabs>
          <w:tab w:val="clear" w:pos="360"/>
          <w:tab w:val="num" w:pos="927"/>
        </w:tabs>
        <w:ind w:left="927"/>
      </w:pPr>
      <w:r>
        <w:t>The ACFR Residential Care Labour Costs and Hours Checklist</w:t>
      </w:r>
    </w:p>
    <w:p w14:paraId="6FD99957" w14:textId="3D339E45" w:rsidR="00FF0A02" w:rsidRDefault="003E7DC9" w:rsidP="002F091A">
      <w:pPr>
        <w:pStyle w:val="ListBullet"/>
        <w:tabs>
          <w:tab w:val="clear" w:pos="360"/>
          <w:tab w:val="num" w:pos="927"/>
        </w:tabs>
        <w:ind w:left="927"/>
      </w:pPr>
      <w:r>
        <w:t xml:space="preserve">ACFR template </w:t>
      </w:r>
    </w:p>
    <w:p w14:paraId="4A2BD068" w14:textId="0E94FE9F" w:rsidR="000D18F9" w:rsidRDefault="000D18F9" w:rsidP="002F091A">
      <w:pPr>
        <w:pStyle w:val="ListBullet"/>
        <w:tabs>
          <w:tab w:val="clear" w:pos="360"/>
          <w:tab w:val="num" w:pos="927"/>
        </w:tabs>
        <w:ind w:left="927"/>
      </w:pPr>
      <w:r>
        <w:t>ACFR definitions</w:t>
      </w:r>
    </w:p>
    <w:p w14:paraId="4DFF1B42" w14:textId="78B23B70" w:rsidR="000D18F9" w:rsidRDefault="00941343" w:rsidP="002F091A">
      <w:pPr>
        <w:pStyle w:val="ListBullet"/>
        <w:tabs>
          <w:tab w:val="clear" w:pos="360"/>
          <w:tab w:val="num" w:pos="927"/>
        </w:tabs>
        <w:ind w:left="927"/>
      </w:pPr>
      <w:r>
        <w:t>APCS</w:t>
      </w:r>
      <w:r w:rsidR="000D18F9">
        <w:t xml:space="preserve"> resources</w:t>
      </w:r>
    </w:p>
    <w:p w14:paraId="2D63E26A" w14:textId="77777777" w:rsidR="00A4123B" w:rsidRDefault="00A4123B" w:rsidP="00A4123B">
      <w:pPr>
        <w:rPr>
          <w:rFonts w:cs="Arial"/>
        </w:rPr>
      </w:pPr>
    </w:p>
    <w:p w14:paraId="05EB049B" w14:textId="77777777" w:rsidR="00B42F8F" w:rsidRDefault="00B42F8F" w:rsidP="00A4123B">
      <w:pPr>
        <w:rPr>
          <w:rFonts w:cs="Arial"/>
        </w:rPr>
      </w:pPr>
    </w:p>
    <w:p w14:paraId="739B14E1" w14:textId="77777777" w:rsidR="00B42F8F" w:rsidRDefault="00B42F8F" w:rsidP="00A4123B">
      <w:pPr>
        <w:rPr>
          <w:rFonts w:cs="Arial"/>
        </w:rPr>
      </w:pPr>
    </w:p>
    <w:p w14:paraId="2E368DCB" w14:textId="36E55107" w:rsidR="00B42F8F" w:rsidRDefault="00B42F8F">
      <w:pPr>
        <w:spacing w:before="0" w:after="0" w:line="240" w:lineRule="auto"/>
        <w:rPr>
          <w:rFonts w:cs="Arial"/>
        </w:rPr>
      </w:pPr>
      <w:r>
        <w:rPr>
          <w:rFonts w:cs="Arial"/>
        </w:rPr>
        <w:br w:type="page"/>
      </w:r>
    </w:p>
    <w:p w14:paraId="25D51303" w14:textId="77777777" w:rsidR="00287CA0" w:rsidRPr="00A4123B" w:rsidRDefault="00287CA0" w:rsidP="00A4123B">
      <w:pPr>
        <w:pStyle w:val="PullOut"/>
        <w:rPr>
          <w:lang w:val="en-US"/>
        </w:rPr>
      </w:pPr>
      <w:r w:rsidRPr="00A4123B">
        <w:rPr>
          <w:lang w:val="en-US"/>
        </w:rPr>
        <w:lastRenderedPageBreak/>
        <w:t>General FAQs</w:t>
      </w:r>
    </w:p>
    <w:bookmarkStart w:id="4" w:name="_Toc129167382"/>
    <w:bookmarkStart w:id="5" w:name="_Toc129186599"/>
    <w:p w14:paraId="63EC76D2" w14:textId="391207F1" w:rsidR="007C54DE" w:rsidRPr="00AC2588" w:rsidRDefault="009428A9" w:rsidP="004240CB">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250BBC">
        <w:rPr>
          <w:rFonts w:eastAsia="Calibri Light"/>
          <w:noProof/>
          <w:lang w:val="en-US"/>
        </w:rPr>
        <w:t>1</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250BBC">
        <w:rPr>
          <w:rFonts w:eastAsia="Calibri Light"/>
          <w:noProof/>
          <w:lang w:val="en-US"/>
        </w:rPr>
        <w:t>1</w:t>
      </w:r>
      <w:r>
        <w:rPr>
          <w:rFonts w:eastAsia="Calibri Light"/>
          <w:noProof/>
          <w:lang w:val="en-US"/>
        </w:rPr>
        <w:fldChar w:fldCharType="end"/>
      </w:r>
      <w:r w:rsidR="00AC2588" w:rsidRPr="00AC2588">
        <w:rPr>
          <w:rFonts w:eastAsia="Calibri Light"/>
          <w:noProof/>
          <w:lang w:val="en-US"/>
        </w:rPr>
        <w:t xml:space="preserve"> </w:t>
      </w:r>
      <w:r w:rsidR="003B3FC9" w:rsidRPr="00AC2588">
        <w:rPr>
          <w:rFonts w:eastAsia="Calibri Light"/>
          <w:noProof/>
          <w:lang w:val="en-US"/>
        </w:rPr>
        <w:t>Is the ACFR and quarter 1 (July to September) Quarterly Financial Report (QFR)</w:t>
      </w:r>
      <w:r w:rsidR="00AC2588">
        <w:rPr>
          <w:rFonts w:eastAsia="Calibri Light"/>
          <w:noProof/>
          <w:lang w:val="en-US"/>
        </w:rPr>
        <w:t xml:space="preserve"> </w:t>
      </w:r>
      <w:r w:rsidR="003B3FC9" w:rsidRPr="00AC2588">
        <w:rPr>
          <w:rFonts w:eastAsia="Calibri Light"/>
          <w:noProof/>
          <w:lang w:val="en-US"/>
        </w:rPr>
        <w:t xml:space="preserve">due at </w:t>
      </w:r>
      <w:r w:rsidR="00AC2588">
        <w:rPr>
          <w:rFonts w:eastAsia="Calibri Light"/>
          <w:noProof/>
          <w:lang w:val="en-US"/>
        </w:rPr>
        <w:t>a similar time?</w:t>
      </w:r>
    </w:p>
    <w:p w14:paraId="062D0BF2" w14:textId="78AF0796" w:rsidR="00AC2588" w:rsidRPr="00E20170" w:rsidRDefault="00A01EC7" w:rsidP="002F091A">
      <w:pPr>
        <w:pStyle w:val="BodyText"/>
        <w:rPr>
          <w:b/>
          <w:bCs/>
        </w:rPr>
      </w:pPr>
      <w:r w:rsidRPr="004240CB">
        <w:t>Yes.</w:t>
      </w:r>
      <w:r>
        <w:rPr>
          <w:b/>
          <w:bCs/>
        </w:rPr>
        <w:t xml:space="preserve"> </w:t>
      </w:r>
      <w:r w:rsidR="007C54DE" w:rsidRPr="00E20170">
        <w:t xml:space="preserve">The ACFR is due </w:t>
      </w:r>
      <w:r w:rsidR="002D4D87" w:rsidRPr="00E20170">
        <w:t>by</w:t>
      </w:r>
      <w:r w:rsidR="007C54DE" w:rsidRPr="00E20170">
        <w:t xml:space="preserve"> 31 October. </w:t>
      </w:r>
      <w:r w:rsidR="00AC2588" w:rsidRPr="00E20170">
        <w:t>The quarter 1 (July to September) QFR is due by 4 November.</w:t>
      </w:r>
    </w:p>
    <w:bookmarkStart w:id="6" w:name="_Toc144458492"/>
    <w:p w14:paraId="2DF9BDAB" w14:textId="2122E412" w:rsidR="00E32822" w:rsidRPr="00AC2588" w:rsidRDefault="009428A9" w:rsidP="004240CB">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250BBC">
        <w:rPr>
          <w:rFonts w:eastAsia="Calibri Light"/>
          <w:noProof/>
          <w:lang w:val="en-US"/>
        </w:rPr>
        <w:t>1</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250BBC">
        <w:rPr>
          <w:rFonts w:eastAsia="Calibri Light"/>
          <w:noProof/>
          <w:lang w:val="en-US"/>
        </w:rPr>
        <w:t>2</w:t>
      </w:r>
      <w:r>
        <w:rPr>
          <w:rFonts w:eastAsia="Calibri Light"/>
          <w:noProof/>
          <w:lang w:val="en-US"/>
        </w:rPr>
        <w:fldChar w:fldCharType="end"/>
      </w:r>
      <w:r w:rsidR="00AC2588" w:rsidRPr="00AC2588">
        <w:rPr>
          <w:rFonts w:eastAsia="Calibri Light"/>
          <w:noProof/>
          <w:lang w:val="en-US"/>
        </w:rPr>
        <w:t xml:space="preserve"> </w:t>
      </w:r>
      <w:r w:rsidR="00487439" w:rsidRPr="00AC2588">
        <w:rPr>
          <w:rFonts w:eastAsia="Calibri Light"/>
          <w:noProof/>
          <w:lang w:val="en-US"/>
        </w:rPr>
        <w:t>Do I submit</w:t>
      </w:r>
      <w:r w:rsidR="00E32822" w:rsidRPr="00AC2588">
        <w:rPr>
          <w:rFonts w:eastAsia="Calibri Light"/>
          <w:noProof/>
          <w:lang w:val="en-US"/>
        </w:rPr>
        <w:t xml:space="preserve"> </w:t>
      </w:r>
      <w:r w:rsidR="006652C6">
        <w:rPr>
          <w:rFonts w:eastAsia="Calibri Light"/>
          <w:noProof/>
          <w:lang w:val="en-US"/>
        </w:rPr>
        <w:t>ACFR and QFR</w:t>
      </w:r>
      <w:r w:rsidR="00E32822" w:rsidRPr="00AC2588">
        <w:rPr>
          <w:rFonts w:eastAsia="Calibri Light"/>
          <w:noProof/>
          <w:lang w:val="en-US"/>
        </w:rPr>
        <w:t xml:space="preserve"> </w:t>
      </w:r>
      <w:r w:rsidR="00487439" w:rsidRPr="00AC2588">
        <w:rPr>
          <w:rFonts w:eastAsia="Calibri Light"/>
          <w:noProof/>
          <w:lang w:val="en-US"/>
        </w:rPr>
        <w:t>in</w:t>
      </w:r>
      <w:r w:rsidR="00E32822" w:rsidRPr="00AC2588">
        <w:rPr>
          <w:rFonts w:eastAsia="Calibri Light"/>
          <w:noProof/>
          <w:lang w:val="en-US"/>
        </w:rPr>
        <w:t xml:space="preserve"> the same </w:t>
      </w:r>
      <w:r w:rsidR="00487439" w:rsidRPr="00AC2588">
        <w:rPr>
          <w:rFonts w:eastAsia="Calibri Light"/>
          <w:noProof/>
          <w:lang w:val="en-US"/>
        </w:rPr>
        <w:t>p</w:t>
      </w:r>
      <w:r w:rsidR="00E35FCD" w:rsidRPr="00AC2588">
        <w:rPr>
          <w:rFonts w:eastAsia="Calibri Light"/>
          <w:noProof/>
          <w:lang w:val="en-US"/>
        </w:rPr>
        <w:t xml:space="preserve">lace? </w:t>
      </w:r>
    </w:p>
    <w:p w14:paraId="46A8D23F" w14:textId="77777777" w:rsidR="00CF2E5E" w:rsidRDefault="00E32822" w:rsidP="002F091A">
      <w:pPr>
        <w:pStyle w:val="BodyText"/>
        <w:rPr>
          <w:b/>
          <w:bCs/>
        </w:rPr>
      </w:pPr>
      <w:r w:rsidRPr="00E20170">
        <w:t xml:space="preserve">No, </w:t>
      </w:r>
      <w:r w:rsidR="00AC2588" w:rsidRPr="00E20170">
        <w:t>t</w:t>
      </w:r>
      <w:r w:rsidRPr="00E20170">
        <w:t xml:space="preserve">he ACFR is completed on the </w:t>
      </w:r>
      <w:hyperlink r:id="rId25" w:history="1">
        <w:r w:rsidRPr="00A55509">
          <w:rPr>
            <w:rStyle w:val="Hyperlink"/>
          </w:rPr>
          <w:t>Forms Admin</w:t>
        </w:r>
        <w:r w:rsidR="2C791F08" w:rsidRPr="00A55509">
          <w:rPr>
            <w:rStyle w:val="Hyperlink"/>
          </w:rPr>
          <w:t>istration</w:t>
        </w:r>
        <w:r w:rsidRPr="00A55509">
          <w:rPr>
            <w:rStyle w:val="Hyperlink"/>
          </w:rPr>
          <w:t xml:space="preserve"> platform</w:t>
        </w:r>
      </w:hyperlink>
      <w:r w:rsidR="00AC2588" w:rsidRPr="00E20170">
        <w:t xml:space="preserve"> and the QFR is submitted via the </w:t>
      </w:r>
      <w:hyperlink r:id="rId26" w:history="1">
        <w:r w:rsidR="00AC2588" w:rsidRPr="005B2BA5">
          <w:rPr>
            <w:rStyle w:val="Hyperlink"/>
          </w:rPr>
          <w:t>Government Provider Management System</w:t>
        </w:r>
      </w:hyperlink>
      <w:r w:rsidR="00AC2588" w:rsidRPr="00E20170">
        <w:t xml:space="preserve"> (GPMS).</w:t>
      </w:r>
    </w:p>
    <w:p w14:paraId="23A32D9A" w14:textId="66227FAC" w:rsidR="00475990" w:rsidRPr="00AC2588" w:rsidRDefault="009428A9" w:rsidP="004240CB">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250BBC">
        <w:rPr>
          <w:rFonts w:eastAsia="Calibri Light"/>
          <w:noProof/>
          <w:lang w:val="en-US"/>
        </w:rPr>
        <w:t>1</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250BBC">
        <w:rPr>
          <w:rFonts w:eastAsia="Calibri Light"/>
          <w:noProof/>
          <w:lang w:val="en-US"/>
        </w:rPr>
        <w:t>3</w:t>
      </w:r>
      <w:r>
        <w:rPr>
          <w:rFonts w:eastAsia="Calibri Light"/>
          <w:noProof/>
          <w:lang w:val="en-US"/>
        </w:rPr>
        <w:fldChar w:fldCharType="end"/>
      </w:r>
      <w:r w:rsidR="00475990" w:rsidRPr="00AC2588">
        <w:rPr>
          <w:rFonts w:eastAsia="Calibri Light"/>
          <w:noProof/>
          <w:lang w:val="en-US"/>
        </w:rPr>
        <w:t xml:space="preserve"> Do</w:t>
      </w:r>
      <w:r w:rsidR="00183BBE">
        <w:rPr>
          <w:rFonts w:eastAsia="Calibri Light"/>
          <w:noProof/>
          <w:lang w:val="en-US"/>
        </w:rPr>
        <w:t>es the ACFR need to match the QFR?</w:t>
      </w:r>
      <w:r w:rsidR="00475990" w:rsidRPr="00AC2588">
        <w:rPr>
          <w:rFonts w:eastAsia="Calibri Light"/>
          <w:noProof/>
          <w:lang w:val="en-US"/>
        </w:rPr>
        <w:t xml:space="preserve"> </w:t>
      </w:r>
    </w:p>
    <w:p w14:paraId="1BDAFC37" w14:textId="0F91BECC" w:rsidR="004240CB" w:rsidRPr="00475990" w:rsidRDefault="00CE0635" w:rsidP="002F091A">
      <w:pPr>
        <w:pStyle w:val="BodyText"/>
        <w:rPr>
          <w:lang w:val="en-US"/>
        </w:rPr>
      </w:pPr>
      <w:r w:rsidRPr="0085361F">
        <w:rPr>
          <w:lang w:val="en-US"/>
        </w:rPr>
        <w:t xml:space="preserve">The </w:t>
      </w:r>
      <w:r>
        <w:rPr>
          <w:lang w:val="en-US"/>
        </w:rPr>
        <w:t>ACF</w:t>
      </w:r>
      <w:r w:rsidRPr="0085361F">
        <w:rPr>
          <w:lang w:val="en-US"/>
        </w:rPr>
        <w:t xml:space="preserve">R does not need to match the </w:t>
      </w:r>
      <w:r>
        <w:rPr>
          <w:lang w:val="en-US"/>
        </w:rPr>
        <w:t>Q</w:t>
      </w:r>
      <w:r w:rsidRPr="0085361F">
        <w:rPr>
          <w:lang w:val="en-US"/>
        </w:rPr>
        <w:t xml:space="preserve">FR. The four quarters of data </w:t>
      </w:r>
      <w:r>
        <w:rPr>
          <w:lang w:val="en-US"/>
        </w:rPr>
        <w:t xml:space="preserve">in the QFR </w:t>
      </w:r>
      <w:r w:rsidRPr="0085361F">
        <w:rPr>
          <w:lang w:val="en-US"/>
        </w:rPr>
        <w:t>do</w:t>
      </w:r>
      <w:r w:rsidR="00E655F7">
        <w:rPr>
          <w:lang w:val="en-US"/>
        </w:rPr>
        <w:t xml:space="preserve"> </w:t>
      </w:r>
      <w:r w:rsidRPr="0085361F">
        <w:rPr>
          <w:lang w:val="en-US"/>
        </w:rPr>
        <w:t>not need to add up to the ACFR. The year-to-date values reported in quarter</w:t>
      </w:r>
      <w:r>
        <w:rPr>
          <w:lang w:val="en-US"/>
        </w:rPr>
        <w:t xml:space="preserve"> 4</w:t>
      </w:r>
      <w:r w:rsidRPr="0085361F">
        <w:rPr>
          <w:lang w:val="en-US"/>
        </w:rPr>
        <w:t xml:space="preserve"> QFR income statement can differ to the ACFR where providers have not had the opportunity to input end of year adjustment journals in their </w:t>
      </w:r>
      <w:r>
        <w:rPr>
          <w:lang w:val="en-US"/>
        </w:rPr>
        <w:t xml:space="preserve">quarter 4 </w:t>
      </w:r>
      <w:r w:rsidRPr="0085361F">
        <w:rPr>
          <w:lang w:val="en-US"/>
        </w:rPr>
        <w:t>QFR. Although items need to be categorised correctly in the QFR, the department does not expect the QFR to perfectly match the data reported in the ACFR.</w:t>
      </w:r>
    </w:p>
    <w:p w14:paraId="1C88E271" w14:textId="0C3078C7" w:rsidR="00425836" w:rsidRPr="004F7E3C" w:rsidRDefault="00AC2588" w:rsidP="004240CB">
      <w:pPr>
        <w:pStyle w:val="Caption"/>
        <w:rPr>
          <w:rFonts w:eastAsia="Calibri Light"/>
          <w:noProof/>
          <w:lang w:val="en-US"/>
        </w:rPr>
      </w:pPr>
      <w:r w:rsidRPr="00475990">
        <w:rPr>
          <w:rFonts w:eastAsia="Calibri Light"/>
          <w:noProof/>
          <w:lang w:val="en-US"/>
        </w:rPr>
        <w:t xml:space="preserve"> </w:t>
      </w:r>
      <w:bookmarkStart w:id="7" w:name="_Hlk173749894"/>
      <w:bookmarkStart w:id="8" w:name="_Toc144458494"/>
      <w:bookmarkEnd w:id="6"/>
      <w:r w:rsidR="009428A9">
        <w:rPr>
          <w:rFonts w:eastAsia="Calibri Light"/>
          <w:noProof/>
          <w:lang w:val="en-US"/>
        </w:rPr>
        <w:fldChar w:fldCharType="begin"/>
      </w:r>
      <w:r w:rsidR="009428A9">
        <w:rPr>
          <w:rFonts w:eastAsia="Calibri Light"/>
          <w:noProof/>
          <w:lang w:val="en-US"/>
        </w:rPr>
        <w:instrText xml:space="preserve"> STYLEREF 1 \s </w:instrText>
      </w:r>
      <w:r w:rsidR="009428A9">
        <w:rPr>
          <w:rFonts w:eastAsia="Calibri Light"/>
          <w:noProof/>
          <w:lang w:val="en-US"/>
        </w:rPr>
        <w:fldChar w:fldCharType="separate"/>
      </w:r>
      <w:r w:rsidR="00250BBC">
        <w:rPr>
          <w:rFonts w:eastAsia="Calibri Light"/>
          <w:noProof/>
          <w:lang w:val="en-US"/>
        </w:rPr>
        <w:t>1</w:t>
      </w:r>
      <w:r w:rsidR="009428A9">
        <w:rPr>
          <w:rFonts w:eastAsia="Calibri Light"/>
          <w:noProof/>
          <w:lang w:val="en-US"/>
        </w:rPr>
        <w:fldChar w:fldCharType="end"/>
      </w:r>
      <w:r w:rsidR="009428A9">
        <w:rPr>
          <w:rFonts w:eastAsia="Calibri Light"/>
          <w:noProof/>
          <w:lang w:val="en-US"/>
        </w:rPr>
        <w:t>.</w:t>
      </w:r>
      <w:r w:rsidR="009428A9">
        <w:rPr>
          <w:rFonts w:eastAsia="Calibri Light"/>
          <w:noProof/>
          <w:lang w:val="en-US"/>
        </w:rPr>
        <w:fldChar w:fldCharType="begin"/>
      </w:r>
      <w:r w:rsidR="009428A9">
        <w:rPr>
          <w:rFonts w:eastAsia="Calibri Light"/>
          <w:noProof/>
          <w:lang w:val="en-US"/>
        </w:rPr>
        <w:instrText xml:space="preserve"> SEQ Figure \* ARABIC \s 1 </w:instrText>
      </w:r>
      <w:r w:rsidR="009428A9">
        <w:rPr>
          <w:rFonts w:eastAsia="Calibri Light"/>
          <w:noProof/>
          <w:lang w:val="en-US"/>
        </w:rPr>
        <w:fldChar w:fldCharType="separate"/>
      </w:r>
      <w:r w:rsidR="00250BBC">
        <w:rPr>
          <w:rFonts w:eastAsia="Calibri Light"/>
          <w:noProof/>
          <w:lang w:val="en-US"/>
        </w:rPr>
        <w:t>4</w:t>
      </w:r>
      <w:r w:rsidR="009428A9">
        <w:rPr>
          <w:rFonts w:eastAsia="Calibri Light"/>
          <w:noProof/>
          <w:lang w:val="en-US"/>
        </w:rPr>
        <w:fldChar w:fldCharType="end"/>
      </w:r>
      <w:r w:rsidR="004F7E3C" w:rsidRPr="004F7E3C">
        <w:rPr>
          <w:rFonts w:eastAsia="Calibri Light"/>
          <w:noProof/>
          <w:lang w:val="en-US"/>
        </w:rPr>
        <w:t xml:space="preserve"> </w:t>
      </w:r>
      <w:r w:rsidR="00422545" w:rsidRPr="00F96155">
        <w:rPr>
          <w:rFonts w:eastAsia="Calibri Light"/>
          <w:noProof/>
          <w:lang w:val="en-US"/>
        </w:rPr>
        <w:t xml:space="preserve">How can providers complete the </w:t>
      </w:r>
      <w:r w:rsidR="006652C6">
        <w:rPr>
          <w:rFonts w:eastAsia="Calibri Light"/>
          <w:noProof/>
          <w:lang w:val="en-US"/>
        </w:rPr>
        <w:t>ACFR</w:t>
      </w:r>
      <w:r w:rsidR="00C23A8A" w:rsidRPr="00F96155">
        <w:rPr>
          <w:rFonts w:eastAsia="Calibri Light"/>
          <w:noProof/>
          <w:lang w:val="en-US"/>
        </w:rPr>
        <w:t xml:space="preserve">? </w:t>
      </w:r>
    </w:p>
    <w:bookmarkEnd w:id="7"/>
    <w:p w14:paraId="2A21A736" w14:textId="5731A7BD" w:rsidR="00422545" w:rsidRPr="00087AC4" w:rsidRDefault="00422545" w:rsidP="004240CB">
      <w:pPr>
        <w:rPr>
          <w:lang w:val="en-US"/>
        </w:rPr>
      </w:pPr>
      <w:r w:rsidRPr="00087AC4">
        <w:rPr>
          <w:lang w:val="en-US"/>
        </w:rPr>
        <w:t xml:space="preserve">In addition to entering data directly into the ACFR portal, the following sections of the ACFR can be imported </w:t>
      </w:r>
      <w:r w:rsidR="00646CE0">
        <w:rPr>
          <w:lang w:val="en-US"/>
        </w:rPr>
        <w:t xml:space="preserve">digitally </w:t>
      </w:r>
      <w:r w:rsidRPr="00087AC4">
        <w:rPr>
          <w:lang w:val="en-US"/>
        </w:rPr>
        <w:t>via a</w:t>
      </w:r>
      <w:r w:rsidR="009B45AB">
        <w:rPr>
          <w:lang w:val="en-US"/>
        </w:rPr>
        <w:t xml:space="preserve">n </w:t>
      </w:r>
      <w:r w:rsidRPr="00087AC4">
        <w:rPr>
          <w:lang w:val="en-US"/>
        </w:rPr>
        <w:t>upload</w:t>
      </w:r>
      <w:r w:rsidR="00646CE0">
        <w:rPr>
          <w:lang w:val="en-US"/>
        </w:rPr>
        <w:t xml:space="preserve">ed </w:t>
      </w:r>
      <w:r w:rsidRPr="00087AC4">
        <w:rPr>
          <w:lang w:val="en-US"/>
        </w:rPr>
        <w:t>template:</w:t>
      </w:r>
    </w:p>
    <w:p w14:paraId="68188E4B" w14:textId="77777777" w:rsidR="00422545" w:rsidRPr="004240CB" w:rsidRDefault="00422545" w:rsidP="002F091A">
      <w:pPr>
        <w:pStyle w:val="ListBullet"/>
        <w:tabs>
          <w:tab w:val="clear" w:pos="360"/>
          <w:tab w:val="num" w:pos="720"/>
        </w:tabs>
        <w:ind w:left="720"/>
        <w:rPr>
          <w:lang w:val="en-US"/>
        </w:rPr>
      </w:pPr>
      <w:r w:rsidRPr="1BBB45AF">
        <w:rPr>
          <w:lang w:val="en-US"/>
        </w:rPr>
        <w:t>Residential service level income statement and hours</w:t>
      </w:r>
    </w:p>
    <w:p w14:paraId="1117BE9F" w14:textId="77777777" w:rsidR="00422545" w:rsidRPr="004240CB" w:rsidRDefault="00422545" w:rsidP="002F091A">
      <w:pPr>
        <w:pStyle w:val="ListBullet"/>
        <w:tabs>
          <w:tab w:val="clear" w:pos="360"/>
          <w:tab w:val="num" w:pos="720"/>
        </w:tabs>
        <w:ind w:left="720"/>
        <w:rPr>
          <w:lang w:val="en-US"/>
        </w:rPr>
      </w:pPr>
      <w:r w:rsidRPr="1BBB45AF">
        <w:rPr>
          <w:lang w:val="en-US"/>
        </w:rPr>
        <w:t>Home care planning region income statement and hours</w:t>
      </w:r>
    </w:p>
    <w:p w14:paraId="56F89867" w14:textId="33DB1AC7" w:rsidR="00422545" w:rsidRPr="004240CB" w:rsidRDefault="00422545" w:rsidP="002F091A">
      <w:pPr>
        <w:pStyle w:val="ListBullet"/>
        <w:tabs>
          <w:tab w:val="clear" w:pos="360"/>
          <w:tab w:val="num" w:pos="720"/>
        </w:tabs>
        <w:ind w:left="720"/>
        <w:rPr>
          <w:lang w:val="en-US"/>
        </w:rPr>
      </w:pPr>
      <w:r w:rsidRPr="1BBB45AF">
        <w:rPr>
          <w:lang w:val="en-US"/>
        </w:rPr>
        <w:t>Consolidated Segment Report</w:t>
      </w:r>
      <w:r w:rsidR="00396F63" w:rsidRPr="1BBB45AF">
        <w:rPr>
          <w:lang w:val="en-US"/>
        </w:rPr>
        <w:t>,</w:t>
      </w:r>
      <w:r w:rsidRPr="1BBB45AF">
        <w:rPr>
          <w:lang w:val="en-US"/>
        </w:rPr>
        <w:t xml:space="preserve"> and</w:t>
      </w:r>
    </w:p>
    <w:p w14:paraId="19FB7B91" w14:textId="77777777" w:rsidR="00422545" w:rsidRPr="004240CB" w:rsidRDefault="00422545" w:rsidP="002F091A">
      <w:pPr>
        <w:pStyle w:val="ListBullet"/>
        <w:tabs>
          <w:tab w:val="clear" w:pos="360"/>
          <w:tab w:val="num" w:pos="720"/>
        </w:tabs>
        <w:ind w:left="720"/>
        <w:rPr>
          <w:lang w:val="en-US"/>
        </w:rPr>
      </w:pPr>
      <w:r w:rsidRPr="1BBB45AF">
        <w:rPr>
          <w:lang w:val="en-US"/>
        </w:rPr>
        <w:t>Survey of Aged Care Homes (SACH)</w:t>
      </w:r>
    </w:p>
    <w:p w14:paraId="0479AF77" w14:textId="7C94DD61" w:rsidR="00407BEF" w:rsidRPr="00087AC4" w:rsidRDefault="00422545" w:rsidP="004240CB">
      <w:pPr>
        <w:rPr>
          <w:lang w:val="en-US"/>
        </w:rPr>
      </w:pPr>
      <w:r w:rsidRPr="00087AC4">
        <w:rPr>
          <w:lang w:val="en-US"/>
        </w:rPr>
        <w:t xml:space="preserve">All other sections of the ACFR need to be completed by entering data directly into the ACFR portal. </w:t>
      </w:r>
    </w:p>
    <w:p w14:paraId="74AFE791" w14:textId="34D12385" w:rsidR="00422545" w:rsidRDefault="00422545" w:rsidP="004240CB">
      <w:pPr>
        <w:rPr>
          <w:rStyle w:val="Hyperlink"/>
        </w:rPr>
      </w:pPr>
      <w:r w:rsidRPr="00087AC4">
        <w:rPr>
          <w:lang w:val="en-US"/>
        </w:rPr>
        <w:t>To assist providers with the approved provider movement schedules</w:t>
      </w:r>
      <w:r w:rsidR="00937DDF" w:rsidRPr="00087AC4">
        <w:rPr>
          <w:lang w:val="en-US"/>
        </w:rPr>
        <w:t>,</w:t>
      </w:r>
      <w:r w:rsidRPr="00087AC4">
        <w:rPr>
          <w:lang w:val="en-US"/>
        </w:rPr>
        <w:t xml:space="preserve"> each movement schedule has an introductory ‘Yes/No’ question that will auto-populate zero values in all fields if ‘No’ is selected. Data entered in the movement schedules will also auto-populate corresponding data items in the approved provider and residential balance sheet sections of the ACFR. </w:t>
      </w:r>
      <w:r w:rsidR="00646CE0">
        <w:rPr>
          <w:lang w:val="en-US"/>
        </w:rPr>
        <w:t>If</w:t>
      </w:r>
      <w:r w:rsidR="00F67CC2">
        <w:rPr>
          <w:lang w:val="en-US"/>
        </w:rPr>
        <w:t xml:space="preserve"> further</w:t>
      </w:r>
      <w:r w:rsidR="00646CE0">
        <w:rPr>
          <w:lang w:val="en-US"/>
        </w:rPr>
        <w:t xml:space="preserve"> guidance </w:t>
      </w:r>
      <w:r w:rsidR="00F67CC2">
        <w:rPr>
          <w:lang w:val="en-US"/>
        </w:rPr>
        <w:t xml:space="preserve">is required </w:t>
      </w:r>
      <w:r w:rsidR="00646CE0">
        <w:rPr>
          <w:lang w:val="en-US"/>
        </w:rPr>
        <w:t xml:space="preserve">on the upload process, </w:t>
      </w:r>
      <w:r w:rsidR="00646CE0" w:rsidRPr="00185F06">
        <w:rPr>
          <w:lang w:val="en-US"/>
        </w:rPr>
        <w:t xml:space="preserve">please </w:t>
      </w:r>
      <w:hyperlink w:anchor="_Questions_and_feedback" w:history="1">
        <w:r w:rsidR="00646CE0" w:rsidRPr="007A4661">
          <w:rPr>
            <w:rStyle w:val="Hyperlink"/>
            <w:lang w:val="en-US"/>
          </w:rPr>
          <w:t>contact Forms Administration</w:t>
        </w:r>
      </w:hyperlink>
      <w:r w:rsidR="00646CE0" w:rsidRPr="007129E8">
        <w:rPr>
          <w:rStyle w:val="Hyperlink"/>
          <w:u w:val="none"/>
        </w:rPr>
        <w:t>.</w:t>
      </w:r>
    </w:p>
    <w:bookmarkStart w:id="9" w:name="_Hlk173750123"/>
    <w:p w14:paraId="6B7FE049" w14:textId="733339A0" w:rsidR="00422545" w:rsidRPr="004F7E3C" w:rsidRDefault="009428A9" w:rsidP="004240CB">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250BBC">
        <w:rPr>
          <w:rFonts w:eastAsia="Calibri Light"/>
          <w:noProof/>
          <w:lang w:val="en-US"/>
        </w:rPr>
        <w:t>1</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250BBC">
        <w:rPr>
          <w:rFonts w:eastAsia="Calibri Light"/>
          <w:noProof/>
          <w:lang w:val="en-US"/>
        </w:rPr>
        <w:t>5</w:t>
      </w:r>
      <w:r>
        <w:rPr>
          <w:rFonts w:eastAsia="Calibri Light"/>
          <w:noProof/>
          <w:lang w:val="en-US"/>
        </w:rPr>
        <w:fldChar w:fldCharType="end"/>
      </w:r>
      <w:r w:rsidR="004F7E3C" w:rsidRPr="004F7E3C">
        <w:rPr>
          <w:rFonts w:eastAsia="Calibri Light"/>
          <w:noProof/>
          <w:lang w:val="en-US"/>
        </w:rPr>
        <w:t xml:space="preserve"> </w:t>
      </w:r>
      <w:r w:rsidR="00422545" w:rsidRPr="004F7E3C">
        <w:rPr>
          <w:rFonts w:eastAsia="Calibri Light"/>
          <w:noProof/>
          <w:lang w:val="en-US"/>
        </w:rPr>
        <w:t xml:space="preserve">What sections of the </w:t>
      </w:r>
      <w:r w:rsidR="00F90A6E" w:rsidRPr="004F7E3C">
        <w:rPr>
          <w:rFonts w:eastAsia="Calibri Light"/>
          <w:noProof/>
          <w:lang w:val="en-US"/>
        </w:rPr>
        <w:t>ACFR</w:t>
      </w:r>
      <w:r w:rsidR="00C23A8A" w:rsidRPr="004F7E3C">
        <w:rPr>
          <w:rFonts w:eastAsia="Calibri Light"/>
          <w:noProof/>
          <w:lang w:val="en-US"/>
        </w:rPr>
        <w:t xml:space="preserve"> </w:t>
      </w:r>
      <w:r w:rsidR="00422545" w:rsidRPr="004F7E3C">
        <w:rPr>
          <w:rFonts w:eastAsia="Calibri Light"/>
          <w:noProof/>
          <w:lang w:val="en-US"/>
        </w:rPr>
        <w:t>am I required to complete?</w:t>
      </w:r>
    </w:p>
    <w:bookmarkEnd w:id="9"/>
    <w:p w14:paraId="16C74826" w14:textId="0EE7AA3F" w:rsidR="00422545" w:rsidRDefault="00422545" w:rsidP="002F091A">
      <w:pPr>
        <w:pStyle w:val="BodyText"/>
        <w:rPr>
          <w:lang w:val="en-US"/>
        </w:rPr>
      </w:pPr>
      <w:r w:rsidRPr="004F7E3C">
        <w:rPr>
          <w:lang w:val="en-US"/>
        </w:rPr>
        <w:t xml:space="preserve">Each provider should only see the sections they are required to complete based on their aged care operations. If </w:t>
      </w:r>
      <w:r w:rsidR="006271D8">
        <w:rPr>
          <w:lang w:val="en-US"/>
        </w:rPr>
        <w:t>the</w:t>
      </w:r>
      <w:r w:rsidRPr="004F7E3C">
        <w:rPr>
          <w:lang w:val="en-US"/>
        </w:rPr>
        <w:t xml:space="preserve"> sections displayed are incorrect, please contact </w:t>
      </w:r>
      <w:hyperlink w:anchor="_Questions_and_feedback" w:history="1">
        <w:r w:rsidRPr="008517BC">
          <w:rPr>
            <w:rStyle w:val="Hyperlink"/>
            <w:lang w:val="en-US"/>
          </w:rPr>
          <w:t>Forms Administration</w:t>
        </w:r>
      </w:hyperlink>
      <w:r w:rsidR="00471ED7">
        <w:rPr>
          <w:lang w:val="en-US"/>
        </w:rPr>
        <w:t>.</w:t>
      </w:r>
    </w:p>
    <w:p w14:paraId="447D2FBB" w14:textId="3AFC6DB2" w:rsidR="00BF66E7" w:rsidRPr="004F7E3C" w:rsidRDefault="009428A9" w:rsidP="00E32F38">
      <w:pPr>
        <w:pStyle w:val="Caption"/>
        <w:rPr>
          <w:rFonts w:eastAsia="Calibri Light"/>
          <w:noProof/>
          <w:lang w:val="en-US"/>
        </w:rPr>
      </w:pPr>
      <w:r>
        <w:rPr>
          <w:rFonts w:eastAsia="Calibri Light"/>
          <w:noProof/>
          <w:lang w:val="en-US"/>
        </w:rPr>
        <w:lastRenderedPageBreak/>
        <w:fldChar w:fldCharType="begin"/>
      </w:r>
      <w:r>
        <w:rPr>
          <w:rFonts w:eastAsia="Calibri Light"/>
          <w:noProof/>
          <w:lang w:val="en-US"/>
        </w:rPr>
        <w:instrText xml:space="preserve"> STYLEREF 1 \s </w:instrText>
      </w:r>
      <w:r>
        <w:rPr>
          <w:rFonts w:eastAsia="Calibri Light"/>
          <w:noProof/>
          <w:lang w:val="en-US"/>
        </w:rPr>
        <w:fldChar w:fldCharType="separate"/>
      </w:r>
      <w:r w:rsidR="00250BBC">
        <w:rPr>
          <w:rFonts w:eastAsia="Calibri Light"/>
          <w:noProof/>
          <w:lang w:val="en-US"/>
        </w:rPr>
        <w:t>1</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250BBC">
        <w:rPr>
          <w:rFonts w:eastAsia="Calibri Light"/>
          <w:noProof/>
          <w:lang w:val="en-US"/>
        </w:rPr>
        <w:t>6</w:t>
      </w:r>
      <w:r>
        <w:rPr>
          <w:rFonts w:eastAsia="Calibri Light"/>
          <w:noProof/>
          <w:lang w:val="en-US"/>
        </w:rPr>
        <w:fldChar w:fldCharType="end"/>
      </w:r>
      <w:r w:rsidR="004F7E3C" w:rsidRPr="004F7E3C">
        <w:rPr>
          <w:rFonts w:eastAsia="Calibri Light"/>
          <w:noProof/>
          <w:lang w:val="en-US"/>
        </w:rPr>
        <w:t xml:space="preserve"> </w:t>
      </w:r>
      <w:r w:rsidR="00BF66E7" w:rsidRPr="004F7E3C">
        <w:rPr>
          <w:rFonts w:eastAsia="Calibri Light"/>
          <w:noProof/>
          <w:lang w:val="en-US"/>
        </w:rPr>
        <w:t>If the approved provider is a franchisor that supports business processes to the franchise group but does not provide services directly, whose accounts are reported at the approved provider level?</w:t>
      </w:r>
    </w:p>
    <w:p w14:paraId="5132B2C6" w14:textId="110808D7" w:rsidR="00BF66E7" w:rsidRPr="002F091A" w:rsidRDefault="00BF66E7" w:rsidP="00AF0E12">
      <w:pPr>
        <w:pStyle w:val="BodyText"/>
      </w:pPr>
      <w:r w:rsidRPr="002F091A">
        <w:t xml:space="preserve">The approved provider is responsible for the operations of all its services. If a franchisor is the approved provider, they are responsible for all services operating under their </w:t>
      </w:r>
      <w:r w:rsidR="00406A6F" w:rsidRPr="002F091A">
        <w:t xml:space="preserve">GPMS </w:t>
      </w:r>
      <w:r w:rsidR="009210D4" w:rsidRPr="002F091A">
        <w:t xml:space="preserve">number. </w:t>
      </w:r>
      <w:r w:rsidRPr="002F091A">
        <w:t xml:space="preserve">They are required to report the total income, expenses, assets, liabilities, and equity of all franchisees in its approved provider income statement and balance sheet. </w:t>
      </w:r>
    </w:p>
    <w:p w14:paraId="39859C2B" w14:textId="2B98EDE4" w:rsidR="00425836" w:rsidRPr="004F7E3C" w:rsidRDefault="009428A9" w:rsidP="00E32F38">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250BBC">
        <w:rPr>
          <w:rFonts w:eastAsia="Calibri Light"/>
          <w:noProof/>
          <w:lang w:val="en-US"/>
        </w:rPr>
        <w:t>1</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250BBC">
        <w:rPr>
          <w:rFonts w:eastAsia="Calibri Light"/>
          <w:noProof/>
          <w:lang w:val="en-US"/>
        </w:rPr>
        <w:t>7</w:t>
      </w:r>
      <w:r>
        <w:rPr>
          <w:rFonts w:eastAsia="Calibri Light"/>
          <w:noProof/>
          <w:lang w:val="en-US"/>
        </w:rPr>
        <w:fldChar w:fldCharType="end"/>
      </w:r>
      <w:r w:rsidR="004F7E3C" w:rsidRPr="004F7E3C">
        <w:rPr>
          <w:rFonts w:eastAsia="Calibri Light"/>
          <w:noProof/>
          <w:lang w:val="en-US"/>
        </w:rPr>
        <w:t xml:space="preserve"> </w:t>
      </w:r>
      <w:r w:rsidR="00425836" w:rsidRPr="004F7E3C">
        <w:rPr>
          <w:rFonts w:eastAsia="Calibri Light"/>
          <w:noProof/>
          <w:lang w:val="en-US"/>
        </w:rPr>
        <w:t xml:space="preserve">Does the </w:t>
      </w:r>
      <w:r w:rsidR="00F71385">
        <w:rPr>
          <w:rFonts w:eastAsia="Calibri Light"/>
          <w:noProof/>
          <w:lang w:val="en-US"/>
        </w:rPr>
        <w:t xml:space="preserve">ACFR </w:t>
      </w:r>
      <w:r w:rsidR="00425836" w:rsidRPr="004F7E3C">
        <w:rPr>
          <w:rFonts w:eastAsia="Calibri Light"/>
          <w:noProof/>
          <w:lang w:val="en-US"/>
        </w:rPr>
        <w:t>need to be completed in a certain order?</w:t>
      </w:r>
    </w:p>
    <w:p w14:paraId="10811D67" w14:textId="4C5BEEF1" w:rsidR="00425836" w:rsidRPr="00E32F38" w:rsidRDefault="00425836" w:rsidP="002F091A">
      <w:pPr>
        <w:pStyle w:val="BodyText"/>
        <w:rPr>
          <w:lang w:val="en-US"/>
        </w:rPr>
      </w:pPr>
      <w:r w:rsidRPr="00E32F38">
        <w:rPr>
          <w:lang w:val="en-US"/>
        </w:rPr>
        <w:t xml:space="preserve">Whilst providers can complete the ACFR sections in any order they choose, several sections contain links that auto-populate other sections of the ACFR and therefore should be completed earlier in the process. </w:t>
      </w:r>
    </w:p>
    <w:p w14:paraId="6F87AF06" w14:textId="44FA6B93" w:rsidR="00B6481C" w:rsidRPr="00E32F38" w:rsidRDefault="00425836" w:rsidP="002F091A">
      <w:pPr>
        <w:pStyle w:val="BodyText"/>
        <w:rPr>
          <w:lang w:val="en-US"/>
        </w:rPr>
      </w:pPr>
      <w:r w:rsidRPr="00E32F38">
        <w:rPr>
          <w:lang w:val="en-US"/>
        </w:rPr>
        <w:t xml:space="preserve">All approved provider movement schedules auto-populate information into both the approved provider and residential </w:t>
      </w:r>
      <w:r w:rsidR="00841070" w:rsidRPr="00E32F38">
        <w:rPr>
          <w:lang w:val="en-US"/>
        </w:rPr>
        <w:t>B</w:t>
      </w:r>
      <w:r w:rsidRPr="00E32F38">
        <w:rPr>
          <w:lang w:val="en-US"/>
        </w:rPr>
        <w:t xml:space="preserve">alance </w:t>
      </w:r>
      <w:r w:rsidR="00841070" w:rsidRPr="00E32F38">
        <w:rPr>
          <w:lang w:val="en-US"/>
        </w:rPr>
        <w:t>S</w:t>
      </w:r>
      <w:r w:rsidRPr="00E32F38">
        <w:rPr>
          <w:lang w:val="en-US"/>
        </w:rPr>
        <w:t xml:space="preserve">heet. Likewise, the ‘Compliance with Permitted Uses for Accommodation Payments’ section of the APCS and the approved provider cash flow statement auto-populate data into the ‘Approved Provider Permitted Uses Reconciliation’. </w:t>
      </w:r>
    </w:p>
    <w:p w14:paraId="1D4C2FC4" w14:textId="6D738CFC" w:rsidR="002B5148" w:rsidRDefault="009428A9" w:rsidP="00E32F38">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250BBC">
        <w:rPr>
          <w:rFonts w:eastAsia="Calibri Light"/>
          <w:noProof/>
          <w:lang w:val="en-US"/>
        </w:rPr>
        <w:t>1</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250BBC">
        <w:rPr>
          <w:rFonts w:eastAsia="Calibri Light"/>
          <w:noProof/>
          <w:lang w:val="en-US"/>
        </w:rPr>
        <w:t>8</w:t>
      </w:r>
      <w:r>
        <w:rPr>
          <w:rFonts w:eastAsia="Calibri Light"/>
          <w:noProof/>
          <w:lang w:val="en-US"/>
        </w:rPr>
        <w:fldChar w:fldCharType="end"/>
      </w:r>
      <w:r w:rsidR="006C6BFA" w:rsidRPr="006C6BFA">
        <w:rPr>
          <w:rFonts w:eastAsia="Calibri Light"/>
          <w:noProof/>
          <w:lang w:val="en-US"/>
        </w:rPr>
        <w:t xml:space="preserve"> If a provider has exited or entered the market </w:t>
      </w:r>
      <w:r w:rsidR="00800A17">
        <w:rPr>
          <w:rFonts w:eastAsia="Calibri Light"/>
          <w:noProof/>
          <w:lang w:val="en-US"/>
        </w:rPr>
        <w:t xml:space="preserve">in the </w:t>
      </w:r>
      <w:r w:rsidR="00827231">
        <w:rPr>
          <w:rFonts w:eastAsia="Calibri Light"/>
          <w:noProof/>
          <w:lang w:val="en-US"/>
        </w:rPr>
        <w:t>relevant finanical reporting period</w:t>
      </w:r>
      <w:r w:rsidR="00F66AE7">
        <w:rPr>
          <w:rFonts w:eastAsia="Calibri Light"/>
          <w:noProof/>
          <w:lang w:val="en-US"/>
        </w:rPr>
        <w:t>,</w:t>
      </w:r>
      <w:r w:rsidR="006C6BFA" w:rsidRPr="006C6BFA">
        <w:rPr>
          <w:rFonts w:eastAsia="Calibri Light"/>
          <w:noProof/>
          <w:lang w:val="en-US"/>
        </w:rPr>
        <w:t xml:space="preserve"> do they need </w:t>
      </w:r>
      <w:r w:rsidR="00800A17">
        <w:rPr>
          <w:rFonts w:eastAsia="Calibri Light"/>
          <w:noProof/>
          <w:lang w:val="en-US"/>
        </w:rPr>
        <w:t>to submit an ACFR</w:t>
      </w:r>
      <w:r w:rsidR="006C6BFA" w:rsidRPr="006C6BFA">
        <w:rPr>
          <w:rFonts w:eastAsia="Calibri Light"/>
          <w:noProof/>
          <w:lang w:val="en-US"/>
        </w:rPr>
        <w:t>?</w:t>
      </w:r>
    </w:p>
    <w:p w14:paraId="45E0B539" w14:textId="57B9B61B" w:rsidR="006C6BFA" w:rsidRDefault="00FC6DE2" w:rsidP="002F091A">
      <w:pPr>
        <w:pStyle w:val="BodyText"/>
        <w:rPr>
          <w:lang w:val="en-US"/>
        </w:rPr>
      </w:pPr>
      <w:r>
        <w:rPr>
          <w:lang w:val="en-US"/>
        </w:rPr>
        <w:t xml:space="preserve">Yes. </w:t>
      </w:r>
      <w:r w:rsidR="00FF11B5">
        <w:rPr>
          <w:lang w:val="en-US"/>
        </w:rPr>
        <w:t>All</w:t>
      </w:r>
      <w:r w:rsidR="00F90E42">
        <w:rPr>
          <w:lang w:val="en-US"/>
        </w:rPr>
        <w:t xml:space="preserve"> </w:t>
      </w:r>
      <w:r w:rsidR="00FF11B5">
        <w:rPr>
          <w:lang w:val="en-US"/>
        </w:rPr>
        <w:t>providers</w:t>
      </w:r>
      <w:r>
        <w:rPr>
          <w:lang w:val="en-US"/>
        </w:rPr>
        <w:t xml:space="preserve"> that have received a subsidy </w:t>
      </w:r>
      <w:r w:rsidR="007A4661">
        <w:rPr>
          <w:lang w:val="en-US"/>
        </w:rPr>
        <w:t>in the</w:t>
      </w:r>
      <w:r w:rsidR="005132CD">
        <w:rPr>
          <w:lang w:val="en-US"/>
        </w:rPr>
        <w:t xml:space="preserve"> </w:t>
      </w:r>
      <w:r w:rsidR="009E722B">
        <w:rPr>
          <w:lang w:val="en-US"/>
        </w:rPr>
        <w:t xml:space="preserve">relevant </w:t>
      </w:r>
      <w:r w:rsidR="00482EAF">
        <w:rPr>
          <w:lang w:val="en-US"/>
        </w:rPr>
        <w:t xml:space="preserve">financial </w:t>
      </w:r>
      <w:r w:rsidR="00D944B0">
        <w:rPr>
          <w:lang w:val="en-US"/>
        </w:rPr>
        <w:t>reporting</w:t>
      </w:r>
      <w:r w:rsidR="007A4661">
        <w:rPr>
          <w:lang w:val="en-US"/>
        </w:rPr>
        <w:t xml:space="preserve"> </w:t>
      </w:r>
      <w:r w:rsidR="009E722B">
        <w:rPr>
          <w:lang w:val="en-US"/>
        </w:rPr>
        <w:t xml:space="preserve">period </w:t>
      </w:r>
      <w:r w:rsidR="005132CD">
        <w:rPr>
          <w:lang w:val="en-US"/>
        </w:rPr>
        <w:t>for the ACFR</w:t>
      </w:r>
      <w:r>
        <w:rPr>
          <w:lang w:val="en-US"/>
        </w:rPr>
        <w:t xml:space="preserve"> need to </w:t>
      </w:r>
      <w:r w:rsidR="00F90E42">
        <w:rPr>
          <w:lang w:val="en-US"/>
        </w:rPr>
        <w:t>report, including those that have exited the market</w:t>
      </w:r>
      <w:r w:rsidR="00386BF7">
        <w:rPr>
          <w:lang w:val="en-US"/>
        </w:rPr>
        <w:t xml:space="preserve"> and entered the market. </w:t>
      </w:r>
    </w:p>
    <w:p w14:paraId="67F0FEE6" w14:textId="2D0F7137" w:rsidR="00B42B72" w:rsidRDefault="009428A9" w:rsidP="00E32F38">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250BBC">
        <w:rPr>
          <w:rFonts w:eastAsia="Calibri Light"/>
          <w:noProof/>
          <w:lang w:val="en-US"/>
        </w:rPr>
        <w:t>1</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250BBC">
        <w:rPr>
          <w:rFonts w:eastAsia="Calibri Light"/>
          <w:noProof/>
          <w:lang w:val="en-US"/>
        </w:rPr>
        <w:t>9</w:t>
      </w:r>
      <w:r>
        <w:rPr>
          <w:rFonts w:eastAsia="Calibri Light"/>
          <w:noProof/>
          <w:lang w:val="en-US"/>
        </w:rPr>
        <w:fldChar w:fldCharType="end"/>
      </w:r>
      <w:r w:rsidR="00B42B72" w:rsidRPr="006C6BFA">
        <w:rPr>
          <w:rFonts w:eastAsia="Calibri Light"/>
          <w:noProof/>
          <w:lang w:val="en-US"/>
        </w:rPr>
        <w:t xml:space="preserve"> If </w:t>
      </w:r>
      <w:r w:rsidR="00B42B72">
        <w:rPr>
          <w:rFonts w:eastAsia="Calibri Light"/>
          <w:noProof/>
          <w:lang w:val="en-US"/>
        </w:rPr>
        <w:t xml:space="preserve">the ownership of a </w:t>
      </w:r>
      <w:r w:rsidR="00507D1D">
        <w:rPr>
          <w:rFonts w:eastAsia="Calibri Light"/>
          <w:noProof/>
          <w:lang w:val="en-US"/>
        </w:rPr>
        <w:t>service</w:t>
      </w:r>
      <w:r w:rsidR="00B42B72">
        <w:rPr>
          <w:rFonts w:eastAsia="Calibri Light"/>
          <w:noProof/>
          <w:lang w:val="en-US"/>
        </w:rPr>
        <w:t xml:space="preserve"> has changed hands in </w:t>
      </w:r>
      <w:r w:rsidR="0050178F">
        <w:rPr>
          <w:rFonts w:eastAsia="Calibri Light"/>
          <w:noProof/>
          <w:lang w:val="en-US"/>
        </w:rPr>
        <w:t>the relevant finanical reporting period</w:t>
      </w:r>
      <w:r w:rsidR="00717F23">
        <w:rPr>
          <w:rFonts w:eastAsia="Calibri Light"/>
          <w:noProof/>
          <w:lang w:val="en-US"/>
        </w:rPr>
        <w:t xml:space="preserve">, who is required to report in the ACFR? </w:t>
      </w:r>
    </w:p>
    <w:p w14:paraId="6FD2FFFD" w14:textId="60DA76DE" w:rsidR="004A524E" w:rsidRPr="004A524E" w:rsidRDefault="00507D1D" w:rsidP="002F091A">
      <w:pPr>
        <w:pStyle w:val="BodyText"/>
        <w:rPr>
          <w:lang w:val="en-US"/>
        </w:rPr>
      </w:pPr>
      <w:r>
        <w:rPr>
          <w:lang w:val="en-US"/>
        </w:rPr>
        <w:t xml:space="preserve">If a service has been taken over by a new provider, both the seller and acquirer need to </w:t>
      </w:r>
      <w:r w:rsidR="00F36145" w:rsidRPr="004A524E">
        <w:rPr>
          <w:lang w:val="en-US"/>
        </w:rPr>
        <w:t xml:space="preserve">report for the period they owned the </w:t>
      </w:r>
      <w:r w:rsidR="006F6060">
        <w:rPr>
          <w:lang w:val="en-US"/>
        </w:rPr>
        <w:t>service</w:t>
      </w:r>
      <w:r w:rsidR="00F36145" w:rsidRPr="004A524E">
        <w:rPr>
          <w:lang w:val="en-US"/>
        </w:rPr>
        <w:t xml:space="preserve">. </w:t>
      </w:r>
    </w:p>
    <w:p w14:paraId="27F217D1" w14:textId="552C6D7C" w:rsidR="00022840" w:rsidRDefault="004A524E" w:rsidP="002F091A">
      <w:pPr>
        <w:pStyle w:val="BodyText"/>
        <w:rPr>
          <w:lang w:val="en-US"/>
        </w:rPr>
      </w:pPr>
      <w:r>
        <w:rPr>
          <w:lang w:val="en-US"/>
        </w:rPr>
        <w:t>For example,</w:t>
      </w:r>
      <w:r w:rsidR="00A72BDF" w:rsidRPr="004A524E">
        <w:rPr>
          <w:lang w:val="en-US"/>
        </w:rPr>
        <w:t xml:space="preserve"> if </w:t>
      </w:r>
      <w:r>
        <w:rPr>
          <w:lang w:val="en-US"/>
        </w:rPr>
        <w:t>one entity</w:t>
      </w:r>
      <w:r w:rsidR="00A72BDF" w:rsidRPr="004A524E">
        <w:rPr>
          <w:lang w:val="en-US"/>
        </w:rPr>
        <w:t xml:space="preserve"> owne</w:t>
      </w:r>
      <w:r>
        <w:rPr>
          <w:lang w:val="en-US"/>
        </w:rPr>
        <w:t>d</w:t>
      </w:r>
      <w:r w:rsidR="00A72BDF" w:rsidRPr="004A524E">
        <w:rPr>
          <w:lang w:val="en-US"/>
        </w:rPr>
        <w:t xml:space="preserve"> the </w:t>
      </w:r>
      <w:r w:rsidR="006F6060">
        <w:rPr>
          <w:lang w:val="en-US"/>
        </w:rPr>
        <w:t xml:space="preserve">service </w:t>
      </w:r>
      <w:r w:rsidR="00A72BDF" w:rsidRPr="004A524E">
        <w:rPr>
          <w:lang w:val="en-US"/>
        </w:rPr>
        <w:t xml:space="preserve">for </w:t>
      </w:r>
      <w:r w:rsidR="40A2675A" w:rsidRPr="2FD4891D">
        <w:rPr>
          <w:lang w:val="en-US"/>
        </w:rPr>
        <w:t>5</w:t>
      </w:r>
      <w:r w:rsidR="00A72BDF" w:rsidRPr="004A524E">
        <w:rPr>
          <w:lang w:val="en-US"/>
        </w:rPr>
        <w:t xml:space="preserve"> months </w:t>
      </w:r>
      <w:r>
        <w:rPr>
          <w:lang w:val="en-US"/>
        </w:rPr>
        <w:t xml:space="preserve">of the year </w:t>
      </w:r>
      <w:r w:rsidR="00A72BDF" w:rsidRPr="004A524E">
        <w:rPr>
          <w:lang w:val="en-US"/>
        </w:rPr>
        <w:t>and then sold it to another entity, the original</w:t>
      </w:r>
      <w:r w:rsidR="00DF726C" w:rsidRPr="004A524E">
        <w:rPr>
          <w:lang w:val="en-US"/>
        </w:rPr>
        <w:t xml:space="preserve"> owner must </w:t>
      </w:r>
      <w:r w:rsidR="7F90BB10" w:rsidRPr="0A22CD89">
        <w:rPr>
          <w:lang w:val="en-US"/>
        </w:rPr>
        <w:t>complete</w:t>
      </w:r>
      <w:r w:rsidR="00DF726C" w:rsidRPr="004A524E">
        <w:rPr>
          <w:lang w:val="en-US"/>
        </w:rPr>
        <w:t xml:space="preserve"> the ACFR for the </w:t>
      </w:r>
      <w:r w:rsidR="0ABA189C" w:rsidRPr="2FD4891D">
        <w:rPr>
          <w:lang w:val="en-US"/>
        </w:rPr>
        <w:t>5</w:t>
      </w:r>
      <w:r w:rsidR="00DF726C" w:rsidRPr="004A524E">
        <w:rPr>
          <w:lang w:val="en-US"/>
        </w:rPr>
        <w:t xml:space="preserve"> months they owned the business (1 July to </w:t>
      </w:r>
      <w:r w:rsidR="00DF726C" w:rsidRPr="2FD4891D">
        <w:rPr>
          <w:lang w:val="en-US"/>
        </w:rPr>
        <w:t>3</w:t>
      </w:r>
      <w:r w:rsidR="149E2A12" w:rsidRPr="2FD4891D">
        <w:rPr>
          <w:lang w:val="en-US"/>
        </w:rPr>
        <w:t>0 November</w:t>
      </w:r>
      <w:r w:rsidR="00DF726C" w:rsidRPr="2FD4891D">
        <w:rPr>
          <w:lang w:val="en-US"/>
        </w:rPr>
        <w:t>).</w:t>
      </w:r>
      <w:r w:rsidR="00DF726C" w:rsidRPr="004A524E">
        <w:rPr>
          <w:lang w:val="en-US"/>
        </w:rPr>
        <w:t xml:space="preserve"> </w:t>
      </w:r>
      <w:r>
        <w:rPr>
          <w:lang w:val="en-US"/>
        </w:rPr>
        <w:t>The</w:t>
      </w:r>
      <w:r w:rsidR="00DF726C" w:rsidRPr="004A524E">
        <w:rPr>
          <w:lang w:val="en-US"/>
        </w:rPr>
        <w:t xml:space="preserve"> new </w:t>
      </w:r>
      <w:r w:rsidRPr="004A524E">
        <w:rPr>
          <w:lang w:val="en-US"/>
        </w:rPr>
        <w:t>entity that owns the</w:t>
      </w:r>
      <w:r w:rsidR="006F6060">
        <w:rPr>
          <w:lang w:val="en-US"/>
        </w:rPr>
        <w:t xml:space="preserve"> service</w:t>
      </w:r>
      <w:r w:rsidRPr="004A524E">
        <w:rPr>
          <w:lang w:val="en-US"/>
        </w:rPr>
        <w:t xml:space="preserve"> must </w:t>
      </w:r>
      <w:r>
        <w:rPr>
          <w:lang w:val="en-US"/>
        </w:rPr>
        <w:t xml:space="preserve">complete the </w:t>
      </w:r>
      <w:r w:rsidRPr="004A524E">
        <w:rPr>
          <w:lang w:val="en-US"/>
        </w:rPr>
        <w:t>report</w:t>
      </w:r>
      <w:r>
        <w:rPr>
          <w:lang w:val="en-US"/>
        </w:rPr>
        <w:t>ing</w:t>
      </w:r>
      <w:r w:rsidRPr="004A524E">
        <w:rPr>
          <w:lang w:val="en-US"/>
        </w:rPr>
        <w:t xml:space="preserve"> in the ACF</w:t>
      </w:r>
      <w:r>
        <w:rPr>
          <w:lang w:val="en-US"/>
        </w:rPr>
        <w:t>R</w:t>
      </w:r>
      <w:r w:rsidRPr="004A524E">
        <w:rPr>
          <w:lang w:val="en-US"/>
        </w:rPr>
        <w:t xml:space="preserve"> for the remain</w:t>
      </w:r>
      <w:r>
        <w:rPr>
          <w:lang w:val="en-US"/>
        </w:rPr>
        <w:t>d</w:t>
      </w:r>
      <w:r w:rsidRPr="004A524E">
        <w:rPr>
          <w:lang w:val="en-US"/>
        </w:rPr>
        <w:t>er of the financial year</w:t>
      </w:r>
      <w:r>
        <w:rPr>
          <w:lang w:val="en-US"/>
        </w:rPr>
        <w:t xml:space="preserve"> (1 </w:t>
      </w:r>
      <w:r w:rsidR="0E7B75D5" w:rsidRPr="2FD4891D">
        <w:rPr>
          <w:lang w:val="en-US"/>
        </w:rPr>
        <w:t>December</w:t>
      </w:r>
      <w:r>
        <w:rPr>
          <w:lang w:val="en-US"/>
        </w:rPr>
        <w:t xml:space="preserve"> to 30 June). </w:t>
      </w:r>
    </w:p>
    <w:p w14:paraId="22DF9385" w14:textId="77777777" w:rsidR="005C1D55" w:rsidRPr="007129E8" w:rsidRDefault="00F261A2" w:rsidP="007129E8">
      <w:pPr>
        <w:pStyle w:val="Caption"/>
        <w:rPr>
          <w:rFonts w:eastAsia="Calibri Light"/>
          <w:lang w:val="en-US"/>
        </w:rPr>
      </w:pPr>
      <w:r w:rsidRPr="007129E8">
        <w:rPr>
          <w:rFonts w:eastAsia="Calibri Light"/>
          <w:lang w:val="en-US"/>
        </w:rPr>
        <w:t xml:space="preserve">1.10 Are there any changes to the 2024-25 ACFR in line with the New Aged Care Act? </w:t>
      </w:r>
    </w:p>
    <w:p w14:paraId="17643C37" w14:textId="014C5C48" w:rsidR="005776B3" w:rsidRDefault="00F261A2" w:rsidP="005C1D55">
      <w:pPr>
        <w:pStyle w:val="BodyText"/>
        <w:rPr>
          <w:sz w:val="22"/>
          <w:szCs w:val="22"/>
          <w:lang w:val="en-US"/>
        </w:rPr>
      </w:pPr>
      <w:r w:rsidRPr="007129E8">
        <w:rPr>
          <w:sz w:val="22"/>
          <w:szCs w:val="22"/>
          <w:lang w:val="en-US"/>
        </w:rPr>
        <w:t xml:space="preserve">No, this ACFR is being completed for 2024-25, there are no changes as a result of the New </w:t>
      </w:r>
      <w:r w:rsidRPr="00D6232D">
        <w:rPr>
          <w:i/>
          <w:iCs/>
          <w:sz w:val="22"/>
          <w:szCs w:val="22"/>
          <w:lang w:val="en-US"/>
        </w:rPr>
        <w:t>Aged Care Act</w:t>
      </w:r>
      <w:r w:rsidR="00E655F7" w:rsidRPr="00D6232D">
        <w:rPr>
          <w:i/>
          <w:iCs/>
          <w:sz w:val="22"/>
          <w:szCs w:val="22"/>
          <w:lang w:val="en-US"/>
        </w:rPr>
        <w:t xml:space="preserve"> 2024</w:t>
      </w:r>
      <w:r w:rsidR="00E655F7">
        <w:rPr>
          <w:sz w:val="22"/>
          <w:szCs w:val="22"/>
          <w:lang w:val="en-US"/>
        </w:rPr>
        <w:t xml:space="preserve"> (Cth)</w:t>
      </w:r>
      <w:r w:rsidRPr="007129E8">
        <w:rPr>
          <w:sz w:val="22"/>
          <w:szCs w:val="22"/>
          <w:lang w:val="en-US"/>
        </w:rPr>
        <w:t xml:space="preserve">. Providers should complete the ACFR </w:t>
      </w:r>
      <w:r w:rsidR="00162CEA" w:rsidRPr="007129E8">
        <w:rPr>
          <w:sz w:val="22"/>
          <w:szCs w:val="22"/>
          <w:lang w:val="en-US"/>
        </w:rPr>
        <w:t xml:space="preserve">based on the approved provider structure. </w:t>
      </w:r>
      <w:bookmarkStart w:id="10" w:name="_Toc184198004"/>
    </w:p>
    <w:p w14:paraId="65985B5A" w14:textId="77777777" w:rsidR="005776B3" w:rsidRDefault="005776B3">
      <w:pPr>
        <w:spacing w:before="0" w:after="0" w:line="240" w:lineRule="auto"/>
        <w:rPr>
          <w:sz w:val="22"/>
          <w:szCs w:val="10"/>
          <w:lang w:val="en-US"/>
        </w:rPr>
      </w:pPr>
      <w:r>
        <w:rPr>
          <w:sz w:val="22"/>
          <w:szCs w:val="10"/>
          <w:lang w:val="en-US"/>
        </w:rPr>
        <w:br w:type="page"/>
      </w:r>
    </w:p>
    <w:p w14:paraId="048D1196" w14:textId="38D93D12" w:rsidR="00972799" w:rsidRPr="007129E8" w:rsidRDefault="00972799" w:rsidP="005C1D55">
      <w:pPr>
        <w:pStyle w:val="Heading1"/>
        <w:numPr>
          <w:ilvl w:val="0"/>
          <w:numId w:val="38"/>
        </w:numPr>
        <w:tabs>
          <w:tab w:val="left" w:pos="709"/>
        </w:tabs>
        <w:rPr>
          <w:lang w:val="en-US"/>
        </w:rPr>
      </w:pPr>
      <w:bookmarkStart w:id="11" w:name="_Toc192694868"/>
      <w:r w:rsidRPr="00017A20">
        <w:rPr>
          <w:rFonts w:eastAsia="Calibri Light"/>
        </w:rPr>
        <w:lastRenderedPageBreak/>
        <w:t xml:space="preserve">Changes </w:t>
      </w:r>
      <w:r w:rsidR="00834690" w:rsidRPr="00017A20">
        <w:rPr>
          <w:rFonts w:eastAsia="Calibri Light"/>
        </w:rPr>
        <w:t>to the 20</w:t>
      </w:r>
      <w:r w:rsidR="004F7E3C" w:rsidRPr="00017A20">
        <w:rPr>
          <w:rFonts w:eastAsia="Calibri Light"/>
        </w:rPr>
        <w:t>24-25</w:t>
      </w:r>
      <w:r w:rsidR="00834690" w:rsidRPr="00017A20">
        <w:rPr>
          <w:rFonts w:eastAsia="Calibri Light"/>
        </w:rPr>
        <w:t xml:space="preserve"> ACFR</w:t>
      </w:r>
      <w:bookmarkEnd w:id="10"/>
      <w:bookmarkEnd w:id="11"/>
    </w:p>
    <w:p w14:paraId="112F0218" w14:textId="77777777" w:rsidR="003D5EDA" w:rsidRPr="00E55F32" w:rsidRDefault="003D5EDA" w:rsidP="003D5EDA">
      <w:pPr>
        <w:pStyle w:val="Heading3"/>
        <w:spacing w:before="240" w:after="240"/>
        <w:ind w:left="0" w:firstLine="0"/>
        <w:rPr>
          <w:color w:val="1F848B" w:themeColor="accent1" w:themeShade="BF"/>
          <w:sz w:val="28"/>
          <w:lang w:val="en-US"/>
        </w:rPr>
      </w:pPr>
      <w:r w:rsidRPr="00E55F32">
        <w:rPr>
          <w:color w:val="1F848B" w:themeColor="accent1" w:themeShade="BF"/>
          <w:sz w:val="28"/>
          <w:lang w:val="en-US"/>
        </w:rPr>
        <w:t>GPFS</w:t>
      </w:r>
    </w:p>
    <w:p w14:paraId="537011E2" w14:textId="42B0F257" w:rsidR="003D5EDA" w:rsidRPr="00090D1F" w:rsidRDefault="003D5EDA" w:rsidP="00367A0F">
      <w:pPr>
        <w:pStyle w:val="ListParagraph"/>
        <w:numPr>
          <w:ilvl w:val="0"/>
          <w:numId w:val="24"/>
        </w:numPr>
      </w:pPr>
      <w:r>
        <w:t>There are no changes to the 2024-25 GPFS submission requirements.</w:t>
      </w:r>
    </w:p>
    <w:p w14:paraId="17839338" w14:textId="48BEB682" w:rsidR="008972AE" w:rsidRDefault="008972AE" w:rsidP="00E55F32">
      <w:pPr>
        <w:pStyle w:val="Heading3"/>
        <w:spacing w:before="240" w:after="240"/>
        <w:ind w:left="0" w:firstLine="0"/>
        <w:rPr>
          <w:color w:val="1F848B" w:themeColor="accent1" w:themeShade="BF"/>
          <w:sz w:val="28"/>
          <w:szCs w:val="28"/>
          <w:lang w:val="en-US"/>
        </w:rPr>
      </w:pPr>
      <w:r>
        <w:rPr>
          <w:color w:val="1F848B" w:themeColor="accent1" w:themeShade="BF"/>
          <w:sz w:val="28"/>
          <w:szCs w:val="28"/>
          <w:lang w:val="en-US"/>
        </w:rPr>
        <w:t>Consolidated Segment Report</w:t>
      </w:r>
    </w:p>
    <w:p w14:paraId="507506AB" w14:textId="62D690EE" w:rsidR="007A152A" w:rsidRPr="00367A0F" w:rsidRDefault="00726E7A" w:rsidP="00367A0F">
      <w:pPr>
        <w:pStyle w:val="ListParagraph"/>
        <w:numPr>
          <w:ilvl w:val="0"/>
          <w:numId w:val="24"/>
        </w:numPr>
      </w:pPr>
      <w:r>
        <w:t xml:space="preserve">The </w:t>
      </w:r>
      <w:r w:rsidR="00036AFE">
        <w:t>Fair Value Gains income definition</w:t>
      </w:r>
      <w:r>
        <w:t xml:space="preserve"> has been updated to include Gain on Bargain Purchase. </w:t>
      </w:r>
    </w:p>
    <w:p w14:paraId="5AF38DC5" w14:textId="2FC1D3B9" w:rsidR="008972AE" w:rsidRPr="00367A0F" w:rsidRDefault="00726E7A" w:rsidP="00367A0F">
      <w:pPr>
        <w:pStyle w:val="ListParagraph"/>
        <w:numPr>
          <w:ilvl w:val="0"/>
          <w:numId w:val="24"/>
        </w:numPr>
      </w:pPr>
      <w:r>
        <w:t>The Liquidity and Capital Adequacy ratios ha</w:t>
      </w:r>
      <w:r w:rsidR="4370670F">
        <w:t>ve</w:t>
      </w:r>
      <w:r>
        <w:t xml:space="preserve"> been removed. </w:t>
      </w:r>
    </w:p>
    <w:p w14:paraId="1311B460" w14:textId="3DD10A43" w:rsidR="00DA1AE1" w:rsidRPr="00E55F32" w:rsidRDefault="00DA1AE1" w:rsidP="00E55F32">
      <w:pPr>
        <w:pStyle w:val="Heading3"/>
        <w:spacing w:before="240" w:after="240"/>
        <w:ind w:left="0" w:firstLine="0"/>
        <w:rPr>
          <w:color w:val="1F848B" w:themeColor="accent1" w:themeShade="BF"/>
          <w:sz w:val="28"/>
          <w:lang w:val="en-US"/>
        </w:rPr>
      </w:pPr>
      <w:r w:rsidRPr="1BBB45AF">
        <w:rPr>
          <w:color w:val="1F848B" w:themeColor="accent1" w:themeShade="BF"/>
          <w:sz w:val="28"/>
          <w:szCs w:val="28"/>
          <w:lang w:val="en-US"/>
        </w:rPr>
        <w:t xml:space="preserve">Approved Provider Financial Information </w:t>
      </w:r>
    </w:p>
    <w:p w14:paraId="4E426666" w14:textId="401C80B6" w:rsidR="003A24C4" w:rsidRPr="00367A0F" w:rsidRDefault="00726E7A" w:rsidP="0A22CD89">
      <w:pPr>
        <w:pStyle w:val="ListParagraph"/>
        <w:ind w:left="720"/>
      </w:pPr>
      <w:r>
        <w:t xml:space="preserve">The Fair Value Gains </w:t>
      </w:r>
      <w:r w:rsidR="00AA0ABD">
        <w:t xml:space="preserve">on Other Assets through P&amp;L </w:t>
      </w:r>
      <w:r>
        <w:t xml:space="preserve">income definition has been updated to include Gain on Bargain Purchase. The COVID-19 income and expenses line items have been removed from this section as well as the Notes to the Financial Statements. </w:t>
      </w:r>
    </w:p>
    <w:p w14:paraId="75B387EB" w14:textId="2082965E" w:rsidR="003A24C4" w:rsidRDefault="003A24C4" w:rsidP="007129E8">
      <w:pPr>
        <w:pStyle w:val="ListParagraph"/>
        <w:numPr>
          <w:ilvl w:val="0"/>
          <w:numId w:val="24"/>
        </w:numPr>
      </w:pPr>
      <w:r w:rsidRPr="003A24C4">
        <w:t xml:space="preserve">The Liquidity and Capital Adequacy ratios </w:t>
      </w:r>
      <w:r>
        <w:t>ha</w:t>
      </w:r>
      <w:r w:rsidR="3FF12CFC">
        <w:t>ve</w:t>
      </w:r>
      <w:r w:rsidRPr="003A24C4">
        <w:t xml:space="preserve"> been removed.</w:t>
      </w:r>
    </w:p>
    <w:p w14:paraId="48E40D63" w14:textId="77777777" w:rsidR="00DA1AE1" w:rsidRPr="00341487" w:rsidRDefault="00DA1AE1" w:rsidP="00E55F32">
      <w:pPr>
        <w:pStyle w:val="Heading3"/>
        <w:spacing w:before="240" w:after="240"/>
        <w:ind w:left="0" w:firstLine="0"/>
        <w:rPr>
          <w:rFonts w:eastAsiaTheme="majorEastAsia"/>
          <w:b w:val="0"/>
          <w:color w:val="002060"/>
          <w:lang w:val="en-US" w:eastAsia="ja-JP"/>
        </w:rPr>
      </w:pPr>
      <w:r w:rsidRPr="00E55F32">
        <w:rPr>
          <w:color w:val="1F848B" w:themeColor="accent1" w:themeShade="BF"/>
          <w:sz w:val="28"/>
          <w:lang w:val="en-US"/>
        </w:rPr>
        <w:t xml:space="preserve">Residential Aged Care Segment Financial Information </w:t>
      </w:r>
    </w:p>
    <w:p w14:paraId="02E42A3E" w14:textId="64DDD88F" w:rsidR="003A24C4" w:rsidRDefault="00AB6D1A" w:rsidP="00090D1F">
      <w:pPr>
        <w:pStyle w:val="ListParagraph"/>
        <w:numPr>
          <w:ilvl w:val="0"/>
          <w:numId w:val="24"/>
        </w:numPr>
      </w:pPr>
      <w:r>
        <w:t xml:space="preserve">From 2024-25 </w:t>
      </w:r>
      <w:r w:rsidR="003A24C4">
        <w:t xml:space="preserve">Respite </w:t>
      </w:r>
      <w:r w:rsidR="003A24C4" w:rsidRPr="007129E8">
        <w:rPr>
          <w:b/>
          <w:bCs/>
          <w:u w:val="single"/>
        </w:rPr>
        <w:t>Supplement</w:t>
      </w:r>
      <w:r w:rsidRPr="007129E8">
        <w:rPr>
          <w:b/>
          <w:bCs/>
          <w:u w:val="single"/>
        </w:rPr>
        <w:t>s</w:t>
      </w:r>
      <w:r w:rsidR="003A24C4">
        <w:t xml:space="preserve"> should be </w:t>
      </w:r>
      <w:r>
        <w:t>reported</w:t>
      </w:r>
      <w:r w:rsidR="003A24C4">
        <w:t xml:space="preserve"> under </w:t>
      </w:r>
      <w:r w:rsidR="003A24C4" w:rsidRPr="007129E8">
        <w:rPr>
          <w:u w:val="single"/>
        </w:rPr>
        <w:t>Accommodation</w:t>
      </w:r>
      <w:r w:rsidR="003A24C4">
        <w:t xml:space="preserve"> Subsidies and Supplement</w:t>
      </w:r>
      <w:r>
        <w:t>s (</w:t>
      </w:r>
      <w:r w:rsidR="007D4E1D">
        <w:t>C</w:t>
      </w:r>
      <w:r>
        <w:t xml:space="preserve">ommonwealth) instead of being included under </w:t>
      </w:r>
      <w:r w:rsidRPr="007129E8">
        <w:rPr>
          <w:u w:val="single"/>
        </w:rPr>
        <w:t>Care</w:t>
      </w:r>
      <w:r>
        <w:t xml:space="preserve">. Respite </w:t>
      </w:r>
      <w:r w:rsidRPr="007129E8">
        <w:rPr>
          <w:b/>
          <w:bCs/>
          <w:u w:val="single"/>
        </w:rPr>
        <w:t>Subsidy</w:t>
      </w:r>
      <w:r>
        <w:t xml:space="preserve"> should continue to be reported under </w:t>
      </w:r>
      <w:r w:rsidR="007D4E1D">
        <w:t>Care Subsidy and Supplements (Commonwealth).</w:t>
      </w:r>
    </w:p>
    <w:p w14:paraId="3D28C9DB" w14:textId="06F35BCB" w:rsidR="00AE3113" w:rsidRDefault="0099660A" w:rsidP="00090D1F">
      <w:pPr>
        <w:pStyle w:val="ListParagraph"/>
        <w:numPr>
          <w:ilvl w:val="0"/>
          <w:numId w:val="24"/>
        </w:numPr>
      </w:pPr>
      <w:r>
        <w:t xml:space="preserve">The definitions for “Other Direct Care expenses” have been updated </w:t>
      </w:r>
      <w:r w:rsidR="00867A6D">
        <w:t xml:space="preserve">to </w:t>
      </w:r>
      <w:r w:rsidR="00867A6D" w:rsidRPr="00867A6D">
        <w:t>include care costs not captured elsewhere relating to the delivery of specialised programs in services that receive the homeless and remote Aboriginal and Torres Strait Islander specialised AN-ACC base care tariff</w:t>
      </w:r>
      <w:r w:rsidR="00AC77DC">
        <w:t>.</w:t>
      </w:r>
    </w:p>
    <w:p w14:paraId="091AFC16" w14:textId="49EC00D0" w:rsidR="00EA74B0" w:rsidRDefault="00A63C8E" w:rsidP="00D6232D">
      <w:pPr>
        <w:pStyle w:val="ListParagraph"/>
        <w:numPr>
          <w:ilvl w:val="0"/>
          <w:numId w:val="24"/>
        </w:numPr>
      </w:pPr>
      <w:r>
        <w:t xml:space="preserve">The COVID-19 income and expenses line items </w:t>
      </w:r>
      <w:r w:rsidR="7EE9ACB1">
        <w:t>have</w:t>
      </w:r>
      <w:r>
        <w:t xml:space="preserve"> </w:t>
      </w:r>
      <w:r w:rsidR="00722C95">
        <w:t>been removed</w:t>
      </w:r>
      <w:r w:rsidR="00ED6D52">
        <w:t xml:space="preserve"> along with the Administration Allocation % to COVID</w:t>
      </w:r>
      <w:r w:rsidR="00114B6E">
        <w:t>-19</w:t>
      </w:r>
      <w:r w:rsidR="00722C95">
        <w:t xml:space="preserve">. </w:t>
      </w:r>
      <w:r w:rsidR="00121633">
        <w:t>The O</w:t>
      </w:r>
      <w:r w:rsidR="00743FF0">
        <w:t xml:space="preserve">ther resident services and consumables line item has been </w:t>
      </w:r>
      <w:r w:rsidR="00CF3262">
        <w:t xml:space="preserve">renamed to Other care consumables, with expenditure </w:t>
      </w:r>
      <w:r w:rsidR="002710E6">
        <w:t>for preventative measures included in an updated definition.</w:t>
      </w:r>
      <w:r w:rsidR="00D6232D">
        <w:t xml:space="preserve">Two </w:t>
      </w:r>
      <w:r w:rsidR="00722C95">
        <w:t xml:space="preserve"> new data item</w:t>
      </w:r>
      <w:r w:rsidR="00D6232D">
        <w:t>s</w:t>
      </w:r>
      <w:r w:rsidR="00722C95">
        <w:t xml:space="preserve"> under Other Care Expenses for Staff Housing – Property Cost and Staff Housing has been added to </w:t>
      </w:r>
      <w:r w:rsidR="0058715C">
        <w:t xml:space="preserve">reflect external housing costs </w:t>
      </w:r>
      <w:r w:rsidR="005615C5">
        <w:t xml:space="preserve">for </w:t>
      </w:r>
      <w:r w:rsidR="00D6232D">
        <w:t xml:space="preserve">agency and non-agency staff. </w:t>
      </w:r>
    </w:p>
    <w:p w14:paraId="16FA3235" w14:textId="31B0324A" w:rsidR="00DA1AE1" w:rsidRDefault="49AB6018" w:rsidP="00090D1F">
      <w:pPr>
        <w:pStyle w:val="ListParagraph"/>
        <w:numPr>
          <w:ilvl w:val="0"/>
          <w:numId w:val="24"/>
        </w:numPr>
      </w:pPr>
      <w:r>
        <w:t xml:space="preserve">All direct care worker definitions have been updated to match QFR Quarter 4 </w:t>
      </w:r>
      <w:r w:rsidR="407EFD2F">
        <w:t>2024-25</w:t>
      </w:r>
      <w:r>
        <w:t xml:space="preserve"> definitions. </w:t>
      </w:r>
    </w:p>
    <w:p w14:paraId="466AF966" w14:textId="7DE7FBA8" w:rsidR="005615C5" w:rsidRDefault="005615C5" w:rsidP="000C624C">
      <w:pPr>
        <w:pStyle w:val="ListParagraph"/>
        <w:numPr>
          <w:ilvl w:val="0"/>
          <w:numId w:val="24"/>
        </w:numPr>
      </w:pPr>
      <w:r>
        <w:lastRenderedPageBreak/>
        <w:t xml:space="preserve">The </w:t>
      </w:r>
      <w:r w:rsidR="00353B4E" w:rsidRPr="00353B4E">
        <w:t>Fair Value gain/Asset Revaluation increase - other assets</w:t>
      </w:r>
      <w:r w:rsidR="00353B4E">
        <w:t xml:space="preserve"> </w:t>
      </w:r>
      <w:r>
        <w:t xml:space="preserve">definition has been updated to include Gain on Bargain Purchase. </w:t>
      </w:r>
    </w:p>
    <w:p w14:paraId="48329407" w14:textId="77777777" w:rsidR="00DA1AE1" w:rsidRPr="00E55F32" w:rsidRDefault="00DA1AE1" w:rsidP="00E55F32">
      <w:pPr>
        <w:pStyle w:val="Heading3"/>
        <w:spacing w:before="240" w:after="240"/>
        <w:ind w:left="0" w:firstLine="0"/>
        <w:rPr>
          <w:color w:val="1F848B" w:themeColor="accent1" w:themeShade="BF"/>
          <w:sz w:val="28"/>
          <w:lang w:val="en-US"/>
        </w:rPr>
      </w:pPr>
      <w:r w:rsidRPr="00E55F32">
        <w:rPr>
          <w:color w:val="1F848B" w:themeColor="accent1" w:themeShade="BF"/>
          <w:sz w:val="28"/>
          <w:lang w:val="en-US"/>
        </w:rPr>
        <w:t>Home Care Segment Financial Information</w:t>
      </w:r>
    </w:p>
    <w:p w14:paraId="1E291A14" w14:textId="6BCA952B" w:rsidR="00590DBA" w:rsidRPr="00590DBA" w:rsidRDefault="00D34A8C" w:rsidP="00590DBA">
      <w:pPr>
        <w:pStyle w:val="ListParagraph"/>
        <w:numPr>
          <w:ilvl w:val="0"/>
          <w:numId w:val="24"/>
        </w:numPr>
      </w:pPr>
      <w:r>
        <w:t xml:space="preserve">The handling fee line item has been removed. </w:t>
      </w:r>
    </w:p>
    <w:p w14:paraId="61759FF9" w14:textId="0C1B8374" w:rsidR="00D34A8C" w:rsidRDefault="00D34A8C" w:rsidP="00D34A8C">
      <w:pPr>
        <w:pStyle w:val="ListParagraph"/>
        <w:numPr>
          <w:ilvl w:val="0"/>
          <w:numId w:val="24"/>
        </w:numPr>
      </w:pPr>
      <w:r>
        <w:t xml:space="preserve">The COVID-19 income and expenses line items </w:t>
      </w:r>
      <w:r w:rsidR="00E655F7">
        <w:t xml:space="preserve">have </w:t>
      </w:r>
      <w:r>
        <w:t xml:space="preserve">been removed. </w:t>
      </w:r>
    </w:p>
    <w:p w14:paraId="10F9B5A8" w14:textId="77777777" w:rsidR="00D363CC" w:rsidRPr="00153E03" w:rsidRDefault="00D363CC" w:rsidP="00D363CC">
      <w:pPr>
        <w:pStyle w:val="ListParagraph"/>
        <w:numPr>
          <w:ilvl w:val="0"/>
          <w:numId w:val="24"/>
        </w:numPr>
        <w:rPr>
          <w:rFonts w:ascii="Aptos" w:hAnsi="Aptos"/>
          <w:color w:val="auto"/>
        </w:rPr>
      </w:pPr>
      <w:bookmarkStart w:id="12" w:name="_Hlk194312971"/>
      <w:r w:rsidRPr="00153E03">
        <w:t xml:space="preserve">The unspent funds questions split by level and held by Services Australia/Approved Provider  have been removed from the Home Care Income and Expenses section. However, providers should still report unspent funds in the Approved Provider Balance Sheet and the Consolidated Client Statement. </w:t>
      </w:r>
    </w:p>
    <w:bookmarkEnd w:id="12"/>
    <w:p w14:paraId="3418F828" w14:textId="1633E9A8" w:rsidR="00590DBA" w:rsidRPr="00590DBA" w:rsidRDefault="00BA724A" w:rsidP="00BA724A">
      <w:pPr>
        <w:pStyle w:val="ListParagraph"/>
        <w:numPr>
          <w:ilvl w:val="0"/>
          <w:numId w:val="24"/>
        </w:numPr>
      </w:pPr>
      <w:r>
        <w:t xml:space="preserve">The </w:t>
      </w:r>
      <w:r w:rsidR="00DF76FA">
        <w:t xml:space="preserve">income tested fee questions have been removed. </w:t>
      </w:r>
      <w:r w:rsidR="00D34A8C">
        <w:t xml:space="preserve"> </w:t>
      </w:r>
    </w:p>
    <w:p w14:paraId="33AB51B1" w14:textId="383B72FB" w:rsidR="00DA1AE1" w:rsidRPr="00E55F32" w:rsidRDefault="00DA1AE1" w:rsidP="00590DBA">
      <w:pPr>
        <w:pStyle w:val="Heading3"/>
        <w:spacing w:before="240" w:after="240"/>
        <w:ind w:left="0" w:firstLine="0"/>
        <w:rPr>
          <w:color w:val="1F848B" w:themeColor="accent1" w:themeShade="BF"/>
          <w:sz w:val="28"/>
          <w:lang w:val="en-US"/>
        </w:rPr>
      </w:pPr>
      <w:r w:rsidRPr="00E55F32">
        <w:rPr>
          <w:color w:val="1F848B" w:themeColor="accent1" w:themeShade="BF"/>
          <w:sz w:val="28"/>
          <w:lang w:val="en-US"/>
        </w:rPr>
        <w:t>Short-Term Restorative Care (STRC) Financial Information</w:t>
      </w:r>
    </w:p>
    <w:p w14:paraId="4E69C486" w14:textId="22A6C5D8" w:rsidR="00DA1AE1" w:rsidRPr="00090D1F" w:rsidRDefault="00DA1AE1" w:rsidP="00090D1F">
      <w:pPr>
        <w:pStyle w:val="ListParagraph"/>
        <w:numPr>
          <w:ilvl w:val="0"/>
          <w:numId w:val="24"/>
        </w:numPr>
      </w:pPr>
      <w:r w:rsidRPr="00090D1F">
        <w:t>There are no changes to the 202</w:t>
      </w:r>
      <w:r w:rsidR="00590DBA">
        <w:t>4</w:t>
      </w:r>
      <w:r w:rsidRPr="00090D1F">
        <w:t>-2</w:t>
      </w:r>
      <w:r w:rsidR="00590DBA">
        <w:t>5</w:t>
      </w:r>
      <w:r w:rsidRPr="00090D1F">
        <w:t xml:space="preserve"> STRC financial report.</w:t>
      </w:r>
    </w:p>
    <w:p w14:paraId="4AA51E9F" w14:textId="77777777" w:rsidR="00DA1AE1" w:rsidRPr="00E55F32" w:rsidRDefault="00DA1AE1" w:rsidP="00E55F32">
      <w:pPr>
        <w:pStyle w:val="Heading3"/>
        <w:spacing w:before="240" w:after="240"/>
        <w:ind w:left="0" w:firstLine="0"/>
        <w:rPr>
          <w:color w:val="1F848B" w:themeColor="accent1" w:themeShade="BF"/>
          <w:sz w:val="28"/>
          <w:lang w:val="en-US"/>
        </w:rPr>
      </w:pPr>
      <w:r w:rsidRPr="00E55F32">
        <w:rPr>
          <w:color w:val="1F848B" w:themeColor="accent1" w:themeShade="BF"/>
          <w:sz w:val="28"/>
          <w:lang w:val="en-US"/>
        </w:rPr>
        <w:t>Annual Prudential Compliance Statement (APCS)</w:t>
      </w:r>
    </w:p>
    <w:p w14:paraId="3B94A0B7" w14:textId="4BDDF459" w:rsidR="00DA1AE1" w:rsidRPr="00B116C0" w:rsidRDefault="00B116C0" w:rsidP="00090D1F">
      <w:pPr>
        <w:pStyle w:val="ListParagraph"/>
        <w:numPr>
          <w:ilvl w:val="0"/>
          <w:numId w:val="24"/>
        </w:numPr>
      </w:pPr>
      <w:r w:rsidRPr="007129E8">
        <w:t xml:space="preserve">The minimum liquidity level question has been reworded. </w:t>
      </w:r>
    </w:p>
    <w:p w14:paraId="4FE655FC" w14:textId="77777777" w:rsidR="00DA1AE1" w:rsidRPr="00E55F32" w:rsidRDefault="00DA1AE1" w:rsidP="00E55F32">
      <w:pPr>
        <w:pStyle w:val="Heading3"/>
        <w:spacing w:before="240" w:after="240"/>
        <w:ind w:left="0" w:firstLine="0"/>
        <w:rPr>
          <w:color w:val="1F848B" w:themeColor="accent1" w:themeShade="BF"/>
          <w:sz w:val="28"/>
          <w:lang w:val="en-US"/>
        </w:rPr>
      </w:pPr>
      <w:r w:rsidRPr="00E55F32">
        <w:rPr>
          <w:color w:val="1F848B" w:themeColor="accent1" w:themeShade="BF"/>
          <w:sz w:val="28"/>
          <w:lang w:val="en-US"/>
        </w:rPr>
        <w:t>Survey of Aged Care Homes</w:t>
      </w:r>
    </w:p>
    <w:p w14:paraId="347D4118" w14:textId="60979C5C" w:rsidR="00DA1AE1" w:rsidRPr="008D73BA" w:rsidRDefault="00DF76FA" w:rsidP="0096561E">
      <w:pPr>
        <w:pStyle w:val="ListParagraph"/>
        <w:numPr>
          <w:ilvl w:val="0"/>
          <w:numId w:val="24"/>
        </w:numPr>
      </w:pPr>
      <w:r>
        <w:t>The Survey of Aged Care Home</w:t>
      </w:r>
      <w:r w:rsidR="00E655F7">
        <w:t>s</w:t>
      </w:r>
      <w:r>
        <w:t xml:space="preserve"> has been updated to reflect </w:t>
      </w:r>
      <w:r w:rsidR="00996D06">
        <w:t xml:space="preserve">a change in the maximum room price </w:t>
      </w:r>
      <w:r w:rsidR="00491B72">
        <w:t>providers</w:t>
      </w:r>
      <w:r w:rsidR="00996D06">
        <w:t xml:space="preserve"> can charge without prior regulatory approval. </w:t>
      </w:r>
      <w:r w:rsidR="00DA1AE1">
        <w:br w:type="page"/>
      </w:r>
    </w:p>
    <w:p w14:paraId="7EFB6C2C" w14:textId="7B8CA5BE" w:rsidR="004F7E3C" w:rsidRPr="009536D8" w:rsidRDefault="0034602A" w:rsidP="00B45FFD">
      <w:pPr>
        <w:pStyle w:val="Heading1"/>
        <w:numPr>
          <w:ilvl w:val="0"/>
          <w:numId w:val="38"/>
        </w:numPr>
        <w:tabs>
          <w:tab w:val="left" w:pos="709"/>
        </w:tabs>
        <w:rPr>
          <w:rFonts w:eastAsia="Calibri Light"/>
        </w:rPr>
      </w:pPr>
      <w:bookmarkStart w:id="13" w:name="_Toc184198005"/>
      <w:bookmarkStart w:id="14" w:name="_Toc192694869"/>
      <w:r w:rsidRPr="008B3B54">
        <w:rPr>
          <w:rFonts w:eastAsia="Calibri Light"/>
        </w:rPr>
        <w:lastRenderedPageBreak/>
        <w:t>Consolidated Segment Report</w:t>
      </w:r>
      <w:bookmarkEnd w:id="13"/>
      <w:bookmarkEnd w:id="14"/>
    </w:p>
    <w:p w14:paraId="41E34D34" w14:textId="2380D7C4" w:rsidR="009E0943" w:rsidRPr="00087AC4" w:rsidRDefault="009E0943" w:rsidP="0093597F">
      <w:pPr>
        <w:rPr>
          <w:lang w:val="en-US"/>
        </w:rPr>
      </w:pPr>
      <w:r w:rsidRPr="00087AC4">
        <w:rPr>
          <w:lang w:val="en-US"/>
        </w:rPr>
        <w:t xml:space="preserve">If the approved provider does not have a parent entity or group structure, the Consolidated Segment Report (CSR) is to be completed at the approved provider level with the total segment result and total segment net assets needing to agree to the respective totals in the approved provider </w:t>
      </w:r>
      <w:r w:rsidR="00087AC4">
        <w:rPr>
          <w:lang w:val="en-US"/>
        </w:rPr>
        <w:t>‘</w:t>
      </w:r>
      <w:r w:rsidRPr="00087AC4">
        <w:rPr>
          <w:lang w:val="en-US"/>
        </w:rPr>
        <w:t>Income &amp; Expenditure Statement</w:t>
      </w:r>
      <w:r w:rsidR="00087AC4">
        <w:rPr>
          <w:lang w:val="en-US"/>
        </w:rPr>
        <w:t>’</w:t>
      </w:r>
      <w:r w:rsidRPr="00087AC4">
        <w:rPr>
          <w:lang w:val="en-US"/>
        </w:rPr>
        <w:t xml:space="preserve"> and </w:t>
      </w:r>
      <w:r w:rsidR="00087AC4">
        <w:rPr>
          <w:lang w:val="en-US"/>
        </w:rPr>
        <w:t>‘A</w:t>
      </w:r>
      <w:r w:rsidRPr="00087AC4">
        <w:rPr>
          <w:lang w:val="en-US"/>
        </w:rPr>
        <w:t xml:space="preserve">pproved </w:t>
      </w:r>
      <w:r w:rsidR="00087AC4">
        <w:rPr>
          <w:lang w:val="en-US"/>
        </w:rPr>
        <w:t>P</w:t>
      </w:r>
      <w:r w:rsidRPr="00087AC4">
        <w:rPr>
          <w:lang w:val="en-US"/>
        </w:rPr>
        <w:t>rovider Balance Sheet</w:t>
      </w:r>
      <w:r w:rsidR="00087AC4">
        <w:rPr>
          <w:lang w:val="en-US"/>
        </w:rPr>
        <w:t>’</w:t>
      </w:r>
      <w:r w:rsidRPr="00087AC4">
        <w:rPr>
          <w:lang w:val="en-US"/>
        </w:rPr>
        <w:t>.</w:t>
      </w:r>
    </w:p>
    <w:p w14:paraId="48159723" w14:textId="77777777" w:rsidR="009E0943" w:rsidRPr="00087AC4" w:rsidRDefault="009E0943" w:rsidP="0093597F">
      <w:pPr>
        <w:rPr>
          <w:lang w:val="en-US"/>
        </w:rPr>
      </w:pPr>
      <w:r w:rsidRPr="00087AC4">
        <w:rPr>
          <w:lang w:val="en-US"/>
        </w:rPr>
        <w:t>If the approved provider is part of a group and is not the parent entity of that group, the CSR needs to be completed at the ultimate parent entity level.</w:t>
      </w:r>
    </w:p>
    <w:p w14:paraId="7F53EBFC" w14:textId="20A37BD5" w:rsidR="009E0943" w:rsidRPr="00087AC4" w:rsidRDefault="009E0943" w:rsidP="0093597F">
      <w:pPr>
        <w:rPr>
          <w:lang w:val="en-US"/>
        </w:rPr>
      </w:pPr>
      <w:r w:rsidRPr="00087AC4">
        <w:rPr>
          <w:lang w:val="en-US"/>
        </w:rPr>
        <w:t xml:space="preserve">The CSR must be prepared in accordance with the recognition and measurement requirements as specified in </w:t>
      </w:r>
      <w:hyperlink r:id="rId27" w:history="1">
        <w:r w:rsidRPr="00684325">
          <w:rPr>
            <w:rStyle w:val="Hyperlink"/>
            <w:rFonts w:cs="Arial"/>
            <w:lang w:val="en-US"/>
          </w:rPr>
          <w:t>AASB 8 Operating Segments</w:t>
        </w:r>
      </w:hyperlink>
      <w:r w:rsidRPr="00087AC4">
        <w:rPr>
          <w:lang w:val="en-US"/>
        </w:rPr>
        <w:t>.</w:t>
      </w:r>
    </w:p>
    <w:p w14:paraId="51910D52" w14:textId="77777777" w:rsidR="009E0943" w:rsidRPr="00087AC4" w:rsidRDefault="009E0943" w:rsidP="0093597F">
      <w:pPr>
        <w:rPr>
          <w:lang w:val="en-US"/>
        </w:rPr>
      </w:pPr>
      <w:r w:rsidRPr="00087AC4">
        <w:rPr>
          <w:lang w:val="en-US"/>
        </w:rPr>
        <w:t>Where the approved provider does not have a parent entity and only delivers residential aged care, data entered into the CSR must agree with data entered into the residential aged care income, expense and balance sheet sections of the ACFR.</w:t>
      </w:r>
    </w:p>
    <w:p w14:paraId="44B8D67C" w14:textId="3C689B74" w:rsidR="009E0943" w:rsidRDefault="005350E9" w:rsidP="0093597F">
      <w:pPr>
        <w:rPr>
          <w:lang w:val="en-US"/>
        </w:rPr>
      </w:pPr>
      <w:r>
        <w:rPr>
          <w:lang w:val="en-US"/>
        </w:rPr>
        <w:t>The ‘</w:t>
      </w:r>
      <w:r w:rsidR="009E0943" w:rsidRPr="00087AC4">
        <w:rPr>
          <w:lang w:val="en-US"/>
        </w:rPr>
        <w:t>Community</w:t>
      </w:r>
      <w:r>
        <w:rPr>
          <w:lang w:val="en-US"/>
        </w:rPr>
        <w:t>’</w:t>
      </w:r>
      <w:r w:rsidR="009E0943" w:rsidRPr="00087AC4" w:rsidDel="00B15F0A">
        <w:rPr>
          <w:lang w:val="en-US"/>
        </w:rPr>
        <w:t xml:space="preserve"> </w:t>
      </w:r>
      <w:r w:rsidR="009E0943" w:rsidRPr="00087AC4">
        <w:rPr>
          <w:lang w:val="en-US"/>
        </w:rPr>
        <w:t xml:space="preserve">segment </w:t>
      </w:r>
      <w:r>
        <w:rPr>
          <w:lang w:val="en-US"/>
        </w:rPr>
        <w:t xml:space="preserve">column </w:t>
      </w:r>
      <w:r w:rsidR="009E0943" w:rsidRPr="00087AC4">
        <w:rPr>
          <w:lang w:val="en-US"/>
        </w:rPr>
        <w:t>includes</w:t>
      </w:r>
      <w:r>
        <w:rPr>
          <w:lang w:val="en-US"/>
        </w:rPr>
        <w:t xml:space="preserve"> Commonwealth </w:t>
      </w:r>
      <w:r w:rsidR="00D3760F">
        <w:rPr>
          <w:lang w:val="en-US"/>
        </w:rPr>
        <w:t>Home Support Programme</w:t>
      </w:r>
      <w:r w:rsidR="009E0943" w:rsidRPr="00087AC4">
        <w:rPr>
          <w:lang w:val="en-US"/>
        </w:rPr>
        <w:t xml:space="preserve"> </w:t>
      </w:r>
      <w:r w:rsidR="00D3760F">
        <w:rPr>
          <w:lang w:val="en-US"/>
        </w:rPr>
        <w:t>(</w:t>
      </w:r>
      <w:r w:rsidR="009E0943" w:rsidRPr="00087AC4">
        <w:rPr>
          <w:lang w:val="en-US"/>
        </w:rPr>
        <w:t>CHSP</w:t>
      </w:r>
      <w:r w:rsidR="00D3760F">
        <w:rPr>
          <w:lang w:val="en-US"/>
        </w:rPr>
        <w:t>)</w:t>
      </w:r>
      <w:r w:rsidR="009E0943" w:rsidRPr="00087AC4">
        <w:rPr>
          <w:lang w:val="en-US"/>
        </w:rPr>
        <w:t xml:space="preserve">, </w:t>
      </w:r>
      <w:r>
        <w:rPr>
          <w:lang w:val="en-US"/>
        </w:rPr>
        <w:t>De</w:t>
      </w:r>
      <w:r w:rsidR="00AB4D56">
        <w:rPr>
          <w:lang w:val="en-US"/>
        </w:rPr>
        <w:t>partment of</w:t>
      </w:r>
      <w:r>
        <w:rPr>
          <w:lang w:val="en-US"/>
        </w:rPr>
        <w:t xml:space="preserve"> Veterans</w:t>
      </w:r>
      <w:r w:rsidR="00552F84">
        <w:rPr>
          <w:lang w:val="en-US"/>
        </w:rPr>
        <w:t>’</w:t>
      </w:r>
      <w:r>
        <w:rPr>
          <w:lang w:val="en-US"/>
        </w:rPr>
        <w:t xml:space="preserve"> Affairs (DVA) program </w:t>
      </w:r>
      <w:r w:rsidR="009E0943" w:rsidRPr="00087AC4">
        <w:rPr>
          <w:lang w:val="en-US"/>
        </w:rPr>
        <w:t xml:space="preserve">and other non-aged care community services including </w:t>
      </w:r>
      <w:r w:rsidR="00077852">
        <w:rPr>
          <w:lang w:val="en-US"/>
        </w:rPr>
        <w:t xml:space="preserve">National Disability </w:t>
      </w:r>
      <w:r w:rsidR="007835D9">
        <w:rPr>
          <w:lang w:val="en-US"/>
        </w:rPr>
        <w:t>Insurance Scheme (</w:t>
      </w:r>
      <w:r w:rsidR="009E0943" w:rsidRPr="00087AC4">
        <w:rPr>
          <w:lang w:val="en-US"/>
        </w:rPr>
        <w:t>NDIS</w:t>
      </w:r>
      <w:r w:rsidR="007835D9">
        <w:rPr>
          <w:lang w:val="en-US"/>
        </w:rPr>
        <w:t>)</w:t>
      </w:r>
      <w:r w:rsidR="009E0943" w:rsidRPr="00087AC4">
        <w:rPr>
          <w:lang w:val="en-US"/>
        </w:rPr>
        <w:t>, children services and other community services.</w:t>
      </w:r>
    </w:p>
    <w:p w14:paraId="0980995C" w14:textId="17BD74A0" w:rsidR="005A7BC3" w:rsidRPr="00A4123B" w:rsidRDefault="005A7BC3" w:rsidP="00A4123B">
      <w:pPr>
        <w:pStyle w:val="PullOut"/>
        <w:rPr>
          <w:lang w:val="en-US"/>
        </w:rPr>
      </w:pPr>
      <w:r w:rsidRPr="00A4123B">
        <w:rPr>
          <w:lang w:val="en-US"/>
        </w:rPr>
        <w:t>Consolidated Segment Report FAQs</w:t>
      </w:r>
    </w:p>
    <w:p w14:paraId="082C4B42" w14:textId="409C8066" w:rsidR="0034602A" w:rsidRPr="00087AC4" w:rsidRDefault="009428A9" w:rsidP="00BF542A">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250BBC">
        <w:rPr>
          <w:rFonts w:eastAsia="Calibri Light"/>
          <w:noProof/>
          <w:lang w:val="en-US"/>
        </w:rPr>
        <w:t>3</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250BBC">
        <w:rPr>
          <w:rFonts w:eastAsia="Calibri Light"/>
          <w:noProof/>
          <w:lang w:val="en-US"/>
        </w:rPr>
        <w:t>1</w:t>
      </w:r>
      <w:r>
        <w:rPr>
          <w:rFonts w:eastAsia="Calibri Light"/>
          <w:noProof/>
          <w:lang w:val="en-US"/>
        </w:rPr>
        <w:fldChar w:fldCharType="end"/>
      </w:r>
      <w:r w:rsidR="00087AC4" w:rsidRPr="00087AC4">
        <w:rPr>
          <w:rFonts w:eastAsia="Calibri Light"/>
          <w:noProof/>
          <w:lang w:val="en-US"/>
        </w:rPr>
        <w:t xml:space="preserve"> </w:t>
      </w:r>
      <w:r w:rsidR="0034602A" w:rsidRPr="00087AC4">
        <w:rPr>
          <w:rFonts w:eastAsia="Calibri Light"/>
          <w:noProof/>
          <w:lang w:val="en-US"/>
        </w:rPr>
        <w:t xml:space="preserve">Our business records the </w:t>
      </w:r>
      <w:r w:rsidR="00D30DE4" w:rsidRPr="00087AC4">
        <w:rPr>
          <w:rFonts w:eastAsia="Calibri Light"/>
          <w:noProof/>
          <w:lang w:val="en-US"/>
        </w:rPr>
        <w:t xml:space="preserve">Balance Sheet </w:t>
      </w:r>
      <w:r w:rsidR="0034602A" w:rsidRPr="00087AC4">
        <w:rPr>
          <w:rFonts w:eastAsia="Calibri Light"/>
          <w:noProof/>
          <w:lang w:val="en-US"/>
        </w:rPr>
        <w:t xml:space="preserve">at the approved provider level and not by segments. Is it acceptable to report on each segment using our own methodology?  </w:t>
      </w:r>
    </w:p>
    <w:p w14:paraId="4EC8CB3B" w14:textId="2CC2D057" w:rsidR="00A73E0B" w:rsidRPr="00087AC4" w:rsidRDefault="0034602A" w:rsidP="00BF542A">
      <w:pPr>
        <w:rPr>
          <w:lang w:val="en-US"/>
        </w:rPr>
      </w:pPr>
      <w:r w:rsidRPr="00087AC4">
        <w:rPr>
          <w:lang w:val="en-US"/>
        </w:rPr>
        <w:t xml:space="preserve">The </w:t>
      </w:r>
      <w:r w:rsidR="00841070" w:rsidRPr="00087AC4">
        <w:rPr>
          <w:lang w:val="en-US"/>
        </w:rPr>
        <w:t>B</w:t>
      </w:r>
      <w:r w:rsidRPr="00087AC4">
        <w:rPr>
          <w:lang w:val="en-US"/>
        </w:rPr>
        <w:t xml:space="preserve">alance </w:t>
      </w:r>
      <w:r w:rsidR="00841070" w:rsidRPr="00087AC4">
        <w:rPr>
          <w:lang w:val="en-US"/>
        </w:rPr>
        <w:t>S</w:t>
      </w:r>
      <w:r w:rsidRPr="00087AC4">
        <w:rPr>
          <w:lang w:val="en-US"/>
        </w:rPr>
        <w:t xml:space="preserve">heet needs to be segmented in the </w:t>
      </w:r>
      <w:r w:rsidR="00087AC4" w:rsidRPr="00087AC4">
        <w:rPr>
          <w:lang w:val="en-US"/>
        </w:rPr>
        <w:t>CSR</w:t>
      </w:r>
      <w:r w:rsidRPr="00087AC4">
        <w:rPr>
          <w:lang w:val="en-US"/>
        </w:rPr>
        <w:t xml:space="preserve"> (at</w:t>
      </w:r>
      <w:r w:rsidR="00014BA6" w:rsidRPr="00087AC4">
        <w:rPr>
          <w:lang w:val="en-US"/>
        </w:rPr>
        <w:t xml:space="preserve"> </w:t>
      </w:r>
      <w:r w:rsidRPr="00087AC4">
        <w:rPr>
          <w:lang w:val="en-US"/>
        </w:rPr>
        <w:t xml:space="preserve">the Ultimate Parent Entity Level) and a separate residential segment balance sheet also needs to be completed to cover the services operated by the provider. The </w:t>
      </w:r>
      <w:r w:rsidR="00B22A97" w:rsidRPr="00087AC4">
        <w:rPr>
          <w:lang w:val="en-US"/>
        </w:rPr>
        <w:t>d</w:t>
      </w:r>
      <w:r w:rsidRPr="00087AC4">
        <w:rPr>
          <w:lang w:val="en-US"/>
        </w:rPr>
        <w:t xml:space="preserve">epartment requires that the principles of </w:t>
      </w:r>
      <w:hyperlink r:id="rId28" w:history="1">
        <w:r w:rsidRPr="000A53E5">
          <w:rPr>
            <w:rStyle w:val="Hyperlink"/>
            <w:rFonts w:cs="Arial"/>
            <w:lang w:val="en-US"/>
          </w:rPr>
          <w:t>AASB 8 Operating Segments</w:t>
        </w:r>
      </w:hyperlink>
      <w:r w:rsidRPr="00087AC4">
        <w:rPr>
          <w:lang w:val="en-US"/>
        </w:rPr>
        <w:t xml:space="preserve"> be applied within the segment report to split the consolidated group’s financial performance and financial position by aged care segment. Providers should make reasonable estimates to apportion these costs based on individual business models and circumstances. In addition, the principles of AASB 10 Consolidated Financial Statements can be </w:t>
      </w:r>
      <w:r w:rsidR="001D4058">
        <w:rPr>
          <w:lang w:val="en-US"/>
        </w:rPr>
        <w:t>applied</w:t>
      </w:r>
      <w:r w:rsidR="009F0494" w:rsidRPr="00087AC4">
        <w:rPr>
          <w:lang w:val="en-US"/>
        </w:rPr>
        <w:t xml:space="preserve"> </w:t>
      </w:r>
      <w:r w:rsidRPr="00087AC4">
        <w:rPr>
          <w:lang w:val="en-US"/>
        </w:rPr>
        <w:t>in completing this note.</w:t>
      </w:r>
      <w:r w:rsidR="00ED4015" w:rsidRPr="00087AC4">
        <w:rPr>
          <w:lang w:val="en-US"/>
        </w:rPr>
        <w:t xml:space="preserve"> </w:t>
      </w:r>
    </w:p>
    <w:p w14:paraId="0493C281" w14:textId="760F3261" w:rsidR="0034602A" w:rsidRPr="00087AC4" w:rsidRDefault="009428A9" w:rsidP="00BF542A">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250BBC">
        <w:rPr>
          <w:rFonts w:eastAsia="Calibri Light"/>
          <w:noProof/>
          <w:lang w:val="en-US"/>
        </w:rPr>
        <w:t>3</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250BBC">
        <w:rPr>
          <w:rFonts w:eastAsia="Calibri Light"/>
          <w:noProof/>
          <w:lang w:val="en-US"/>
        </w:rPr>
        <w:t>2</w:t>
      </w:r>
      <w:r>
        <w:rPr>
          <w:rFonts w:eastAsia="Calibri Light"/>
          <w:noProof/>
          <w:lang w:val="en-US"/>
        </w:rPr>
        <w:fldChar w:fldCharType="end"/>
      </w:r>
      <w:r w:rsidR="00087AC4" w:rsidRPr="00087AC4">
        <w:rPr>
          <w:rFonts w:eastAsia="Calibri Light"/>
          <w:noProof/>
          <w:lang w:val="en-US"/>
        </w:rPr>
        <w:t xml:space="preserve"> </w:t>
      </w:r>
      <w:r w:rsidR="0034602A" w:rsidRPr="00087AC4">
        <w:rPr>
          <w:rFonts w:eastAsia="Calibri Light"/>
          <w:noProof/>
          <w:lang w:val="en-US"/>
        </w:rPr>
        <w:t xml:space="preserve">When splitting the </w:t>
      </w:r>
      <w:r w:rsidR="00306DD3">
        <w:rPr>
          <w:rFonts w:eastAsia="Calibri Light"/>
          <w:noProof/>
          <w:lang w:val="en-US"/>
        </w:rPr>
        <w:t>CSR</w:t>
      </w:r>
      <w:r w:rsidR="0054399E" w:rsidRPr="00087AC4">
        <w:rPr>
          <w:rFonts w:eastAsia="Calibri Light"/>
          <w:noProof/>
          <w:lang w:val="en-US"/>
        </w:rPr>
        <w:t xml:space="preserve"> </w:t>
      </w:r>
      <w:r w:rsidR="0034602A" w:rsidRPr="00087AC4">
        <w:rPr>
          <w:rFonts w:eastAsia="Calibri Light"/>
          <w:noProof/>
          <w:lang w:val="en-US"/>
        </w:rPr>
        <w:t>by segment</w:t>
      </w:r>
      <w:r w:rsidR="00306DD3">
        <w:rPr>
          <w:rFonts w:eastAsia="Calibri Light"/>
          <w:noProof/>
          <w:lang w:val="en-US"/>
        </w:rPr>
        <w:t>s</w:t>
      </w:r>
      <w:r w:rsidR="0034602A" w:rsidRPr="00087AC4">
        <w:rPr>
          <w:rFonts w:eastAsia="Calibri Light"/>
          <w:noProof/>
          <w:lang w:val="en-US"/>
        </w:rPr>
        <w:t xml:space="preserve"> (</w:t>
      </w:r>
      <w:r w:rsidR="005A7BC3">
        <w:rPr>
          <w:rFonts w:eastAsia="Calibri Light"/>
          <w:noProof/>
          <w:lang w:val="en-US"/>
        </w:rPr>
        <w:t>‘R</w:t>
      </w:r>
      <w:r w:rsidR="0034602A" w:rsidRPr="00087AC4">
        <w:rPr>
          <w:rFonts w:eastAsia="Calibri Light"/>
          <w:noProof/>
          <w:lang w:val="en-US"/>
        </w:rPr>
        <w:t>esidential</w:t>
      </w:r>
      <w:r w:rsidR="005A7BC3">
        <w:rPr>
          <w:rFonts w:eastAsia="Calibri Light"/>
          <w:noProof/>
          <w:lang w:val="en-US"/>
        </w:rPr>
        <w:t>’</w:t>
      </w:r>
      <w:r w:rsidR="0034602A" w:rsidRPr="00087AC4">
        <w:rPr>
          <w:rFonts w:eastAsia="Calibri Light"/>
          <w:noProof/>
          <w:lang w:val="en-US"/>
        </w:rPr>
        <w:t xml:space="preserve">, </w:t>
      </w:r>
      <w:r w:rsidR="005A7BC3">
        <w:rPr>
          <w:rFonts w:eastAsia="Calibri Light"/>
          <w:noProof/>
          <w:lang w:val="en-US"/>
        </w:rPr>
        <w:t>‘H</w:t>
      </w:r>
      <w:r w:rsidR="0034602A" w:rsidRPr="00087AC4">
        <w:rPr>
          <w:rFonts w:eastAsia="Calibri Light"/>
          <w:noProof/>
          <w:lang w:val="en-US"/>
        </w:rPr>
        <w:t xml:space="preserve">ome </w:t>
      </w:r>
      <w:r w:rsidR="00B22A97" w:rsidRPr="00087AC4">
        <w:rPr>
          <w:rFonts w:eastAsia="Calibri Light"/>
          <w:noProof/>
          <w:lang w:val="en-US"/>
        </w:rPr>
        <w:t>c</w:t>
      </w:r>
      <w:r w:rsidR="0034602A" w:rsidRPr="00087AC4">
        <w:rPr>
          <w:rFonts w:eastAsia="Calibri Light"/>
          <w:noProof/>
          <w:lang w:val="en-US"/>
        </w:rPr>
        <w:t>are</w:t>
      </w:r>
      <w:r w:rsidR="005A7BC3">
        <w:rPr>
          <w:rFonts w:eastAsia="Calibri Light"/>
          <w:noProof/>
          <w:lang w:val="en-US"/>
        </w:rPr>
        <w:t>’</w:t>
      </w:r>
      <w:r w:rsidR="0034602A" w:rsidRPr="00087AC4">
        <w:rPr>
          <w:rFonts w:eastAsia="Calibri Light"/>
          <w:noProof/>
          <w:lang w:val="en-US"/>
        </w:rPr>
        <w:t xml:space="preserve">, </w:t>
      </w:r>
      <w:r w:rsidR="005A7BC3">
        <w:rPr>
          <w:rFonts w:eastAsia="Calibri Light"/>
          <w:noProof/>
          <w:lang w:val="en-US"/>
        </w:rPr>
        <w:t>‘C</w:t>
      </w:r>
      <w:r w:rsidR="0034602A" w:rsidRPr="00087AC4">
        <w:rPr>
          <w:rFonts w:eastAsia="Calibri Light"/>
          <w:noProof/>
          <w:lang w:val="en-US"/>
        </w:rPr>
        <w:t>ommunity</w:t>
      </w:r>
      <w:r w:rsidR="005A7BC3">
        <w:rPr>
          <w:rFonts w:eastAsia="Calibri Light"/>
          <w:noProof/>
          <w:lang w:val="en-US"/>
        </w:rPr>
        <w:t>’</w:t>
      </w:r>
      <w:r w:rsidR="0034602A" w:rsidRPr="00087AC4">
        <w:rPr>
          <w:rFonts w:eastAsia="Calibri Light"/>
          <w:noProof/>
          <w:lang w:val="en-US"/>
        </w:rPr>
        <w:t xml:space="preserve">, </w:t>
      </w:r>
      <w:r w:rsidR="005A7BC3">
        <w:rPr>
          <w:rFonts w:eastAsia="Calibri Light"/>
          <w:noProof/>
          <w:lang w:val="en-US"/>
        </w:rPr>
        <w:t>‘R</w:t>
      </w:r>
      <w:r w:rsidR="0034602A" w:rsidRPr="00087AC4">
        <w:rPr>
          <w:rFonts w:eastAsia="Calibri Light"/>
          <w:noProof/>
          <w:lang w:val="en-US"/>
        </w:rPr>
        <w:t>etirement</w:t>
      </w:r>
      <w:r w:rsidR="005A7BC3">
        <w:rPr>
          <w:rFonts w:eastAsia="Calibri Light"/>
          <w:noProof/>
          <w:lang w:val="en-US"/>
        </w:rPr>
        <w:t>’</w:t>
      </w:r>
      <w:r w:rsidR="0034602A" w:rsidRPr="00087AC4">
        <w:rPr>
          <w:rFonts w:eastAsia="Calibri Light"/>
          <w:noProof/>
          <w:lang w:val="en-US"/>
        </w:rPr>
        <w:t xml:space="preserve"> and </w:t>
      </w:r>
      <w:r w:rsidR="005A7BC3">
        <w:rPr>
          <w:rFonts w:eastAsia="Calibri Light"/>
          <w:noProof/>
          <w:lang w:val="en-US"/>
        </w:rPr>
        <w:t>‘O</w:t>
      </w:r>
      <w:r w:rsidR="0034602A" w:rsidRPr="00087AC4">
        <w:rPr>
          <w:rFonts w:eastAsia="Calibri Light"/>
          <w:noProof/>
          <w:lang w:val="en-US"/>
        </w:rPr>
        <w:t>ther</w:t>
      </w:r>
      <w:r w:rsidR="005A7BC3">
        <w:rPr>
          <w:rFonts w:eastAsia="Calibri Light"/>
          <w:noProof/>
          <w:lang w:val="en-US"/>
        </w:rPr>
        <w:t>’</w:t>
      </w:r>
      <w:r w:rsidR="0034602A" w:rsidRPr="00087AC4">
        <w:rPr>
          <w:rFonts w:eastAsia="Calibri Light"/>
          <w:noProof/>
          <w:lang w:val="en-US"/>
        </w:rPr>
        <w:t>)</w:t>
      </w:r>
      <w:r w:rsidR="0024584F" w:rsidRPr="00087AC4">
        <w:rPr>
          <w:rFonts w:eastAsia="Calibri Light"/>
          <w:noProof/>
          <w:lang w:val="en-US"/>
        </w:rPr>
        <w:t>,</w:t>
      </w:r>
      <w:r w:rsidR="0034602A" w:rsidRPr="00087AC4">
        <w:rPr>
          <w:rFonts w:eastAsia="Calibri Light"/>
          <w:noProof/>
          <w:lang w:val="en-US"/>
        </w:rPr>
        <w:t xml:space="preserve"> should corporate costs that relate to supporting the segments be allocated to 'Other' or re-distributed into the segments? </w:t>
      </w:r>
    </w:p>
    <w:p w14:paraId="2FBCFBBC" w14:textId="2817AB3D" w:rsidR="0034602A" w:rsidRPr="00BF542A" w:rsidRDefault="75F480AF" w:rsidP="00BF542A">
      <w:pPr>
        <w:rPr>
          <w:lang w:val="en-US"/>
        </w:rPr>
      </w:pPr>
      <w:r w:rsidRPr="18E3555A">
        <w:rPr>
          <w:lang w:val="en-US"/>
        </w:rPr>
        <w:lastRenderedPageBreak/>
        <w:t>Corporate/supporting cost must be fully re-distributed into segments (</w:t>
      </w:r>
      <w:r w:rsidR="617704BF" w:rsidRPr="18E3555A">
        <w:rPr>
          <w:lang w:val="en-US"/>
        </w:rPr>
        <w:t>‘R</w:t>
      </w:r>
      <w:r w:rsidRPr="18E3555A">
        <w:rPr>
          <w:lang w:val="en-US"/>
        </w:rPr>
        <w:t>esidential</w:t>
      </w:r>
      <w:r w:rsidR="617704BF" w:rsidRPr="18E3555A">
        <w:rPr>
          <w:lang w:val="en-US"/>
        </w:rPr>
        <w:t>’</w:t>
      </w:r>
      <w:r w:rsidRPr="18E3555A">
        <w:rPr>
          <w:lang w:val="en-US"/>
        </w:rPr>
        <w:t xml:space="preserve">, </w:t>
      </w:r>
      <w:r w:rsidR="617704BF" w:rsidRPr="18E3555A">
        <w:rPr>
          <w:lang w:val="en-US"/>
        </w:rPr>
        <w:t>‘H</w:t>
      </w:r>
      <w:r w:rsidRPr="18E3555A">
        <w:rPr>
          <w:lang w:val="en-US"/>
        </w:rPr>
        <w:t xml:space="preserve">ome </w:t>
      </w:r>
      <w:r w:rsidR="3DC2CAAB" w:rsidRPr="18E3555A">
        <w:rPr>
          <w:lang w:val="en-US"/>
        </w:rPr>
        <w:t>c</w:t>
      </w:r>
      <w:r w:rsidRPr="18E3555A">
        <w:rPr>
          <w:lang w:val="en-US"/>
        </w:rPr>
        <w:t>are</w:t>
      </w:r>
      <w:r w:rsidR="617704BF" w:rsidRPr="18E3555A">
        <w:rPr>
          <w:lang w:val="en-US"/>
        </w:rPr>
        <w:t>’</w:t>
      </w:r>
      <w:r w:rsidRPr="18E3555A">
        <w:rPr>
          <w:lang w:val="en-US"/>
        </w:rPr>
        <w:t xml:space="preserve">, </w:t>
      </w:r>
      <w:r w:rsidR="617704BF" w:rsidRPr="18E3555A">
        <w:rPr>
          <w:lang w:val="en-US"/>
        </w:rPr>
        <w:t>‘C</w:t>
      </w:r>
      <w:r w:rsidRPr="18E3555A">
        <w:rPr>
          <w:lang w:val="en-US"/>
        </w:rPr>
        <w:t>ommunity</w:t>
      </w:r>
      <w:r w:rsidR="244B7659" w:rsidRPr="18E3555A">
        <w:rPr>
          <w:lang w:val="en-US"/>
        </w:rPr>
        <w:t>’</w:t>
      </w:r>
      <w:r w:rsidRPr="18E3555A">
        <w:rPr>
          <w:lang w:val="en-US"/>
        </w:rPr>
        <w:t xml:space="preserve">, </w:t>
      </w:r>
      <w:r w:rsidR="244B7659" w:rsidRPr="18E3555A">
        <w:rPr>
          <w:lang w:val="en-US"/>
        </w:rPr>
        <w:t>‘R</w:t>
      </w:r>
      <w:r w:rsidRPr="18E3555A">
        <w:rPr>
          <w:lang w:val="en-US"/>
        </w:rPr>
        <w:t>etirement</w:t>
      </w:r>
      <w:r w:rsidR="244B7659" w:rsidRPr="18E3555A">
        <w:rPr>
          <w:lang w:val="en-US"/>
        </w:rPr>
        <w:t>’</w:t>
      </w:r>
      <w:r w:rsidRPr="18E3555A">
        <w:rPr>
          <w:lang w:val="en-US"/>
        </w:rPr>
        <w:t xml:space="preserve"> and </w:t>
      </w:r>
      <w:r w:rsidR="244B7659" w:rsidRPr="18E3555A">
        <w:rPr>
          <w:lang w:val="en-US"/>
        </w:rPr>
        <w:t>‘O</w:t>
      </w:r>
      <w:r w:rsidR="3DC2CAAB" w:rsidRPr="18E3555A">
        <w:rPr>
          <w:lang w:val="en-US"/>
        </w:rPr>
        <w:t>t</w:t>
      </w:r>
      <w:r w:rsidRPr="18E3555A">
        <w:rPr>
          <w:lang w:val="en-US"/>
        </w:rPr>
        <w:t>her</w:t>
      </w:r>
      <w:r w:rsidR="244B7659" w:rsidRPr="18E3555A">
        <w:rPr>
          <w:lang w:val="en-US"/>
        </w:rPr>
        <w:t>’</w:t>
      </w:r>
      <w:r w:rsidRPr="18E3555A">
        <w:rPr>
          <w:lang w:val="en-US"/>
        </w:rPr>
        <w:t xml:space="preserve">). The </w:t>
      </w:r>
      <w:r w:rsidR="3DC2CAAB" w:rsidRPr="18E3555A">
        <w:rPr>
          <w:lang w:val="en-US"/>
        </w:rPr>
        <w:t>d</w:t>
      </w:r>
      <w:r w:rsidRPr="18E3555A">
        <w:rPr>
          <w:lang w:val="en-US"/>
        </w:rPr>
        <w:t xml:space="preserve">epartment requires that the principles of </w:t>
      </w:r>
      <w:hyperlink r:id="rId29">
        <w:r w:rsidRPr="18E3555A">
          <w:rPr>
            <w:rStyle w:val="Hyperlink"/>
            <w:lang w:val="en-US"/>
          </w:rPr>
          <w:t>AASB 8 Operating Segments</w:t>
        </w:r>
      </w:hyperlink>
      <w:r w:rsidRPr="18E3555A">
        <w:rPr>
          <w:lang w:val="en-US"/>
        </w:rPr>
        <w:t xml:space="preserve"> be applied within the segment report to split the consolidated group’s financial performance and financial position by aged care segment. Providers should make reasonable estimates to apportion these costs based on individual business models and circumstances. In addition, the principles of AASB 10 Consolidated Financial Statements can be applied note. </w:t>
      </w:r>
    </w:p>
    <w:p w14:paraId="00122F85" w14:textId="1A846122" w:rsidR="0034602A" w:rsidRPr="00BF542A" w:rsidRDefault="0034602A" w:rsidP="00BF542A">
      <w:pPr>
        <w:rPr>
          <w:lang w:val="en-US"/>
        </w:rPr>
      </w:pPr>
      <w:r w:rsidRPr="00BF542A">
        <w:rPr>
          <w:lang w:val="en-US"/>
        </w:rPr>
        <w:t xml:space="preserve">The following steps can be used as an indicative guide: </w:t>
      </w:r>
    </w:p>
    <w:p w14:paraId="04EAF39D" w14:textId="34C93890" w:rsidR="008F711B" w:rsidRPr="00BF542A" w:rsidRDefault="0034602A" w:rsidP="00BF542A">
      <w:pPr>
        <w:pStyle w:val="ListParagraph"/>
        <w:numPr>
          <w:ilvl w:val="0"/>
          <w:numId w:val="24"/>
        </w:numPr>
      </w:pPr>
      <w:r w:rsidRPr="00BF542A">
        <w:t xml:space="preserve">Determine the percentage of corporate costs that apply to each segment taking into consideration the nature of the segment </w:t>
      </w:r>
      <w:r w:rsidR="00DE6EDA">
        <w:t>–</w:t>
      </w:r>
      <w:r w:rsidRPr="00BF542A">
        <w:t xml:space="preserve"> examples being that the property division would likely be predominantly relating to </w:t>
      </w:r>
      <w:r w:rsidR="00B22A97" w:rsidRPr="00BF542A">
        <w:t>r</w:t>
      </w:r>
      <w:r w:rsidRPr="00BF542A">
        <w:t xml:space="preserve">esidential and </w:t>
      </w:r>
      <w:r w:rsidR="00B22A97" w:rsidRPr="00BF542A">
        <w:t>r</w:t>
      </w:r>
      <w:r w:rsidRPr="00BF542A">
        <w:t xml:space="preserve">etirement segments, whereas clinical would be </w:t>
      </w:r>
      <w:r w:rsidR="00B22A97" w:rsidRPr="00BF542A">
        <w:t>r</w:t>
      </w:r>
      <w:r w:rsidRPr="00BF542A">
        <w:t xml:space="preserve">esidential and </w:t>
      </w:r>
      <w:r w:rsidR="00B22A97" w:rsidRPr="00BF542A">
        <w:t>c</w:t>
      </w:r>
      <w:r w:rsidRPr="00BF542A">
        <w:t>ommunity with little allocation to</w:t>
      </w:r>
      <w:r w:rsidR="00B22A97" w:rsidRPr="00BF542A">
        <w:t xml:space="preserve"> r</w:t>
      </w:r>
      <w:r w:rsidRPr="00BF542A">
        <w:t xml:space="preserve">etirement. </w:t>
      </w:r>
    </w:p>
    <w:p w14:paraId="27433A9A" w14:textId="568A6566" w:rsidR="00B22A97" w:rsidRPr="00BF542A" w:rsidRDefault="74652A1A" w:rsidP="00BF542A">
      <w:pPr>
        <w:pStyle w:val="ListParagraph"/>
        <w:numPr>
          <w:ilvl w:val="0"/>
          <w:numId w:val="24"/>
        </w:numPr>
      </w:pPr>
      <w:r w:rsidRPr="00BF542A">
        <w:t>Once the allocation percentage for each segment is determined, the allocation within the segment (to each operating unit) can be based on a formula – For example</w:t>
      </w:r>
      <w:r w:rsidR="00087AC4" w:rsidRPr="00BF542A">
        <w:t>:</w:t>
      </w:r>
    </w:p>
    <w:p w14:paraId="7B64E273" w14:textId="5E0A7AD2" w:rsidR="00B22A97" w:rsidRPr="00BF542A" w:rsidRDefault="00B22A97" w:rsidP="00BF542A">
      <w:pPr>
        <w:pStyle w:val="ListParagraph"/>
        <w:numPr>
          <w:ilvl w:val="1"/>
          <w:numId w:val="24"/>
        </w:numPr>
        <w:rPr>
          <w:lang w:val="en-US"/>
        </w:rPr>
      </w:pPr>
      <w:r w:rsidRPr="00BF542A">
        <w:rPr>
          <w:lang w:val="en-US"/>
        </w:rPr>
        <w:t>r</w:t>
      </w:r>
      <w:r w:rsidR="0034602A" w:rsidRPr="00BF542A">
        <w:rPr>
          <w:lang w:val="en-US"/>
        </w:rPr>
        <w:t>esidential by number of operating beds for each facility (home)</w:t>
      </w:r>
    </w:p>
    <w:p w14:paraId="2F09C3F3" w14:textId="5316B31D" w:rsidR="00B22A97" w:rsidRPr="00BF542A" w:rsidRDefault="00B22A97" w:rsidP="00BF542A">
      <w:pPr>
        <w:pStyle w:val="ListParagraph"/>
        <w:numPr>
          <w:ilvl w:val="1"/>
          <w:numId w:val="24"/>
        </w:numPr>
        <w:rPr>
          <w:lang w:val="en-US"/>
        </w:rPr>
      </w:pPr>
      <w:r w:rsidRPr="00BF542A">
        <w:rPr>
          <w:lang w:val="en-US"/>
        </w:rPr>
        <w:t>c</w:t>
      </w:r>
      <w:r w:rsidR="0034602A" w:rsidRPr="00BF542A">
        <w:rPr>
          <w:lang w:val="en-US"/>
        </w:rPr>
        <w:t>ommunity based on revenue for each program</w:t>
      </w:r>
    </w:p>
    <w:p w14:paraId="67629FA2" w14:textId="28E23DCC" w:rsidR="00B22A97" w:rsidRPr="00BF542A" w:rsidRDefault="00B22A97" w:rsidP="00BF542A">
      <w:pPr>
        <w:pStyle w:val="ListParagraph"/>
        <w:numPr>
          <w:ilvl w:val="1"/>
          <w:numId w:val="24"/>
        </w:numPr>
        <w:rPr>
          <w:lang w:val="en-US"/>
        </w:rPr>
      </w:pPr>
      <w:r w:rsidRPr="00BF542A">
        <w:rPr>
          <w:lang w:val="en-US"/>
        </w:rPr>
        <w:t>r</w:t>
      </w:r>
      <w:r w:rsidR="0034602A" w:rsidRPr="00BF542A">
        <w:rPr>
          <w:lang w:val="en-US"/>
        </w:rPr>
        <w:t>etirement based on number of units for each village</w:t>
      </w:r>
      <w:r w:rsidR="00002751" w:rsidRPr="00BF542A">
        <w:rPr>
          <w:lang w:val="en-US"/>
        </w:rPr>
        <w:t xml:space="preserve">, </w:t>
      </w:r>
      <w:r w:rsidR="0034602A" w:rsidRPr="00BF542A">
        <w:rPr>
          <w:lang w:val="en-US"/>
        </w:rPr>
        <w:t xml:space="preserve">and </w:t>
      </w:r>
    </w:p>
    <w:p w14:paraId="51559A5F" w14:textId="5B9FFE6C" w:rsidR="00114F48" w:rsidRPr="00BF542A" w:rsidRDefault="008C57AB" w:rsidP="00BF542A">
      <w:pPr>
        <w:pStyle w:val="ListParagraph"/>
        <w:numPr>
          <w:ilvl w:val="1"/>
          <w:numId w:val="24"/>
        </w:numPr>
        <w:rPr>
          <w:lang w:val="en-US"/>
        </w:rPr>
      </w:pPr>
      <w:r w:rsidRPr="00BF542A">
        <w:rPr>
          <w:lang w:val="en-US"/>
        </w:rPr>
        <w:t>t</w:t>
      </w:r>
      <w:r w:rsidR="00114F48" w:rsidRPr="00BF542A">
        <w:rPr>
          <w:lang w:val="en-US"/>
        </w:rPr>
        <w:t xml:space="preserve">he “Other” segment should only include corporate costs relating to treasury, governance and areas that are not directly related to one of the operating segments. </w:t>
      </w:r>
    </w:p>
    <w:p w14:paraId="156B4303" w14:textId="600E65AA" w:rsidR="0034602A" w:rsidRPr="00EF2FB2" w:rsidRDefault="009428A9" w:rsidP="00DF2874">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250BBC">
        <w:rPr>
          <w:rFonts w:eastAsia="Calibri Light"/>
          <w:noProof/>
          <w:lang w:val="en-US"/>
        </w:rPr>
        <w:t>3</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250BBC">
        <w:rPr>
          <w:rFonts w:eastAsia="Calibri Light"/>
          <w:noProof/>
          <w:lang w:val="en-US"/>
        </w:rPr>
        <w:t>3</w:t>
      </w:r>
      <w:r>
        <w:rPr>
          <w:rFonts w:eastAsia="Calibri Light"/>
          <w:noProof/>
          <w:lang w:val="en-US"/>
        </w:rPr>
        <w:fldChar w:fldCharType="end"/>
      </w:r>
      <w:r w:rsidR="00EF2FB2" w:rsidRPr="00EF2FB2">
        <w:rPr>
          <w:rFonts w:eastAsia="Calibri Light"/>
          <w:noProof/>
          <w:lang w:val="en-US"/>
        </w:rPr>
        <w:t xml:space="preserve"> </w:t>
      </w:r>
      <w:r w:rsidR="0034602A" w:rsidRPr="00EF2FB2">
        <w:rPr>
          <w:rFonts w:eastAsia="Calibri Light"/>
          <w:noProof/>
          <w:lang w:val="en-US"/>
        </w:rPr>
        <w:t xml:space="preserve">The </w:t>
      </w:r>
      <w:r w:rsidR="00306DD3">
        <w:rPr>
          <w:rFonts w:eastAsia="Calibri Light"/>
          <w:noProof/>
          <w:lang w:val="en-US"/>
        </w:rPr>
        <w:t>‘</w:t>
      </w:r>
      <w:r w:rsidR="002C3707" w:rsidRPr="00EF2FB2">
        <w:rPr>
          <w:rFonts w:eastAsia="Calibri Light"/>
          <w:noProof/>
          <w:lang w:val="en-US"/>
        </w:rPr>
        <w:t>Balance Sheet</w:t>
      </w:r>
      <w:r w:rsidR="00306DD3">
        <w:rPr>
          <w:rFonts w:eastAsia="Calibri Light"/>
          <w:noProof/>
          <w:lang w:val="en-US"/>
        </w:rPr>
        <w:t>’</w:t>
      </w:r>
      <w:r w:rsidR="002C3707" w:rsidRPr="00EF2FB2">
        <w:rPr>
          <w:rFonts w:eastAsia="Calibri Light"/>
          <w:noProof/>
          <w:lang w:val="en-US"/>
        </w:rPr>
        <w:t xml:space="preserve"> </w:t>
      </w:r>
      <w:r w:rsidR="0034602A" w:rsidRPr="00EF2FB2">
        <w:rPr>
          <w:rFonts w:eastAsia="Calibri Light"/>
          <w:noProof/>
          <w:lang w:val="en-US"/>
        </w:rPr>
        <w:t xml:space="preserve">in the </w:t>
      </w:r>
      <w:r w:rsidR="00306DD3">
        <w:rPr>
          <w:rFonts w:eastAsia="Calibri Light"/>
          <w:noProof/>
          <w:lang w:val="en-US"/>
        </w:rPr>
        <w:t>CSR</w:t>
      </w:r>
      <w:r w:rsidR="006B7290" w:rsidRPr="00EF2FB2">
        <w:rPr>
          <w:rFonts w:eastAsia="Calibri Light"/>
          <w:noProof/>
          <w:lang w:val="en-US"/>
        </w:rPr>
        <w:t xml:space="preserve"> </w:t>
      </w:r>
      <w:r w:rsidR="0034602A" w:rsidRPr="00EF2FB2">
        <w:rPr>
          <w:rFonts w:eastAsia="Calibri Light"/>
          <w:noProof/>
          <w:lang w:val="en-US"/>
        </w:rPr>
        <w:t xml:space="preserve">does not require segmentation for </w:t>
      </w:r>
      <w:r w:rsidR="00E32822" w:rsidRPr="00EF2FB2">
        <w:rPr>
          <w:rFonts w:eastAsia="Calibri Light"/>
          <w:noProof/>
          <w:lang w:val="en-US"/>
        </w:rPr>
        <w:t>c</w:t>
      </w:r>
      <w:r w:rsidR="0034602A" w:rsidRPr="00EF2FB2">
        <w:rPr>
          <w:rFonts w:eastAsia="Calibri Light"/>
          <w:noProof/>
          <w:lang w:val="en-US"/>
        </w:rPr>
        <w:t xml:space="preserve">ash, </w:t>
      </w:r>
      <w:r w:rsidR="00E32822" w:rsidRPr="00EF2FB2">
        <w:rPr>
          <w:rFonts w:eastAsia="Calibri Light"/>
          <w:noProof/>
          <w:lang w:val="en-US"/>
        </w:rPr>
        <w:t>f</w:t>
      </w:r>
      <w:r w:rsidR="0034602A" w:rsidRPr="00EF2FB2">
        <w:rPr>
          <w:rFonts w:eastAsia="Calibri Light"/>
          <w:noProof/>
          <w:lang w:val="en-US"/>
        </w:rPr>
        <w:t xml:space="preserve">inancial </w:t>
      </w:r>
      <w:r w:rsidR="00E32822" w:rsidRPr="00EF2FB2">
        <w:rPr>
          <w:rFonts w:eastAsia="Calibri Light"/>
          <w:noProof/>
          <w:lang w:val="en-US"/>
        </w:rPr>
        <w:t>a</w:t>
      </w:r>
      <w:r w:rsidR="0034602A" w:rsidRPr="00EF2FB2">
        <w:rPr>
          <w:rFonts w:eastAsia="Calibri Light"/>
          <w:noProof/>
          <w:lang w:val="en-US"/>
        </w:rPr>
        <w:t xml:space="preserve">ssets or </w:t>
      </w:r>
      <w:r w:rsidR="00E32822" w:rsidRPr="00EF2FB2">
        <w:rPr>
          <w:rFonts w:eastAsia="Calibri Light"/>
          <w:noProof/>
          <w:lang w:val="en-US"/>
        </w:rPr>
        <w:t>e</w:t>
      </w:r>
      <w:r w:rsidR="0034602A" w:rsidRPr="00EF2FB2">
        <w:rPr>
          <w:rFonts w:eastAsia="Calibri Light"/>
          <w:noProof/>
          <w:lang w:val="en-US"/>
        </w:rPr>
        <w:t xml:space="preserve">quity. </w:t>
      </w:r>
      <w:r w:rsidR="00F7561F">
        <w:rPr>
          <w:rFonts w:eastAsia="Calibri Light"/>
          <w:noProof/>
          <w:lang w:val="en-US"/>
        </w:rPr>
        <w:t>Are these</w:t>
      </w:r>
      <w:r w:rsidR="0034602A" w:rsidRPr="00EF2FB2">
        <w:rPr>
          <w:rFonts w:eastAsia="Calibri Light"/>
          <w:noProof/>
          <w:lang w:val="en-US"/>
        </w:rPr>
        <w:t xml:space="preserve"> </w:t>
      </w:r>
      <w:r w:rsidR="00F7561F">
        <w:rPr>
          <w:rFonts w:eastAsia="Calibri Light"/>
          <w:noProof/>
          <w:lang w:val="en-US"/>
        </w:rPr>
        <w:t>‘</w:t>
      </w:r>
      <w:r w:rsidR="00E70EA9" w:rsidRPr="00EF2FB2">
        <w:rPr>
          <w:rFonts w:eastAsia="Calibri Light"/>
          <w:noProof/>
          <w:lang w:val="en-US"/>
        </w:rPr>
        <w:t>Balance Sheet</w:t>
      </w:r>
      <w:r w:rsidR="00F7561F">
        <w:rPr>
          <w:rFonts w:eastAsia="Calibri Light"/>
          <w:noProof/>
          <w:lang w:val="en-US"/>
        </w:rPr>
        <w:t>’</w:t>
      </w:r>
      <w:r w:rsidR="00E70EA9" w:rsidRPr="00EF2FB2">
        <w:rPr>
          <w:rFonts w:eastAsia="Calibri Light"/>
          <w:noProof/>
          <w:lang w:val="en-US"/>
        </w:rPr>
        <w:t xml:space="preserve"> </w:t>
      </w:r>
      <w:r w:rsidR="0034602A" w:rsidRPr="00EF2FB2">
        <w:rPr>
          <w:rFonts w:eastAsia="Calibri Light"/>
          <w:noProof/>
          <w:lang w:val="en-US"/>
        </w:rPr>
        <w:t>items (</w:t>
      </w:r>
      <w:r w:rsidR="00E32822" w:rsidRPr="00EF2FB2">
        <w:rPr>
          <w:rFonts w:eastAsia="Calibri Light"/>
          <w:noProof/>
          <w:lang w:val="en-US"/>
        </w:rPr>
        <w:t>c</w:t>
      </w:r>
      <w:r w:rsidR="0034602A" w:rsidRPr="00EF2FB2">
        <w:rPr>
          <w:rFonts w:eastAsia="Calibri Light"/>
          <w:noProof/>
          <w:lang w:val="en-US"/>
        </w:rPr>
        <w:t xml:space="preserve">ash, </w:t>
      </w:r>
      <w:r w:rsidR="00E32822" w:rsidRPr="00EF2FB2">
        <w:rPr>
          <w:rFonts w:eastAsia="Calibri Light"/>
          <w:noProof/>
          <w:lang w:val="en-US"/>
        </w:rPr>
        <w:t>f</w:t>
      </w:r>
      <w:r w:rsidR="0034602A" w:rsidRPr="00EF2FB2">
        <w:rPr>
          <w:rFonts w:eastAsia="Calibri Light"/>
          <w:noProof/>
          <w:lang w:val="en-US"/>
        </w:rPr>
        <w:t xml:space="preserve">inancial </w:t>
      </w:r>
      <w:r w:rsidR="00E32822" w:rsidRPr="00EF2FB2">
        <w:rPr>
          <w:rFonts w:eastAsia="Calibri Light"/>
          <w:noProof/>
          <w:lang w:val="en-US"/>
        </w:rPr>
        <w:t>a</w:t>
      </w:r>
      <w:r w:rsidR="0034602A" w:rsidRPr="00EF2FB2">
        <w:rPr>
          <w:rFonts w:eastAsia="Calibri Light"/>
          <w:noProof/>
          <w:lang w:val="en-US"/>
        </w:rPr>
        <w:t xml:space="preserve">ssets and </w:t>
      </w:r>
      <w:r w:rsidR="00E32822" w:rsidRPr="00EF2FB2">
        <w:rPr>
          <w:rFonts w:eastAsia="Calibri Light"/>
          <w:noProof/>
          <w:lang w:val="en-US"/>
        </w:rPr>
        <w:t>e</w:t>
      </w:r>
      <w:r w:rsidR="0034602A" w:rsidRPr="00EF2FB2">
        <w:rPr>
          <w:rFonts w:eastAsia="Calibri Light"/>
          <w:noProof/>
          <w:lang w:val="en-US"/>
        </w:rPr>
        <w:t xml:space="preserve">quity) excluded from the separate </w:t>
      </w:r>
      <w:r w:rsidR="00E32822" w:rsidRPr="00EF2FB2">
        <w:rPr>
          <w:rFonts w:eastAsia="Calibri Light"/>
          <w:noProof/>
          <w:lang w:val="en-US"/>
        </w:rPr>
        <w:t>r</w:t>
      </w:r>
      <w:r w:rsidR="0034602A" w:rsidRPr="00EF2FB2">
        <w:rPr>
          <w:rFonts w:eastAsia="Calibri Light"/>
          <w:noProof/>
          <w:lang w:val="en-US"/>
        </w:rPr>
        <w:t xml:space="preserve">esidential </w:t>
      </w:r>
      <w:r w:rsidR="00E32822" w:rsidRPr="00EF2FB2">
        <w:rPr>
          <w:rFonts w:eastAsia="Calibri Light"/>
          <w:noProof/>
          <w:lang w:val="en-US"/>
        </w:rPr>
        <w:t>b</w:t>
      </w:r>
      <w:r w:rsidR="0034602A" w:rsidRPr="00EF2FB2">
        <w:rPr>
          <w:rFonts w:eastAsia="Calibri Light"/>
          <w:noProof/>
          <w:lang w:val="en-US"/>
        </w:rPr>
        <w:t xml:space="preserve">alance </w:t>
      </w:r>
      <w:r w:rsidR="00E32822" w:rsidRPr="00EF2FB2">
        <w:rPr>
          <w:rFonts w:eastAsia="Calibri Light"/>
          <w:noProof/>
          <w:lang w:val="en-US"/>
        </w:rPr>
        <w:t>s</w:t>
      </w:r>
      <w:r w:rsidR="0034602A" w:rsidRPr="00EF2FB2">
        <w:rPr>
          <w:rFonts w:eastAsia="Calibri Light"/>
          <w:noProof/>
          <w:lang w:val="en-US"/>
        </w:rPr>
        <w:t>heet reporting requirements?</w:t>
      </w:r>
    </w:p>
    <w:p w14:paraId="30A14340" w14:textId="1B3C0684" w:rsidR="0034602A" w:rsidRPr="0031796C" w:rsidRDefault="007240A0" w:rsidP="00DF2874">
      <w:pPr>
        <w:rPr>
          <w:lang w:val="en-US"/>
        </w:rPr>
      </w:pPr>
      <w:r>
        <w:rPr>
          <w:lang w:val="en-US"/>
        </w:rPr>
        <w:t>No</w:t>
      </w:r>
      <w:r w:rsidR="0047111D">
        <w:rPr>
          <w:lang w:val="en-US"/>
        </w:rPr>
        <w:t>. The</w:t>
      </w:r>
      <w:r w:rsidR="00D50218">
        <w:rPr>
          <w:lang w:val="en-US"/>
        </w:rPr>
        <w:t xml:space="preserve"> ‘Balance Sheet’ item</w:t>
      </w:r>
      <w:r w:rsidR="00B746DC">
        <w:rPr>
          <w:lang w:val="en-US"/>
        </w:rPr>
        <w:t>s</w:t>
      </w:r>
      <w:r w:rsidR="00D50218">
        <w:rPr>
          <w:lang w:val="en-US"/>
        </w:rPr>
        <w:t xml:space="preserve"> are</w:t>
      </w:r>
      <w:r w:rsidR="00F73D91">
        <w:rPr>
          <w:lang w:val="en-US"/>
        </w:rPr>
        <w:t xml:space="preserve"> </w:t>
      </w:r>
      <w:r w:rsidR="0047111D">
        <w:rPr>
          <w:lang w:val="en-US"/>
        </w:rPr>
        <w:t>included</w:t>
      </w:r>
      <w:r w:rsidR="00F73D91">
        <w:rPr>
          <w:lang w:val="en-US"/>
        </w:rPr>
        <w:t xml:space="preserve"> </w:t>
      </w:r>
      <w:r w:rsidR="0047111D">
        <w:rPr>
          <w:lang w:val="en-US"/>
        </w:rPr>
        <w:t xml:space="preserve">in </w:t>
      </w:r>
      <w:r w:rsidR="00F73D91">
        <w:rPr>
          <w:lang w:val="en-US"/>
        </w:rPr>
        <w:t xml:space="preserve">residential balance sheet reporting requirements. </w:t>
      </w:r>
      <w:r w:rsidR="0033368D">
        <w:rPr>
          <w:lang w:val="en-US"/>
        </w:rPr>
        <w:t xml:space="preserve">The residential allocation for cash, financial assets, and the allocation of all other residual current assets </w:t>
      </w:r>
      <w:r w:rsidR="00451927">
        <w:rPr>
          <w:lang w:val="en-US"/>
        </w:rPr>
        <w:t xml:space="preserve">should be included in the residential segment balance sheet under ‘Other Assets’. </w:t>
      </w:r>
    </w:p>
    <w:p w14:paraId="22F08F0C" w14:textId="67267837" w:rsidR="0031796C" w:rsidRPr="0031796C" w:rsidRDefault="0034602A" w:rsidP="00DF2874">
      <w:pPr>
        <w:rPr>
          <w:lang w:val="en-US"/>
        </w:rPr>
      </w:pPr>
      <w:r w:rsidRPr="0031796C">
        <w:rPr>
          <w:lang w:val="en-US"/>
        </w:rPr>
        <w:t xml:space="preserve">The </w:t>
      </w:r>
      <w:r w:rsidR="00E32822" w:rsidRPr="0031796C">
        <w:rPr>
          <w:lang w:val="en-US"/>
        </w:rPr>
        <w:t>CSR</w:t>
      </w:r>
      <w:r w:rsidRPr="0031796C" w:rsidDel="00E32822">
        <w:rPr>
          <w:lang w:val="en-US"/>
        </w:rPr>
        <w:t xml:space="preserve"> </w:t>
      </w:r>
      <w:r w:rsidRPr="0031796C">
        <w:rPr>
          <w:lang w:val="en-US"/>
        </w:rPr>
        <w:t>is to be completed at the ultimate parent entity level and does not require cash and financial assets to be allocated to the individual segments. It can be reported as a total for the parent entity.</w:t>
      </w:r>
    </w:p>
    <w:p w14:paraId="19A3C9D6" w14:textId="572DCA19" w:rsidR="0034602A" w:rsidRPr="0031796C" w:rsidRDefault="009428A9" w:rsidP="00DF2874">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250BBC">
        <w:rPr>
          <w:rFonts w:eastAsia="Calibri Light"/>
          <w:noProof/>
          <w:lang w:val="en-US"/>
        </w:rPr>
        <w:t>3</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250BBC">
        <w:rPr>
          <w:rFonts w:eastAsia="Calibri Light"/>
          <w:noProof/>
          <w:lang w:val="en-US"/>
        </w:rPr>
        <w:t>4</w:t>
      </w:r>
      <w:r>
        <w:rPr>
          <w:rFonts w:eastAsia="Calibri Light"/>
          <w:noProof/>
          <w:lang w:val="en-US"/>
        </w:rPr>
        <w:fldChar w:fldCharType="end"/>
      </w:r>
      <w:r w:rsidR="0031796C" w:rsidRPr="0031796C">
        <w:rPr>
          <w:rFonts w:eastAsia="Calibri Light"/>
          <w:noProof/>
          <w:lang w:val="en-US"/>
        </w:rPr>
        <w:t xml:space="preserve"> </w:t>
      </w:r>
      <w:r w:rsidR="006271D8">
        <w:rPr>
          <w:rFonts w:eastAsia="Calibri Light"/>
          <w:noProof/>
          <w:lang w:val="en-US"/>
        </w:rPr>
        <w:t>Should the</w:t>
      </w:r>
      <w:r w:rsidR="0034602A" w:rsidRPr="0031796C">
        <w:rPr>
          <w:rFonts w:eastAsia="Calibri Light"/>
          <w:noProof/>
          <w:lang w:val="en-US"/>
        </w:rPr>
        <w:t xml:space="preserve"> National Aboriginal and Torres Strait Islander Flexible Aged Care</w:t>
      </w:r>
      <w:r w:rsidR="007107EE" w:rsidRPr="0031796C">
        <w:rPr>
          <w:rFonts w:eastAsia="Calibri Light"/>
          <w:noProof/>
          <w:lang w:val="en-US"/>
        </w:rPr>
        <w:t xml:space="preserve"> (NATSIFAC)</w:t>
      </w:r>
      <w:r w:rsidR="0034602A" w:rsidRPr="0031796C">
        <w:rPr>
          <w:rFonts w:eastAsia="Calibri Light"/>
          <w:noProof/>
          <w:lang w:val="en-US"/>
        </w:rPr>
        <w:t xml:space="preserve"> Program be allocated to the </w:t>
      </w:r>
      <w:r w:rsidR="00026AA4">
        <w:rPr>
          <w:rFonts w:eastAsia="Calibri Light"/>
          <w:noProof/>
          <w:lang w:val="en-US"/>
        </w:rPr>
        <w:t>‘R</w:t>
      </w:r>
      <w:r w:rsidR="0034602A" w:rsidRPr="0031796C">
        <w:rPr>
          <w:rFonts w:eastAsia="Calibri Light"/>
          <w:noProof/>
          <w:lang w:val="en-US"/>
        </w:rPr>
        <w:t>esidential</w:t>
      </w:r>
      <w:r w:rsidR="00026AA4">
        <w:rPr>
          <w:rFonts w:eastAsia="Calibri Light"/>
          <w:noProof/>
          <w:lang w:val="en-US"/>
        </w:rPr>
        <w:t>’</w:t>
      </w:r>
      <w:r w:rsidR="0034602A" w:rsidRPr="0031796C">
        <w:rPr>
          <w:rFonts w:eastAsia="Calibri Light"/>
          <w:noProof/>
          <w:lang w:val="en-US"/>
        </w:rPr>
        <w:t xml:space="preserve"> segment?</w:t>
      </w:r>
    </w:p>
    <w:p w14:paraId="0860B409" w14:textId="142091BA" w:rsidR="0034602A" w:rsidRPr="0031796C" w:rsidRDefault="0034602A" w:rsidP="00DF2874">
      <w:pPr>
        <w:rPr>
          <w:lang w:val="en-US"/>
        </w:rPr>
      </w:pPr>
      <w:r w:rsidRPr="0031796C">
        <w:rPr>
          <w:lang w:val="en-US"/>
        </w:rPr>
        <w:t>The NATS</w:t>
      </w:r>
      <w:r w:rsidR="007107EE" w:rsidRPr="0031796C">
        <w:rPr>
          <w:lang w:val="en-US"/>
        </w:rPr>
        <w:t xml:space="preserve">IFAC </w:t>
      </w:r>
      <w:r w:rsidR="00112E25">
        <w:rPr>
          <w:lang w:val="en-US"/>
        </w:rPr>
        <w:t>P</w:t>
      </w:r>
      <w:r w:rsidR="007107EE" w:rsidRPr="0031796C">
        <w:rPr>
          <w:lang w:val="en-US"/>
        </w:rPr>
        <w:t>rogram</w:t>
      </w:r>
      <w:r w:rsidRPr="0031796C">
        <w:rPr>
          <w:lang w:val="en-US"/>
        </w:rPr>
        <w:t xml:space="preserve"> should not be allocated to any of the residential segment tabs. In the </w:t>
      </w:r>
      <w:r w:rsidR="0061711E">
        <w:rPr>
          <w:lang w:val="en-US"/>
        </w:rPr>
        <w:t>CSR</w:t>
      </w:r>
      <w:r w:rsidRPr="0031796C">
        <w:rPr>
          <w:lang w:val="en-US"/>
        </w:rPr>
        <w:t xml:space="preserve">, </w:t>
      </w:r>
      <w:r w:rsidR="007107EE" w:rsidRPr="0031796C">
        <w:rPr>
          <w:lang w:val="en-US"/>
        </w:rPr>
        <w:t>NATSIFAC</w:t>
      </w:r>
      <w:r w:rsidRPr="0031796C">
        <w:rPr>
          <w:lang w:val="en-US"/>
        </w:rPr>
        <w:t xml:space="preserve"> should be included in the </w:t>
      </w:r>
      <w:r w:rsidR="007107EE" w:rsidRPr="0031796C">
        <w:rPr>
          <w:lang w:val="en-US"/>
        </w:rPr>
        <w:t>‘</w:t>
      </w:r>
      <w:r w:rsidRPr="0031796C">
        <w:rPr>
          <w:lang w:val="en-US"/>
        </w:rPr>
        <w:t>Community</w:t>
      </w:r>
      <w:r w:rsidR="007107EE" w:rsidRPr="0031796C">
        <w:rPr>
          <w:lang w:val="en-US"/>
        </w:rPr>
        <w:t>’</w:t>
      </w:r>
      <w:r w:rsidRPr="0031796C">
        <w:rPr>
          <w:lang w:val="en-US"/>
        </w:rPr>
        <w:t xml:space="preserve"> column. </w:t>
      </w:r>
    </w:p>
    <w:p w14:paraId="3444264F" w14:textId="1B2F42BA" w:rsidR="0034602A" w:rsidRPr="00503E83" w:rsidRDefault="009428A9" w:rsidP="00DF2874">
      <w:pPr>
        <w:pStyle w:val="Caption"/>
        <w:rPr>
          <w:rFonts w:eastAsia="Calibri Light"/>
          <w:noProof/>
          <w:lang w:val="en-US"/>
        </w:rPr>
      </w:pPr>
      <w:r>
        <w:rPr>
          <w:rFonts w:eastAsia="Calibri Light"/>
          <w:noProof/>
          <w:lang w:val="en-US"/>
        </w:rPr>
        <w:lastRenderedPageBreak/>
        <w:fldChar w:fldCharType="begin"/>
      </w:r>
      <w:r>
        <w:rPr>
          <w:rFonts w:eastAsia="Calibri Light"/>
          <w:noProof/>
          <w:lang w:val="en-US"/>
        </w:rPr>
        <w:instrText xml:space="preserve"> STYLEREF 1 \s </w:instrText>
      </w:r>
      <w:r>
        <w:rPr>
          <w:rFonts w:eastAsia="Calibri Light"/>
          <w:noProof/>
          <w:lang w:val="en-US"/>
        </w:rPr>
        <w:fldChar w:fldCharType="separate"/>
      </w:r>
      <w:r w:rsidR="00250BBC">
        <w:rPr>
          <w:rFonts w:eastAsia="Calibri Light"/>
          <w:noProof/>
          <w:lang w:val="en-US"/>
        </w:rPr>
        <w:t>3</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250BBC">
        <w:rPr>
          <w:rFonts w:eastAsia="Calibri Light"/>
          <w:noProof/>
          <w:lang w:val="en-US"/>
        </w:rPr>
        <w:t>5</w:t>
      </w:r>
      <w:r>
        <w:rPr>
          <w:rFonts w:eastAsia="Calibri Light"/>
          <w:noProof/>
          <w:lang w:val="en-US"/>
        </w:rPr>
        <w:fldChar w:fldCharType="end"/>
      </w:r>
      <w:r w:rsidR="00503E83" w:rsidRPr="00503E83">
        <w:rPr>
          <w:rFonts w:eastAsia="Calibri Light"/>
          <w:noProof/>
          <w:lang w:val="en-US"/>
        </w:rPr>
        <w:t xml:space="preserve"> </w:t>
      </w:r>
      <w:r w:rsidR="00BF66E7" w:rsidRPr="00503E83">
        <w:rPr>
          <w:rFonts w:eastAsia="Calibri Light"/>
          <w:noProof/>
          <w:lang w:val="en-US"/>
        </w:rPr>
        <w:t>Do we need to report Transition Care Programme</w:t>
      </w:r>
      <w:r w:rsidR="007107EE" w:rsidRPr="00503E83">
        <w:rPr>
          <w:rFonts w:eastAsia="Calibri Light"/>
          <w:noProof/>
          <w:lang w:val="en-US"/>
        </w:rPr>
        <w:t xml:space="preserve"> (TCP)</w:t>
      </w:r>
      <w:r w:rsidR="00BF66E7" w:rsidRPr="00503E83">
        <w:rPr>
          <w:rFonts w:eastAsia="Calibri Light"/>
          <w:noProof/>
          <w:lang w:val="en-US"/>
        </w:rPr>
        <w:t xml:space="preserve"> in the Residential Income &amp; Expenses? </w:t>
      </w:r>
    </w:p>
    <w:p w14:paraId="0B119527" w14:textId="03C07BEE" w:rsidR="00BF66E7" w:rsidRPr="00DF2874" w:rsidRDefault="00E61CA9" w:rsidP="00DF2874">
      <w:pPr>
        <w:rPr>
          <w:lang w:val="en-US"/>
        </w:rPr>
      </w:pPr>
      <w:r>
        <w:rPr>
          <w:lang w:val="en-US"/>
        </w:rPr>
        <w:t>D</w:t>
      </w:r>
      <w:r w:rsidR="00BF66E7" w:rsidRPr="00DF2874">
        <w:rPr>
          <w:lang w:val="en-US"/>
        </w:rPr>
        <w:t xml:space="preserve">o not include TCP in the </w:t>
      </w:r>
      <w:r w:rsidR="00026AA4" w:rsidRPr="00DF2874">
        <w:rPr>
          <w:lang w:val="en-US"/>
        </w:rPr>
        <w:t>‘R</w:t>
      </w:r>
      <w:r w:rsidR="00BF66E7" w:rsidRPr="00DF2874">
        <w:rPr>
          <w:lang w:val="en-US"/>
        </w:rPr>
        <w:t>esidential income statement</w:t>
      </w:r>
      <w:r w:rsidR="00026AA4" w:rsidRPr="00DF2874">
        <w:rPr>
          <w:lang w:val="en-US"/>
        </w:rPr>
        <w:t>’</w:t>
      </w:r>
      <w:r w:rsidR="00BF66E7" w:rsidRPr="00DF2874">
        <w:rPr>
          <w:lang w:val="en-US"/>
        </w:rPr>
        <w:t>, the income and expenses from the TCP should be included in the approved provider income statement and in the ‘Community’ segment of the</w:t>
      </w:r>
      <w:r w:rsidR="00DF2874">
        <w:rPr>
          <w:lang w:val="en-US"/>
        </w:rPr>
        <w:t xml:space="preserve"> CSR</w:t>
      </w:r>
    </w:p>
    <w:p w14:paraId="649DDA8B" w14:textId="4D36B2E3" w:rsidR="00E92CB8" w:rsidRPr="00DF2874" w:rsidRDefault="009428A9" w:rsidP="00DF2874">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250BBC">
        <w:rPr>
          <w:rFonts w:eastAsia="Calibri Light"/>
          <w:noProof/>
          <w:lang w:val="en-US"/>
        </w:rPr>
        <w:t>3</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250BBC">
        <w:rPr>
          <w:rFonts w:eastAsia="Calibri Light"/>
          <w:noProof/>
          <w:lang w:val="en-US"/>
        </w:rPr>
        <w:t>6</w:t>
      </w:r>
      <w:r>
        <w:rPr>
          <w:rFonts w:eastAsia="Calibri Light"/>
          <w:noProof/>
          <w:lang w:val="en-US"/>
        </w:rPr>
        <w:fldChar w:fldCharType="end"/>
      </w:r>
      <w:r w:rsidR="00E92CB8" w:rsidRPr="00E92CB8">
        <w:rPr>
          <w:rFonts w:eastAsia="Calibri Light"/>
          <w:noProof/>
          <w:lang w:val="en-US"/>
        </w:rPr>
        <w:t xml:space="preserve"> Where should STRC be allocated in the </w:t>
      </w:r>
      <w:r w:rsidR="003A252A">
        <w:rPr>
          <w:rFonts w:eastAsia="Calibri Light"/>
          <w:noProof/>
          <w:lang w:val="en-US"/>
        </w:rPr>
        <w:t>CSR</w:t>
      </w:r>
      <w:r w:rsidR="00E92CB8" w:rsidRPr="00E92CB8">
        <w:rPr>
          <w:rFonts w:eastAsia="Calibri Light"/>
          <w:noProof/>
          <w:lang w:val="en-US"/>
        </w:rPr>
        <w:t xml:space="preserve">? </w:t>
      </w:r>
      <w:r w:rsidR="0061711E">
        <w:rPr>
          <w:rFonts w:eastAsia="Calibri Light"/>
          <w:noProof/>
          <w:lang w:val="en-US"/>
        </w:rPr>
        <w:t>S</w:t>
      </w:r>
      <w:r w:rsidR="00E92CB8" w:rsidRPr="00E92CB8">
        <w:rPr>
          <w:rFonts w:eastAsia="Calibri Light"/>
          <w:noProof/>
          <w:lang w:val="en-US"/>
        </w:rPr>
        <w:t>hould</w:t>
      </w:r>
      <w:r w:rsidR="0061711E">
        <w:rPr>
          <w:rFonts w:eastAsia="Calibri Light"/>
          <w:noProof/>
          <w:lang w:val="en-US"/>
        </w:rPr>
        <w:t xml:space="preserve"> it</w:t>
      </w:r>
      <w:r w:rsidR="00E92CB8" w:rsidRPr="00E92CB8">
        <w:rPr>
          <w:rFonts w:eastAsia="Calibri Light"/>
          <w:noProof/>
          <w:lang w:val="en-US"/>
        </w:rPr>
        <w:t xml:space="preserve"> be reported in the ‘Community’ segment to be consistent with the TCP and NATSIFAC?</w:t>
      </w:r>
    </w:p>
    <w:p w14:paraId="0FF5F87E" w14:textId="715882B9" w:rsidR="00E92CB8" w:rsidRPr="00DF2874" w:rsidRDefault="00F81730" w:rsidP="00DF2874">
      <w:pPr>
        <w:rPr>
          <w:lang w:val="en-US"/>
        </w:rPr>
      </w:pPr>
      <w:r w:rsidRPr="00DF2874">
        <w:rPr>
          <w:lang w:val="en-US"/>
        </w:rPr>
        <w:t xml:space="preserve">STRC should be included in the ‘Community’ </w:t>
      </w:r>
      <w:r w:rsidR="00026AA4" w:rsidRPr="00DF2874">
        <w:rPr>
          <w:lang w:val="en-US"/>
        </w:rPr>
        <w:t>segment and</w:t>
      </w:r>
      <w:r w:rsidRPr="00DF2874">
        <w:rPr>
          <w:lang w:val="en-US"/>
        </w:rPr>
        <w:t xml:space="preserve"> should not be included in </w:t>
      </w:r>
      <w:r w:rsidR="0061711E" w:rsidRPr="00DF2874">
        <w:rPr>
          <w:lang w:val="en-US"/>
        </w:rPr>
        <w:t xml:space="preserve">the </w:t>
      </w:r>
      <w:r w:rsidRPr="00DF2874">
        <w:rPr>
          <w:lang w:val="en-US"/>
        </w:rPr>
        <w:t>‘Other’ segment</w:t>
      </w:r>
      <w:r w:rsidR="00CA5796" w:rsidRPr="00DF2874">
        <w:rPr>
          <w:lang w:val="en-US"/>
        </w:rPr>
        <w:t xml:space="preserve"> in the</w:t>
      </w:r>
      <w:r w:rsidR="00820924" w:rsidRPr="00DF2874">
        <w:rPr>
          <w:lang w:val="en-US"/>
        </w:rPr>
        <w:t xml:space="preserve"> CSR</w:t>
      </w:r>
      <w:r w:rsidRPr="00DF2874">
        <w:rPr>
          <w:lang w:val="en-US"/>
        </w:rPr>
        <w:t>.</w:t>
      </w:r>
    </w:p>
    <w:p w14:paraId="4ED92FF4" w14:textId="0161FEA9" w:rsidR="00BF66E7" w:rsidRPr="00503E83" w:rsidRDefault="009428A9" w:rsidP="00DF2874">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250BBC">
        <w:rPr>
          <w:rFonts w:eastAsia="Calibri Light"/>
          <w:noProof/>
          <w:lang w:val="en-US"/>
        </w:rPr>
        <w:t>3</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250BBC">
        <w:rPr>
          <w:rFonts w:eastAsia="Calibri Light"/>
          <w:noProof/>
          <w:lang w:val="en-US"/>
        </w:rPr>
        <w:t>7</w:t>
      </w:r>
      <w:r>
        <w:rPr>
          <w:rFonts w:eastAsia="Calibri Light"/>
          <w:noProof/>
          <w:lang w:val="en-US"/>
        </w:rPr>
        <w:fldChar w:fldCharType="end"/>
      </w:r>
      <w:r w:rsidR="00503E83" w:rsidRPr="00503E83">
        <w:rPr>
          <w:rFonts w:eastAsia="Calibri Light"/>
          <w:noProof/>
          <w:lang w:val="en-US"/>
        </w:rPr>
        <w:t xml:space="preserve"> </w:t>
      </w:r>
      <w:r w:rsidR="00BF66E7" w:rsidRPr="00503E83">
        <w:rPr>
          <w:rFonts w:eastAsia="Calibri Light"/>
          <w:noProof/>
          <w:lang w:val="en-US"/>
        </w:rPr>
        <w:t xml:space="preserve">Is the </w:t>
      </w:r>
      <w:r w:rsidR="00503E83" w:rsidRPr="00503E83">
        <w:rPr>
          <w:rFonts w:eastAsia="Calibri Light"/>
          <w:noProof/>
          <w:lang w:val="en-US"/>
        </w:rPr>
        <w:t>‘R</w:t>
      </w:r>
      <w:r w:rsidR="00BF66E7" w:rsidRPr="00503E83">
        <w:rPr>
          <w:rFonts w:eastAsia="Calibri Light"/>
          <w:noProof/>
          <w:lang w:val="en-US"/>
        </w:rPr>
        <w:t>etirement</w:t>
      </w:r>
      <w:r w:rsidR="00503E83" w:rsidRPr="00503E83">
        <w:rPr>
          <w:rFonts w:eastAsia="Calibri Light"/>
          <w:noProof/>
          <w:lang w:val="en-US"/>
        </w:rPr>
        <w:t>’</w:t>
      </w:r>
      <w:r w:rsidR="00BF66E7" w:rsidRPr="00503E83">
        <w:rPr>
          <w:rFonts w:eastAsia="Calibri Light"/>
          <w:noProof/>
          <w:lang w:val="en-US"/>
        </w:rPr>
        <w:t xml:space="preserve"> column in the segment report for a retirement village?</w:t>
      </w:r>
    </w:p>
    <w:p w14:paraId="6EEE997E" w14:textId="5BE38E2B" w:rsidR="00BF66E7" w:rsidRPr="00DF2874" w:rsidRDefault="00BF66E7" w:rsidP="00DF2874">
      <w:pPr>
        <w:rPr>
          <w:lang w:val="en-US"/>
        </w:rPr>
      </w:pPr>
      <w:r w:rsidRPr="00DF2874">
        <w:rPr>
          <w:lang w:val="en-US"/>
        </w:rPr>
        <w:t xml:space="preserve">Yes, the </w:t>
      </w:r>
      <w:r w:rsidR="00503E83" w:rsidRPr="00DF2874">
        <w:rPr>
          <w:lang w:val="en-US"/>
        </w:rPr>
        <w:t>‘R</w:t>
      </w:r>
      <w:r w:rsidRPr="00DF2874">
        <w:rPr>
          <w:lang w:val="en-US"/>
        </w:rPr>
        <w:t>etirement</w:t>
      </w:r>
      <w:r w:rsidR="00503E83" w:rsidRPr="00DF2874">
        <w:rPr>
          <w:lang w:val="en-US"/>
        </w:rPr>
        <w:t>’</w:t>
      </w:r>
      <w:r w:rsidRPr="00DF2874">
        <w:rPr>
          <w:lang w:val="en-US"/>
        </w:rPr>
        <w:t xml:space="preserve"> column in the</w:t>
      </w:r>
      <w:r w:rsidR="00E32822" w:rsidRPr="00DF2874">
        <w:rPr>
          <w:lang w:val="en-US"/>
        </w:rPr>
        <w:t xml:space="preserve"> </w:t>
      </w:r>
      <w:r w:rsidR="00556DDB" w:rsidRPr="00DF2874">
        <w:rPr>
          <w:lang w:val="en-US"/>
        </w:rPr>
        <w:t>CSR</w:t>
      </w:r>
      <w:r w:rsidRPr="00DF2874" w:rsidDel="00E32822">
        <w:rPr>
          <w:lang w:val="en-US"/>
        </w:rPr>
        <w:t xml:space="preserve"> </w:t>
      </w:r>
      <w:r w:rsidRPr="00DF2874">
        <w:rPr>
          <w:lang w:val="en-US"/>
        </w:rPr>
        <w:t xml:space="preserve">should include assets, liabilities, income </w:t>
      </w:r>
      <w:r w:rsidR="00B61420" w:rsidRPr="00DF2874">
        <w:rPr>
          <w:lang w:val="en-US"/>
        </w:rPr>
        <w:t>and</w:t>
      </w:r>
      <w:r w:rsidRPr="00DF2874">
        <w:rPr>
          <w:lang w:val="en-US"/>
        </w:rPr>
        <w:t xml:space="preserve"> expenses for retirement villages and Independent Living Units (ILUs).</w:t>
      </w:r>
    </w:p>
    <w:p w14:paraId="3F83A9F6" w14:textId="5D53EFA7" w:rsidR="00F85F04" w:rsidRPr="00DF2874" w:rsidRDefault="009428A9" w:rsidP="00503E83">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250BBC">
        <w:rPr>
          <w:rFonts w:eastAsia="Calibri Light"/>
          <w:noProof/>
          <w:lang w:val="en-US"/>
        </w:rPr>
        <w:t>3</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250BBC">
        <w:rPr>
          <w:rFonts w:eastAsia="Calibri Light"/>
          <w:noProof/>
          <w:lang w:val="en-US"/>
        </w:rPr>
        <w:t>8</w:t>
      </w:r>
      <w:r>
        <w:rPr>
          <w:rFonts w:eastAsia="Calibri Light"/>
          <w:noProof/>
          <w:lang w:val="en-US"/>
        </w:rPr>
        <w:fldChar w:fldCharType="end"/>
      </w:r>
      <w:r w:rsidR="00503E83" w:rsidRPr="00DF2874">
        <w:rPr>
          <w:rFonts w:eastAsia="Calibri Light"/>
          <w:noProof/>
          <w:lang w:val="en-US"/>
        </w:rPr>
        <w:t xml:space="preserve"> </w:t>
      </w:r>
      <w:r w:rsidR="0061711E" w:rsidRPr="00DF2874">
        <w:rPr>
          <w:rFonts w:eastAsia="Calibri Light"/>
          <w:noProof/>
          <w:lang w:val="en-US"/>
        </w:rPr>
        <w:t>If a provider runs</w:t>
      </w:r>
      <w:r w:rsidR="00F85F04" w:rsidRPr="00DF2874">
        <w:rPr>
          <w:rFonts w:eastAsia="Calibri Light"/>
          <w:noProof/>
          <w:lang w:val="en-US"/>
        </w:rPr>
        <w:t xml:space="preserve"> central catering division which services both internal residential sites as well as external customers</w:t>
      </w:r>
      <w:r w:rsidR="00B61420">
        <w:rPr>
          <w:rFonts w:eastAsia="Calibri Light"/>
          <w:noProof/>
          <w:lang w:val="en-US"/>
        </w:rPr>
        <w:t xml:space="preserve">, </w:t>
      </w:r>
      <w:r w:rsidR="00D76F55">
        <w:rPr>
          <w:rFonts w:eastAsia="Calibri Light"/>
          <w:noProof/>
          <w:lang w:val="en-US"/>
        </w:rPr>
        <w:t>is it classified</w:t>
      </w:r>
      <w:r w:rsidR="00B61420">
        <w:rPr>
          <w:rFonts w:eastAsia="Calibri Light"/>
          <w:noProof/>
          <w:lang w:val="en-US"/>
        </w:rPr>
        <w:t xml:space="preserve"> as</w:t>
      </w:r>
      <w:r w:rsidR="00F85F04" w:rsidRPr="00DF2874">
        <w:rPr>
          <w:rFonts w:eastAsia="Calibri Light"/>
          <w:noProof/>
          <w:lang w:val="en-US"/>
        </w:rPr>
        <w:t xml:space="preserve"> ‘Other’ in the </w:t>
      </w:r>
      <w:r w:rsidR="00503E83" w:rsidRPr="00DF2874">
        <w:rPr>
          <w:rFonts w:eastAsia="Calibri Light"/>
          <w:noProof/>
          <w:lang w:val="en-US"/>
        </w:rPr>
        <w:t>CSR</w:t>
      </w:r>
      <w:r w:rsidR="00F85F04" w:rsidRPr="00DF2874" w:rsidDel="00E32822">
        <w:rPr>
          <w:rFonts w:eastAsia="Calibri Light"/>
          <w:noProof/>
          <w:lang w:val="en-US"/>
        </w:rPr>
        <w:t>?</w:t>
      </w:r>
    </w:p>
    <w:p w14:paraId="27F115BB" w14:textId="0CCABF3A" w:rsidR="00F85F04" w:rsidRPr="00DF2874" w:rsidRDefault="00F85F04" w:rsidP="00DF2874">
      <w:pPr>
        <w:rPr>
          <w:lang w:val="en-US"/>
        </w:rPr>
      </w:pPr>
      <w:r w:rsidRPr="00DF2874">
        <w:rPr>
          <w:lang w:val="en-US"/>
        </w:rPr>
        <w:t xml:space="preserve">Catering will be included in the </w:t>
      </w:r>
      <w:r w:rsidR="00503E83" w:rsidRPr="00DF2874">
        <w:rPr>
          <w:lang w:val="en-US"/>
        </w:rPr>
        <w:t>‘R</w:t>
      </w:r>
      <w:r w:rsidRPr="00DF2874">
        <w:rPr>
          <w:lang w:val="en-US"/>
        </w:rPr>
        <w:t>esidential</w:t>
      </w:r>
      <w:r w:rsidR="00503E83" w:rsidRPr="00DF2874">
        <w:rPr>
          <w:lang w:val="en-US"/>
        </w:rPr>
        <w:t>’</w:t>
      </w:r>
      <w:r w:rsidRPr="00DF2874">
        <w:rPr>
          <w:lang w:val="en-US"/>
        </w:rPr>
        <w:t xml:space="preserve"> segment to the extent that it relates to meals provided in residential aged care, this will be the contract catering expenses in residential expenses. The remainder of catering operations will be included in ‘Other’ segment of the </w:t>
      </w:r>
      <w:r w:rsidR="00E32822" w:rsidRPr="00DF2874">
        <w:rPr>
          <w:lang w:val="en-US"/>
        </w:rPr>
        <w:t>CSR</w:t>
      </w:r>
      <w:r w:rsidR="0040421D" w:rsidRPr="00DF2874">
        <w:rPr>
          <w:lang w:val="en-US"/>
        </w:rPr>
        <w:t>.</w:t>
      </w:r>
    </w:p>
    <w:p w14:paraId="697F97F5" w14:textId="170968AF" w:rsidR="00503E83" w:rsidRDefault="00503E83">
      <w:pPr>
        <w:rPr>
          <w:rFonts w:cs="Arial"/>
          <w:color w:val="auto"/>
          <w:lang w:val="en-US"/>
        </w:rPr>
      </w:pPr>
      <w:r>
        <w:rPr>
          <w:rFonts w:cs="Arial"/>
          <w:color w:val="auto"/>
          <w:lang w:val="en-US"/>
        </w:rPr>
        <w:br w:type="page"/>
      </w:r>
    </w:p>
    <w:p w14:paraId="3DF8DBC6" w14:textId="1C7EBFF7" w:rsidR="00E4325C" w:rsidRDefault="00C105A1" w:rsidP="00B45FFD">
      <w:pPr>
        <w:pStyle w:val="Heading1"/>
        <w:numPr>
          <w:ilvl w:val="0"/>
          <w:numId w:val="38"/>
        </w:numPr>
        <w:tabs>
          <w:tab w:val="left" w:pos="709"/>
        </w:tabs>
        <w:rPr>
          <w:rFonts w:eastAsia="Calibri Light"/>
        </w:rPr>
      </w:pPr>
      <w:bookmarkStart w:id="15" w:name="_Toc184198006"/>
      <w:bookmarkStart w:id="16" w:name="_Toc192694870"/>
      <w:r w:rsidRPr="00C105A1">
        <w:rPr>
          <w:rFonts w:eastAsia="Calibri Light"/>
        </w:rPr>
        <w:lastRenderedPageBreak/>
        <w:t xml:space="preserve">Approved </w:t>
      </w:r>
      <w:r w:rsidR="00DB32C0">
        <w:rPr>
          <w:rFonts w:eastAsia="Calibri Light"/>
        </w:rPr>
        <w:t>Provider Reporting</w:t>
      </w:r>
      <w:bookmarkEnd w:id="15"/>
      <w:bookmarkEnd w:id="16"/>
    </w:p>
    <w:p w14:paraId="777DC898" w14:textId="77777777" w:rsidR="006C03FA" w:rsidRPr="00AE0715" w:rsidRDefault="006C03FA" w:rsidP="006C03FA">
      <w:pPr>
        <w:pStyle w:val="Heading3"/>
        <w:spacing w:before="240" w:after="240"/>
        <w:ind w:left="0" w:firstLine="0"/>
        <w:rPr>
          <w:color w:val="1F848B" w:themeColor="accent1" w:themeShade="BF"/>
          <w:sz w:val="28"/>
          <w:lang w:val="en-US"/>
        </w:rPr>
      </w:pPr>
      <w:r w:rsidRPr="00DB32C0">
        <w:rPr>
          <w:color w:val="1F848B" w:themeColor="accent1" w:themeShade="BF"/>
          <w:sz w:val="28"/>
          <w:lang w:val="en-US"/>
        </w:rPr>
        <w:t>Approved provider Income and Expenditure Statement</w:t>
      </w:r>
    </w:p>
    <w:p w14:paraId="2F856CBA" w14:textId="69FBF6A7" w:rsidR="006C03FA" w:rsidRPr="00B329E4" w:rsidRDefault="006C03FA" w:rsidP="006C03FA">
      <w:pPr>
        <w:rPr>
          <w:lang w:val="en-US"/>
        </w:rPr>
      </w:pPr>
      <w:r w:rsidRPr="00B329E4">
        <w:rPr>
          <w:lang w:val="en-US"/>
        </w:rPr>
        <w:t>The format of the approved provider Income and Expenditure Statement is similar to the statement of profit or loss and other comprehensive income as included in an organisation</w:t>
      </w:r>
      <w:r w:rsidR="00743F56">
        <w:rPr>
          <w:lang w:val="en-US"/>
        </w:rPr>
        <w:t>’</w:t>
      </w:r>
      <w:r w:rsidRPr="00B329E4">
        <w:rPr>
          <w:lang w:val="en-US"/>
        </w:rPr>
        <w:t>s GPFS.</w:t>
      </w:r>
    </w:p>
    <w:p w14:paraId="2CA8D8A3" w14:textId="77777777" w:rsidR="006C03FA" w:rsidRPr="00FF5A85" w:rsidRDefault="006C03FA" w:rsidP="006C03FA">
      <w:pPr>
        <w:rPr>
          <w:lang w:val="en-US"/>
        </w:rPr>
      </w:pPr>
      <w:r w:rsidRPr="00FF5A85">
        <w:rPr>
          <w:lang w:val="en-US"/>
        </w:rPr>
        <w:t>Operating income includes all recurrent operating revenue for all normal operations of the approved provider.</w:t>
      </w:r>
    </w:p>
    <w:p w14:paraId="648BC07A" w14:textId="77777777" w:rsidR="006C03FA" w:rsidRPr="00FF5A85" w:rsidRDefault="006C03FA" w:rsidP="006C03FA">
      <w:pPr>
        <w:rPr>
          <w:lang w:val="en-US"/>
        </w:rPr>
      </w:pPr>
      <w:r w:rsidRPr="00FF5A85">
        <w:rPr>
          <w:lang w:val="en-US"/>
        </w:rPr>
        <w:t xml:space="preserve">All rent and management fees shown as expense items by residential aged providers require additional disclosure in </w:t>
      </w:r>
      <w:hyperlink w:anchor="_Approved_provider_Note" w:history="1">
        <w:r w:rsidRPr="005A5C4D">
          <w:rPr>
            <w:rStyle w:val="Hyperlink"/>
            <w:rFonts w:cs="Arial"/>
            <w:lang w:val="en-US"/>
          </w:rPr>
          <w:t>Note 1</w:t>
        </w:r>
      </w:hyperlink>
      <w:r w:rsidRPr="00FF5A85">
        <w:rPr>
          <w:lang w:val="en-US"/>
        </w:rPr>
        <w:t xml:space="preserve"> (“Sub-Contract arrangements”).</w:t>
      </w:r>
    </w:p>
    <w:p w14:paraId="6063EB4D" w14:textId="77777777" w:rsidR="006C03FA" w:rsidRPr="00FF5A85" w:rsidRDefault="006C03FA" w:rsidP="006C03FA">
      <w:pPr>
        <w:rPr>
          <w:lang w:val="en-US"/>
        </w:rPr>
      </w:pPr>
      <w:r w:rsidRPr="00FF5A85">
        <w:rPr>
          <w:lang w:val="en-US"/>
        </w:rPr>
        <w:t xml:space="preserve">All material other income and other expense items reported by residential aged care providers must be separately disclosed in </w:t>
      </w:r>
      <w:hyperlink w:anchor="_Approved_provider_Note" w:history="1">
        <w:r w:rsidRPr="005A5C4D">
          <w:rPr>
            <w:rStyle w:val="Hyperlink"/>
            <w:rFonts w:cs="Arial"/>
            <w:lang w:val="en-US"/>
          </w:rPr>
          <w:t>Note 1</w:t>
        </w:r>
      </w:hyperlink>
      <w:r w:rsidRPr="00FF5A85">
        <w:rPr>
          <w:lang w:val="en-US"/>
        </w:rPr>
        <w:t xml:space="preserve"> of the ACFR (a materiality guide is items over 2% of total income or total expenses).</w:t>
      </w:r>
    </w:p>
    <w:p w14:paraId="7446C0C9" w14:textId="77777777" w:rsidR="006C03FA" w:rsidRPr="00DB32C0" w:rsidRDefault="006C03FA" w:rsidP="006C03FA">
      <w:pPr>
        <w:pStyle w:val="Heading3"/>
        <w:spacing w:before="240" w:after="240"/>
        <w:ind w:left="0" w:firstLine="0"/>
        <w:rPr>
          <w:color w:val="1F848B" w:themeColor="accent1" w:themeShade="BF"/>
          <w:sz w:val="28"/>
          <w:lang w:val="en-US"/>
        </w:rPr>
      </w:pPr>
      <w:r w:rsidRPr="00DB32C0">
        <w:rPr>
          <w:color w:val="1F848B" w:themeColor="accent1" w:themeShade="BF"/>
          <w:sz w:val="28"/>
          <w:lang w:val="en-US"/>
        </w:rPr>
        <w:t>Approved provider Balance Sheet</w:t>
      </w:r>
    </w:p>
    <w:p w14:paraId="595EDABA" w14:textId="18A201E2" w:rsidR="006C03FA" w:rsidRPr="00E35587" w:rsidRDefault="006C03FA" w:rsidP="006C03FA">
      <w:pPr>
        <w:rPr>
          <w:lang w:val="en-US"/>
        </w:rPr>
      </w:pPr>
      <w:r w:rsidRPr="00E35587">
        <w:rPr>
          <w:lang w:val="en-US"/>
        </w:rPr>
        <w:t>The disclosures of the approved provider Balance Sheet are similar to the Statement of Financial Position as included in an organisation</w:t>
      </w:r>
      <w:r w:rsidR="00EF1B79">
        <w:rPr>
          <w:lang w:val="en-US"/>
        </w:rPr>
        <w:t>’</w:t>
      </w:r>
      <w:r w:rsidRPr="00E35587">
        <w:rPr>
          <w:lang w:val="en-US"/>
        </w:rPr>
        <w:t>s GPFS.</w:t>
      </w:r>
    </w:p>
    <w:p w14:paraId="26F9E737" w14:textId="77777777" w:rsidR="006C03FA" w:rsidRPr="00E35587" w:rsidRDefault="006C03FA" w:rsidP="006C03FA">
      <w:pPr>
        <w:rPr>
          <w:lang w:val="en-US"/>
        </w:rPr>
      </w:pPr>
      <w:r w:rsidRPr="00E35587">
        <w:rPr>
          <w:lang w:val="en-US"/>
        </w:rPr>
        <w:t>The department has adopted the liquidity format balance sheet due to the treatment of refundable loans (accommodation bonds, refundable accommodation deposits and entry contributions) as current liabilities does not reflect the true liquidity of the approved provider as these liabilities are not likely to be repaid in the next 12 months.</w:t>
      </w:r>
    </w:p>
    <w:p w14:paraId="5C27F40F" w14:textId="77777777" w:rsidR="006C03FA" w:rsidRPr="00E35587" w:rsidRDefault="006C03FA" w:rsidP="006C03FA">
      <w:pPr>
        <w:rPr>
          <w:lang w:val="en-US"/>
        </w:rPr>
      </w:pPr>
      <w:r w:rsidRPr="00E35587">
        <w:rPr>
          <w:lang w:val="en-US"/>
        </w:rPr>
        <w:t>Residential aged care providers reporting any material change in an asset or liability disclosure as compared to the previous year must be separately disclosed in Note 1 of the ACFR (a materiality guide is a change in value of over 50%)</w:t>
      </w:r>
      <w:r>
        <w:rPr>
          <w:lang w:val="en-US"/>
        </w:rPr>
        <w:t>.</w:t>
      </w:r>
    </w:p>
    <w:p w14:paraId="03CABD71" w14:textId="77777777" w:rsidR="006C03FA" w:rsidRPr="00DB32C0" w:rsidRDefault="006C03FA" w:rsidP="006C03FA">
      <w:pPr>
        <w:pStyle w:val="Heading3"/>
        <w:spacing w:before="240" w:after="240"/>
        <w:ind w:left="0" w:firstLine="0"/>
        <w:rPr>
          <w:color w:val="1F848B" w:themeColor="accent1" w:themeShade="BF"/>
          <w:sz w:val="28"/>
          <w:lang w:val="en-US"/>
        </w:rPr>
      </w:pPr>
      <w:r w:rsidRPr="00DB32C0">
        <w:rPr>
          <w:color w:val="1F848B" w:themeColor="accent1" w:themeShade="BF"/>
          <w:sz w:val="28"/>
          <w:lang w:val="en-US"/>
        </w:rPr>
        <w:t>Approved provider Cash Flow Statement</w:t>
      </w:r>
    </w:p>
    <w:p w14:paraId="13D2514D" w14:textId="2E49B10C" w:rsidR="006C03FA" w:rsidRPr="00AE0715" w:rsidRDefault="006C03FA" w:rsidP="006C03FA">
      <w:pPr>
        <w:rPr>
          <w:lang w:val="en-US"/>
        </w:rPr>
      </w:pPr>
      <w:r w:rsidRPr="00AE0715">
        <w:rPr>
          <w:lang w:val="en-US"/>
        </w:rPr>
        <w:t>The format of the approved provider Cash Flow Statement is similar to the Statement of Cash Flows as included in an organisation</w:t>
      </w:r>
      <w:r w:rsidR="00EF1B79">
        <w:rPr>
          <w:lang w:val="en-US"/>
        </w:rPr>
        <w:t>’</w:t>
      </w:r>
      <w:r w:rsidRPr="00AE0715">
        <w:rPr>
          <w:lang w:val="en-US"/>
        </w:rPr>
        <w:t>s GPFS.</w:t>
      </w:r>
    </w:p>
    <w:p w14:paraId="0685A1C3" w14:textId="77777777" w:rsidR="006C03FA" w:rsidRPr="00AE0715" w:rsidRDefault="006C03FA" w:rsidP="006C03FA">
      <w:pPr>
        <w:rPr>
          <w:lang w:val="en-US"/>
        </w:rPr>
      </w:pPr>
      <w:r w:rsidRPr="00AE0715">
        <w:rPr>
          <w:lang w:val="en-US"/>
        </w:rPr>
        <w:t>All balances must be shown as GST inclusive.</w:t>
      </w:r>
    </w:p>
    <w:p w14:paraId="4F9B5E73" w14:textId="77777777" w:rsidR="006C03FA" w:rsidRPr="00AE0715" w:rsidRDefault="006C03FA" w:rsidP="006C03FA">
      <w:pPr>
        <w:rPr>
          <w:lang w:val="en-US"/>
        </w:rPr>
      </w:pPr>
      <w:r w:rsidRPr="00AE0715">
        <w:rPr>
          <w:lang w:val="en-US"/>
        </w:rPr>
        <w:t>Refundable loan receipts and payments must be disclosed as a financing cash flow (as distinct from an operating cash flow).</w:t>
      </w:r>
    </w:p>
    <w:p w14:paraId="16834CDA" w14:textId="77777777" w:rsidR="006C03FA" w:rsidRPr="00DB32C0" w:rsidRDefault="006C03FA" w:rsidP="006C03FA">
      <w:pPr>
        <w:pStyle w:val="Heading3"/>
        <w:spacing w:before="240" w:after="240"/>
        <w:ind w:left="0" w:firstLine="0"/>
        <w:rPr>
          <w:color w:val="1F848B" w:themeColor="accent1" w:themeShade="BF"/>
          <w:sz w:val="28"/>
          <w:lang w:val="en-US"/>
        </w:rPr>
      </w:pPr>
      <w:r w:rsidRPr="00DB32C0">
        <w:rPr>
          <w:color w:val="1F848B" w:themeColor="accent1" w:themeShade="BF"/>
          <w:sz w:val="28"/>
          <w:lang w:val="en-US"/>
        </w:rPr>
        <w:lastRenderedPageBreak/>
        <w:t>Approved provider Note 1 to the Aged Care Financial Report (residential aged care providers only)</w:t>
      </w:r>
    </w:p>
    <w:p w14:paraId="46281053" w14:textId="77777777" w:rsidR="006C03FA" w:rsidRPr="00AE0715" w:rsidRDefault="006C03FA" w:rsidP="006C03FA">
      <w:pPr>
        <w:rPr>
          <w:lang w:val="en-US"/>
        </w:rPr>
      </w:pPr>
      <w:r w:rsidRPr="00AE0715">
        <w:rPr>
          <w:lang w:val="en-US"/>
        </w:rPr>
        <w:t>The Note 1 disclosures must include all additional explanatory information as required.</w:t>
      </w:r>
    </w:p>
    <w:p w14:paraId="0A0724C9" w14:textId="77777777" w:rsidR="006C03FA" w:rsidRPr="00AE0715" w:rsidRDefault="006C03FA" w:rsidP="006C03FA">
      <w:pPr>
        <w:rPr>
          <w:lang w:val="en-US"/>
        </w:rPr>
      </w:pPr>
      <w:r w:rsidRPr="00AE0715">
        <w:rPr>
          <w:lang w:val="en-US"/>
        </w:rPr>
        <w:t>If supporting documentation is required to support any disclosure, please include the documentation with the lodgment.</w:t>
      </w:r>
    </w:p>
    <w:p w14:paraId="4F1AE452" w14:textId="77777777" w:rsidR="006C03FA" w:rsidRPr="00AE0715" w:rsidRDefault="006C03FA" w:rsidP="006C03FA">
      <w:pPr>
        <w:pStyle w:val="Heading3"/>
        <w:spacing w:before="240" w:after="240"/>
        <w:ind w:left="0" w:firstLine="0"/>
        <w:rPr>
          <w:color w:val="1F848B" w:themeColor="accent1" w:themeShade="BF"/>
          <w:sz w:val="28"/>
          <w:lang w:val="en-US"/>
        </w:rPr>
      </w:pPr>
      <w:r w:rsidRPr="00DB32C0">
        <w:rPr>
          <w:color w:val="1F848B" w:themeColor="accent1" w:themeShade="BF"/>
          <w:sz w:val="28"/>
          <w:lang w:val="en-US"/>
        </w:rPr>
        <w:t>Approved provider financial assets</w:t>
      </w:r>
    </w:p>
    <w:p w14:paraId="55B60B8F" w14:textId="77777777" w:rsidR="006C03FA" w:rsidRPr="00AE0715" w:rsidRDefault="006C03FA" w:rsidP="006C03FA">
      <w:pPr>
        <w:rPr>
          <w:lang w:val="en-US"/>
        </w:rPr>
      </w:pPr>
      <w:r w:rsidRPr="00AE0715">
        <w:rPr>
          <w:lang w:val="en-US"/>
        </w:rPr>
        <w:t>Financial assets must be disclosed in accordance with AASB 9 Financial Instruments.</w:t>
      </w:r>
    </w:p>
    <w:p w14:paraId="43E64AC2" w14:textId="77777777" w:rsidR="006C03FA" w:rsidRPr="00AE0715" w:rsidRDefault="006C03FA" w:rsidP="006C03FA">
      <w:pPr>
        <w:rPr>
          <w:lang w:val="en-US"/>
        </w:rPr>
      </w:pPr>
      <w:r w:rsidRPr="00AE0715">
        <w:rPr>
          <w:lang w:val="en-US"/>
        </w:rPr>
        <w:t>Related party loans should not be disclosed as a financial asset. Only a related party investment which is not in the form of a loan but an interest-bearing investment with similar attributes to an arms-length financial asset may be included with details of this investment noted.</w:t>
      </w:r>
    </w:p>
    <w:p w14:paraId="74CEDE33" w14:textId="77777777" w:rsidR="006C03FA" w:rsidRPr="00AE0715" w:rsidRDefault="006C03FA" w:rsidP="006C03FA">
      <w:pPr>
        <w:rPr>
          <w:lang w:val="en-US"/>
        </w:rPr>
      </w:pPr>
      <w:r w:rsidRPr="00AE0715">
        <w:rPr>
          <w:lang w:val="en-US"/>
        </w:rPr>
        <w:t>The data should be sourced from an organisation’s</w:t>
      </w:r>
      <w:r w:rsidRPr="00AE0715" w:rsidDel="009B233E">
        <w:rPr>
          <w:lang w:val="en-US"/>
        </w:rPr>
        <w:t xml:space="preserve"> </w:t>
      </w:r>
      <w:r w:rsidRPr="00AE0715">
        <w:rPr>
          <w:lang w:val="en-US"/>
        </w:rPr>
        <w:t>GPFS and therefore should reconcile to the GPFS.</w:t>
      </w:r>
    </w:p>
    <w:p w14:paraId="3F2F2FAE" w14:textId="77777777" w:rsidR="006C03FA" w:rsidRPr="00DB32C0" w:rsidRDefault="006C03FA" w:rsidP="006C03FA">
      <w:pPr>
        <w:pStyle w:val="Heading3"/>
        <w:spacing w:before="240" w:after="240"/>
        <w:ind w:left="0" w:firstLine="0"/>
        <w:rPr>
          <w:color w:val="1F848B" w:themeColor="accent1" w:themeShade="BF"/>
          <w:sz w:val="28"/>
          <w:lang w:val="en-US"/>
        </w:rPr>
      </w:pPr>
      <w:r w:rsidRPr="00DB32C0">
        <w:rPr>
          <w:color w:val="1F848B" w:themeColor="accent1" w:themeShade="BF"/>
          <w:sz w:val="28"/>
          <w:lang w:val="en-US"/>
        </w:rPr>
        <w:t>Approved provider loans receivable</w:t>
      </w:r>
    </w:p>
    <w:p w14:paraId="10450872" w14:textId="77777777" w:rsidR="006C03FA" w:rsidRPr="00AE0715" w:rsidRDefault="006C03FA" w:rsidP="006C03FA">
      <w:pPr>
        <w:rPr>
          <w:lang w:val="en-US"/>
        </w:rPr>
      </w:pPr>
      <w:r w:rsidRPr="00AE0715">
        <w:rPr>
          <w:lang w:val="en-US"/>
        </w:rPr>
        <w:t>Loans receivable does not include related party loans or refundable loans receivable (these are to be separately included in the relevant schedules).</w:t>
      </w:r>
    </w:p>
    <w:p w14:paraId="4361B5E9" w14:textId="77777777" w:rsidR="006C03FA" w:rsidRPr="00AE0715" w:rsidRDefault="006C03FA" w:rsidP="006C03FA">
      <w:pPr>
        <w:rPr>
          <w:lang w:val="en-US"/>
        </w:rPr>
      </w:pPr>
      <w:r w:rsidRPr="00AE0715">
        <w:rPr>
          <w:lang w:val="en-US"/>
        </w:rPr>
        <w:t>Details of security held (if applicable) for loans receivable must be included.</w:t>
      </w:r>
    </w:p>
    <w:p w14:paraId="168C83D7" w14:textId="77777777" w:rsidR="006C03FA" w:rsidRPr="00AE0715" w:rsidRDefault="006C03FA" w:rsidP="006C03FA">
      <w:pPr>
        <w:rPr>
          <w:lang w:val="en-US"/>
        </w:rPr>
      </w:pPr>
      <w:r w:rsidRPr="00AE0715">
        <w:rPr>
          <w:lang w:val="en-US"/>
        </w:rPr>
        <w:t>The data should be sourced from an organisation’s GPFS</w:t>
      </w:r>
      <w:r w:rsidRPr="00AE0715" w:rsidDel="009B233E">
        <w:rPr>
          <w:lang w:val="en-US"/>
        </w:rPr>
        <w:t xml:space="preserve"> </w:t>
      </w:r>
      <w:r w:rsidRPr="00AE0715">
        <w:rPr>
          <w:lang w:val="en-US"/>
        </w:rPr>
        <w:t>and therefore should reconcile to the GPFS.</w:t>
      </w:r>
    </w:p>
    <w:p w14:paraId="27AA7A91" w14:textId="77777777" w:rsidR="006C03FA" w:rsidRPr="00DB32C0" w:rsidRDefault="006C03FA" w:rsidP="006C03FA">
      <w:pPr>
        <w:pStyle w:val="Heading3"/>
        <w:spacing w:before="240" w:after="240"/>
        <w:ind w:left="0" w:firstLine="0"/>
        <w:rPr>
          <w:color w:val="1F848B" w:themeColor="accent1" w:themeShade="BF"/>
          <w:sz w:val="28"/>
          <w:lang w:val="en-US"/>
        </w:rPr>
      </w:pPr>
      <w:r w:rsidRPr="00DB32C0">
        <w:rPr>
          <w:color w:val="1F848B" w:themeColor="accent1" w:themeShade="BF"/>
          <w:sz w:val="28"/>
          <w:lang w:val="en-US"/>
        </w:rPr>
        <w:t>Approved provider non-current assets</w:t>
      </w:r>
    </w:p>
    <w:p w14:paraId="522CCDA3" w14:textId="77777777" w:rsidR="006C03FA" w:rsidRPr="00AE0715" w:rsidRDefault="006C03FA" w:rsidP="006C03FA">
      <w:pPr>
        <w:rPr>
          <w:lang w:val="en-US"/>
        </w:rPr>
      </w:pPr>
      <w:r w:rsidRPr="00AE0715">
        <w:rPr>
          <w:lang w:val="en-US"/>
        </w:rPr>
        <w:t>All non-current assets need to be allocated to either residential care segment or other segment.</w:t>
      </w:r>
    </w:p>
    <w:p w14:paraId="1BD9D290" w14:textId="77777777" w:rsidR="006C03FA" w:rsidRPr="00AE0715" w:rsidRDefault="006C03FA" w:rsidP="006C03FA">
      <w:pPr>
        <w:rPr>
          <w:lang w:val="en-US"/>
        </w:rPr>
      </w:pPr>
      <w:r w:rsidRPr="00AE0715">
        <w:rPr>
          <w:lang w:val="en-US"/>
        </w:rPr>
        <w:t>Where assets have both residential and non-residential use, an assessment of the portion applicable to residential aged care needs to be made based on area, usage or similar measure.</w:t>
      </w:r>
    </w:p>
    <w:p w14:paraId="0E6FAAD1" w14:textId="77777777" w:rsidR="006C03FA" w:rsidRPr="00AE0715" w:rsidRDefault="006C03FA" w:rsidP="006C03FA">
      <w:pPr>
        <w:rPr>
          <w:lang w:val="en-US"/>
        </w:rPr>
      </w:pPr>
      <w:r w:rsidRPr="00AE0715">
        <w:rPr>
          <w:lang w:val="en-US"/>
        </w:rPr>
        <w:t xml:space="preserve">Where an investment property is disclosed as being residential aged care, please include further details in </w:t>
      </w:r>
      <w:hyperlink w:anchor="_Approved_provider_Note" w:history="1">
        <w:r w:rsidRPr="00AE0715">
          <w:rPr>
            <w:rStyle w:val="Hyperlink"/>
          </w:rPr>
          <w:t>Note 1</w:t>
        </w:r>
      </w:hyperlink>
      <w:r w:rsidRPr="00AE0715">
        <w:rPr>
          <w:lang w:val="en-US"/>
        </w:rPr>
        <w:t>.</w:t>
      </w:r>
    </w:p>
    <w:p w14:paraId="6CF8D8DB" w14:textId="77777777" w:rsidR="006C03FA" w:rsidRPr="00AE0715" w:rsidRDefault="006C03FA" w:rsidP="006C03FA">
      <w:pPr>
        <w:rPr>
          <w:lang w:val="en-US"/>
        </w:rPr>
      </w:pPr>
      <w:r w:rsidRPr="00AE0715">
        <w:rPr>
          <w:lang w:val="en-US"/>
        </w:rPr>
        <w:t>The upper and lower depreciation/amortisation rate for each class of asset needs to be included.</w:t>
      </w:r>
    </w:p>
    <w:p w14:paraId="21A44DF6" w14:textId="77777777" w:rsidR="006C03FA" w:rsidRPr="00AE0715" w:rsidRDefault="006C03FA" w:rsidP="006C03FA">
      <w:pPr>
        <w:rPr>
          <w:lang w:val="en-US"/>
        </w:rPr>
      </w:pPr>
      <w:r w:rsidRPr="00AE0715">
        <w:rPr>
          <w:lang w:val="en-US"/>
        </w:rPr>
        <w:t>The data should be sourced from an organisation’s GPFS and therefore should reconcile to the GPFS.</w:t>
      </w:r>
    </w:p>
    <w:p w14:paraId="374F8858" w14:textId="77777777" w:rsidR="006C03FA" w:rsidRPr="00DB32C0" w:rsidRDefault="006C03FA" w:rsidP="006C03FA">
      <w:pPr>
        <w:pStyle w:val="Heading3"/>
        <w:spacing w:before="240" w:after="240"/>
        <w:ind w:left="0" w:firstLine="0"/>
        <w:rPr>
          <w:color w:val="1F848B" w:themeColor="accent1" w:themeShade="BF"/>
          <w:sz w:val="28"/>
          <w:lang w:val="en-US"/>
        </w:rPr>
      </w:pPr>
      <w:r w:rsidRPr="00DB32C0">
        <w:rPr>
          <w:color w:val="1F848B" w:themeColor="accent1" w:themeShade="BF"/>
          <w:sz w:val="28"/>
          <w:lang w:val="en-US"/>
        </w:rPr>
        <w:lastRenderedPageBreak/>
        <w:t>Approved provider refundable loans</w:t>
      </w:r>
    </w:p>
    <w:p w14:paraId="012E77BB" w14:textId="77777777" w:rsidR="006C03FA" w:rsidRPr="007A3DAE" w:rsidRDefault="006C03FA" w:rsidP="006C03FA">
      <w:pPr>
        <w:rPr>
          <w:lang w:val="en-US"/>
        </w:rPr>
      </w:pPr>
      <w:r w:rsidRPr="007A3DAE">
        <w:rPr>
          <w:lang w:val="en-US"/>
        </w:rPr>
        <w:t>Refundable accommodation deposits (RADs) schedule also includes (former) accommodation bonds and entry contributions for permanent residential aged care residents.</w:t>
      </w:r>
    </w:p>
    <w:p w14:paraId="6EB3F9A7" w14:textId="77777777" w:rsidR="006C03FA" w:rsidRPr="007A3DAE" w:rsidRDefault="006C03FA" w:rsidP="006C03FA">
      <w:pPr>
        <w:rPr>
          <w:lang w:val="en-US"/>
        </w:rPr>
      </w:pPr>
      <w:r w:rsidRPr="007A3DAE">
        <w:rPr>
          <w:lang w:val="en-US"/>
        </w:rPr>
        <w:t>Refundable entry contributions schedule is in relation to retirement living residents.</w:t>
      </w:r>
    </w:p>
    <w:p w14:paraId="097D68C5" w14:textId="77777777" w:rsidR="006C03FA" w:rsidRPr="007A3DAE" w:rsidRDefault="006C03FA" w:rsidP="006C03FA">
      <w:pPr>
        <w:rPr>
          <w:lang w:val="en-US"/>
        </w:rPr>
      </w:pPr>
      <w:r w:rsidRPr="007A3DAE">
        <w:rPr>
          <w:lang w:val="en-US"/>
        </w:rPr>
        <w:t>Transfers to RADs must equal transfers from refundable entry contributions.</w:t>
      </w:r>
    </w:p>
    <w:p w14:paraId="2B28F834" w14:textId="77777777" w:rsidR="006C03FA" w:rsidRPr="007A3DAE" w:rsidRDefault="006C03FA" w:rsidP="006C03FA">
      <w:pPr>
        <w:rPr>
          <w:lang w:val="en-US"/>
        </w:rPr>
      </w:pPr>
      <w:r w:rsidRPr="007A3DAE">
        <w:rPr>
          <w:lang w:val="en-US"/>
        </w:rPr>
        <w:t>The data should be sourced from an organisation’s GPFS and therefore should reconcile to the GPFS.</w:t>
      </w:r>
    </w:p>
    <w:p w14:paraId="5DC6A3ED" w14:textId="77777777" w:rsidR="006C03FA" w:rsidRPr="00DB32C0" w:rsidRDefault="006C03FA" w:rsidP="006C03FA">
      <w:pPr>
        <w:pStyle w:val="Heading3"/>
        <w:spacing w:before="240" w:after="240"/>
        <w:ind w:left="0" w:firstLine="0"/>
        <w:rPr>
          <w:color w:val="1F848B" w:themeColor="accent1" w:themeShade="BF"/>
          <w:sz w:val="28"/>
          <w:lang w:val="en-US"/>
        </w:rPr>
      </w:pPr>
      <w:r w:rsidRPr="00DB32C0">
        <w:rPr>
          <w:color w:val="1F848B" w:themeColor="accent1" w:themeShade="BF"/>
          <w:sz w:val="28"/>
          <w:lang w:val="en-US"/>
        </w:rPr>
        <w:t>Approved provider borrowings</w:t>
      </w:r>
    </w:p>
    <w:p w14:paraId="288BAE6A" w14:textId="77777777" w:rsidR="006C03FA" w:rsidRPr="007A3DAE" w:rsidRDefault="006C03FA" w:rsidP="006C03FA">
      <w:pPr>
        <w:rPr>
          <w:lang w:val="en-US"/>
        </w:rPr>
      </w:pPr>
      <w:r w:rsidRPr="007A3DAE">
        <w:rPr>
          <w:lang w:val="en-US"/>
        </w:rPr>
        <w:t>Related party borrowings are not to be included in this section. Borrowings relate solely to external, non-arms-length borrowings.</w:t>
      </w:r>
    </w:p>
    <w:p w14:paraId="11AEE0E4" w14:textId="77777777" w:rsidR="006C03FA" w:rsidRPr="007A3DAE" w:rsidRDefault="006C03FA" w:rsidP="006C03FA">
      <w:pPr>
        <w:rPr>
          <w:lang w:val="en-US"/>
        </w:rPr>
      </w:pPr>
      <w:r w:rsidRPr="007A3DAE">
        <w:rPr>
          <w:lang w:val="en-US"/>
        </w:rPr>
        <w:t>Interest paid refers to where the interest has been credited to the account and not paid through the bank or financial assets account (i.e. a non-cash transaction).</w:t>
      </w:r>
    </w:p>
    <w:p w14:paraId="7CF65022" w14:textId="77777777" w:rsidR="006C03FA" w:rsidRPr="007A3DAE" w:rsidRDefault="006C03FA" w:rsidP="006C03FA">
      <w:pPr>
        <w:rPr>
          <w:lang w:val="en-US"/>
        </w:rPr>
      </w:pPr>
      <w:r w:rsidRPr="007A3DAE">
        <w:rPr>
          <w:lang w:val="en-US"/>
        </w:rPr>
        <w:t>The data should be sourced from an organisation’s</w:t>
      </w:r>
      <w:r w:rsidRPr="007A3DAE" w:rsidDel="009B233E">
        <w:rPr>
          <w:lang w:val="en-US"/>
        </w:rPr>
        <w:t xml:space="preserve"> </w:t>
      </w:r>
      <w:r w:rsidRPr="007A3DAE">
        <w:rPr>
          <w:lang w:val="en-US"/>
        </w:rPr>
        <w:t>GPFS and therefore should reconcile to the GPFS.</w:t>
      </w:r>
    </w:p>
    <w:p w14:paraId="106D293B" w14:textId="77777777" w:rsidR="006C03FA" w:rsidRPr="00DB32C0" w:rsidRDefault="006C03FA" w:rsidP="006C03FA">
      <w:pPr>
        <w:pStyle w:val="Heading3"/>
        <w:spacing w:before="240" w:after="240"/>
        <w:ind w:left="0" w:firstLine="0"/>
        <w:rPr>
          <w:color w:val="1F848B" w:themeColor="accent1" w:themeShade="BF"/>
          <w:sz w:val="28"/>
          <w:lang w:val="en-US"/>
        </w:rPr>
      </w:pPr>
      <w:r w:rsidRPr="00DB32C0">
        <w:rPr>
          <w:color w:val="1F848B" w:themeColor="accent1" w:themeShade="BF"/>
          <w:sz w:val="28"/>
          <w:lang w:val="en-US"/>
        </w:rPr>
        <w:t xml:space="preserve">Approved </w:t>
      </w:r>
      <w:r>
        <w:rPr>
          <w:color w:val="1F848B" w:themeColor="accent1" w:themeShade="BF"/>
          <w:sz w:val="28"/>
          <w:lang w:val="en-US"/>
        </w:rPr>
        <w:t>P</w:t>
      </w:r>
      <w:r w:rsidRPr="00DB32C0">
        <w:rPr>
          <w:color w:val="1F848B" w:themeColor="accent1" w:themeShade="BF"/>
          <w:sz w:val="28"/>
          <w:lang w:val="en-US"/>
        </w:rPr>
        <w:t xml:space="preserve">rovider </w:t>
      </w:r>
      <w:r>
        <w:rPr>
          <w:color w:val="1F848B" w:themeColor="accent1" w:themeShade="BF"/>
          <w:sz w:val="28"/>
          <w:lang w:val="en-US"/>
        </w:rPr>
        <w:t>R</w:t>
      </w:r>
      <w:r w:rsidRPr="00DB32C0">
        <w:rPr>
          <w:color w:val="1F848B" w:themeColor="accent1" w:themeShade="BF"/>
          <w:sz w:val="28"/>
          <w:lang w:val="en-US"/>
        </w:rPr>
        <w:t xml:space="preserve">elated </w:t>
      </w:r>
      <w:r>
        <w:rPr>
          <w:color w:val="1F848B" w:themeColor="accent1" w:themeShade="BF"/>
          <w:sz w:val="28"/>
          <w:lang w:val="en-US"/>
        </w:rPr>
        <w:t>P</w:t>
      </w:r>
      <w:r w:rsidRPr="00DB32C0">
        <w:rPr>
          <w:color w:val="1F848B" w:themeColor="accent1" w:themeShade="BF"/>
          <w:sz w:val="28"/>
          <w:lang w:val="en-US"/>
        </w:rPr>
        <w:t xml:space="preserve">arty </w:t>
      </w:r>
      <w:r>
        <w:rPr>
          <w:color w:val="1F848B" w:themeColor="accent1" w:themeShade="BF"/>
          <w:sz w:val="28"/>
          <w:lang w:val="en-US"/>
        </w:rPr>
        <w:t>L</w:t>
      </w:r>
      <w:r w:rsidRPr="00DB32C0">
        <w:rPr>
          <w:color w:val="1F848B" w:themeColor="accent1" w:themeShade="BF"/>
          <w:sz w:val="28"/>
          <w:lang w:val="en-US"/>
        </w:rPr>
        <w:t xml:space="preserve">oans </w:t>
      </w:r>
    </w:p>
    <w:p w14:paraId="46D38018" w14:textId="77777777" w:rsidR="006C03FA" w:rsidRPr="007A3DAE" w:rsidRDefault="006C03FA" w:rsidP="006C03FA">
      <w:pPr>
        <w:rPr>
          <w:lang w:val="en-US"/>
        </w:rPr>
      </w:pPr>
      <w:r w:rsidRPr="007A3DAE">
        <w:rPr>
          <w:lang w:val="en-US"/>
        </w:rPr>
        <w:t>Related party loans receivable should not be disclosed as a financial asset.</w:t>
      </w:r>
    </w:p>
    <w:p w14:paraId="3AE5F362" w14:textId="77777777" w:rsidR="006C03FA" w:rsidRPr="007A3DAE" w:rsidRDefault="006C03FA" w:rsidP="006C03FA">
      <w:pPr>
        <w:rPr>
          <w:lang w:val="en-US"/>
        </w:rPr>
      </w:pPr>
      <w:r w:rsidRPr="007A3DAE">
        <w:rPr>
          <w:lang w:val="en-US"/>
        </w:rPr>
        <w:t>Related party loans payable should not be disclosed as borrowings.</w:t>
      </w:r>
    </w:p>
    <w:p w14:paraId="22B6C833" w14:textId="77777777" w:rsidR="006C03FA" w:rsidRPr="007A3DAE" w:rsidRDefault="006C03FA" w:rsidP="006C03FA">
      <w:pPr>
        <w:rPr>
          <w:lang w:val="en-US"/>
        </w:rPr>
      </w:pPr>
      <w:r w:rsidRPr="007A3DAE">
        <w:rPr>
          <w:lang w:val="en-US"/>
        </w:rPr>
        <w:t>Interest received or interest paid refers to where the interest has been included in the loan account (i.e. non-cash transactions).</w:t>
      </w:r>
    </w:p>
    <w:p w14:paraId="592B1EF2" w14:textId="77777777" w:rsidR="006C03FA" w:rsidRPr="007A3DAE" w:rsidRDefault="006C03FA" w:rsidP="006C03FA">
      <w:pPr>
        <w:rPr>
          <w:lang w:val="en-US"/>
        </w:rPr>
      </w:pPr>
      <w:r w:rsidRPr="007A3DAE">
        <w:rPr>
          <w:lang w:val="en-US"/>
        </w:rPr>
        <w:t>Details of security needs to include confirmation of an enforceable loan agreement signed by the respective Directors (or equivalent), effective interest rate, term of loan(s) and security provided for the loan(s).</w:t>
      </w:r>
    </w:p>
    <w:p w14:paraId="664F229F" w14:textId="77777777" w:rsidR="006C03FA" w:rsidRPr="007A3DAE" w:rsidRDefault="006C03FA" w:rsidP="006C03FA">
      <w:pPr>
        <w:rPr>
          <w:lang w:val="en-US"/>
        </w:rPr>
      </w:pPr>
      <w:r w:rsidRPr="007A3DAE">
        <w:rPr>
          <w:lang w:val="en-US"/>
        </w:rPr>
        <w:t>The data should be sourced from an organisation’s GPFS and therefore should reconcile to the GPFS.</w:t>
      </w:r>
    </w:p>
    <w:p w14:paraId="19CE69DA" w14:textId="77777777" w:rsidR="00B42F8F" w:rsidRDefault="00B42F8F">
      <w:pPr>
        <w:spacing w:before="0" w:after="0" w:line="240" w:lineRule="auto"/>
        <w:rPr>
          <w:lang w:val="en-US"/>
        </w:rPr>
      </w:pPr>
      <w:r>
        <w:rPr>
          <w:lang w:val="en-US"/>
        </w:rPr>
        <w:br w:type="page"/>
      </w:r>
    </w:p>
    <w:p w14:paraId="6BCBD8F7" w14:textId="1C11695E" w:rsidR="006C03FA" w:rsidRPr="006C03FA" w:rsidRDefault="006C03FA" w:rsidP="00B45FFD">
      <w:pPr>
        <w:pStyle w:val="Heading1"/>
        <w:numPr>
          <w:ilvl w:val="0"/>
          <w:numId w:val="38"/>
        </w:numPr>
        <w:tabs>
          <w:tab w:val="left" w:pos="709"/>
        </w:tabs>
        <w:rPr>
          <w:rFonts w:eastAsia="Calibri Light"/>
        </w:rPr>
      </w:pPr>
      <w:bookmarkStart w:id="17" w:name="_Toc192694873"/>
      <w:bookmarkStart w:id="18" w:name="_Toc192694874"/>
      <w:bookmarkStart w:id="19" w:name="_Toc192694875"/>
      <w:bookmarkEnd w:id="17"/>
      <w:bookmarkEnd w:id="18"/>
      <w:r>
        <w:rPr>
          <w:rFonts w:eastAsia="Calibri Light"/>
        </w:rPr>
        <w:lastRenderedPageBreak/>
        <w:t>General Purpose Financial Statement</w:t>
      </w:r>
      <w:bookmarkEnd w:id="19"/>
    </w:p>
    <w:p w14:paraId="3602C71D" w14:textId="73A10C46" w:rsidR="003F62BE" w:rsidRPr="001A28B3" w:rsidRDefault="003F62BE" w:rsidP="004479A2">
      <w:pPr>
        <w:rPr>
          <w:lang w:val="en-US"/>
        </w:rPr>
      </w:pPr>
      <w:bookmarkStart w:id="20" w:name="_Toc488160245"/>
      <w:r>
        <w:rPr>
          <w:lang w:val="en-US"/>
        </w:rPr>
        <w:t>All p</w:t>
      </w:r>
      <w:r w:rsidRPr="001A28B3">
        <w:rPr>
          <w:lang w:val="en-US"/>
        </w:rPr>
        <w:t xml:space="preserve">roviders must prepare a GPFS within the meaning given by section 6 of the Statement of Accounting Concepts </w:t>
      </w:r>
      <w:r w:rsidR="003F0326">
        <w:rPr>
          <w:lang w:val="en-US"/>
        </w:rPr>
        <w:t>(</w:t>
      </w:r>
      <w:r w:rsidRPr="001A28B3">
        <w:rPr>
          <w:lang w:val="en-US"/>
        </w:rPr>
        <w:t>SAC</w:t>
      </w:r>
      <w:r w:rsidR="003F0326">
        <w:rPr>
          <w:lang w:val="en-US"/>
        </w:rPr>
        <w:t>)</w:t>
      </w:r>
      <w:r w:rsidRPr="001A28B3">
        <w:rPr>
          <w:lang w:val="en-US"/>
        </w:rPr>
        <w:t xml:space="preserve"> 1 ‘Definition of the Reporting Entity’.</w:t>
      </w:r>
    </w:p>
    <w:p w14:paraId="239D7A4E" w14:textId="77777777" w:rsidR="003F62BE" w:rsidRPr="001A28B3" w:rsidRDefault="003F62BE" w:rsidP="004479A2">
      <w:pPr>
        <w:rPr>
          <w:lang w:val="en-US"/>
        </w:rPr>
      </w:pPr>
      <w:r w:rsidRPr="001A28B3">
        <w:rPr>
          <w:lang w:val="en-US"/>
        </w:rPr>
        <w:t xml:space="preserve">The first note of the GPFS must specify that it is a </w:t>
      </w:r>
      <w:r w:rsidRPr="001A28B3" w:rsidDel="00331CA3">
        <w:rPr>
          <w:lang w:val="en-US"/>
        </w:rPr>
        <w:t>GPFS</w:t>
      </w:r>
      <w:r w:rsidRPr="001A28B3">
        <w:rPr>
          <w:lang w:val="en-US"/>
        </w:rPr>
        <w:t>, and the auditor is to confirm that it is a GPFS that has been audited.</w:t>
      </w:r>
    </w:p>
    <w:p w14:paraId="6B69C2D9" w14:textId="61A8D411" w:rsidR="003F62BE" w:rsidRPr="001A28B3" w:rsidRDefault="003F62BE" w:rsidP="004479A2">
      <w:pPr>
        <w:rPr>
          <w:lang w:val="en-US"/>
        </w:rPr>
      </w:pPr>
      <w:r w:rsidRPr="001A28B3">
        <w:rPr>
          <w:lang w:val="en-US"/>
        </w:rPr>
        <w:t>All GPFSs are required by the accounting standards to include a statement of financial position, statement of comprehensive income, statement of changes in equity, statement of cash flows, and notes, comprising a summary of significant accounting policies and other explanatory information. They are also required to disclose comparative information in respect of the previous period</w:t>
      </w:r>
      <w:r w:rsidR="009B0FA8">
        <w:rPr>
          <w:lang w:val="en-US"/>
        </w:rPr>
        <w:t xml:space="preserve"> for </w:t>
      </w:r>
      <w:r w:rsidRPr="001A28B3">
        <w:rPr>
          <w:lang w:val="en-US"/>
        </w:rPr>
        <w:t>a minimum two years of each of the statements and related notes.</w:t>
      </w:r>
    </w:p>
    <w:p w14:paraId="5364E7BB" w14:textId="77777777" w:rsidR="003F62BE" w:rsidRPr="001A28B3" w:rsidRDefault="003F62BE" w:rsidP="004479A2">
      <w:pPr>
        <w:rPr>
          <w:lang w:val="en-US"/>
        </w:rPr>
      </w:pPr>
      <w:r w:rsidRPr="001A28B3">
        <w:rPr>
          <w:lang w:val="en-US"/>
        </w:rPr>
        <w:t>The GPFS must be in accordance with the applicable accounting standards and give a true and fair view of the financial position and performance of the entity.</w:t>
      </w:r>
    </w:p>
    <w:p w14:paraId="611AD629" w14:textId="77777777" w:rsidR="003F62BE" w:rsidRPr="001A28B3" w:rsidRDefault="003F62BE" w:rsidP="004479A2">
      <w:pPr>
        <w:rPr>
          <w:lang w:val="en-US"/>
        </w:rPr>
      </w:pPr>
      <w:r w:rsidRPr="001A28B3">
        <w:rPr>
          <w:lang w:val="en-US"/>
        </w:rPr>
        <w:t>A Special Purpose Financial Report is not acceptable.</w:t>
      </w:r>
    </w:p>
    <w:p w14:paraId="5D96CBF1" w14:textId="77777777" w:rsidR="003F62BE" w:rsidRPr="001A28B3" w:rsidRDefault="003F62BE" w:rsidP="004479A2">
      <w:pPr>
        <w:rPr>
          <w:lang w:val="en-US"/>
        </w:rPr>
      </w:pPr>
      <w:r w:rsidRPr="001A28B3">
        <w:rPr>
          <w:lang w:val="en-US"/>
        </w:rPr>
        <w:t>The GPFS and audit report must be signed and dated.</w:t>
      </w:r>
    </w:p>
    <w:p w14:paraId="7D1ACFB6" w14:textId="77777777" w:rsidR="003F62BE" w:rsidRPr="001A28B3" w:rsidRDefault="003F62BE" w:rsidP="004479A2">
      <w:pPr>
        <w:rPr>
          <w:lang w:val="en-US"/>
        </w:rPr>
      </w:pPr>
      <w:r w:rsidRPr="001A28B3">
        <w:rPr>
          <w:lang w:val="en-US"/>
        </w:rPr>
        <w:t>Approved providers are to apply AASB 8 (operating segments) if relevant.</w:t>
      </w:r>
    </w:p>
    <w:p w14:paraId="089F804B" w14:textId="6E174A12" w:rsidR="003F62BE" w:rsidRPr="001A28B3" w:rsidRDefault="003F62BE" w:rsidP="004479A2">
      <w:pPr>
        <w:rPr>
          <w:lang w:val="en-US"/>
        </w:rPr>
      </w:pPr>
      <w:r w:rsidRPr="001A28B3">
        <w:rPr>
          <w:lang w:val="en-US"/>
        </w:rPr>
        <w:t xml:space="preserve">Each GPFS should be clearly marked with the </w:t>
      </w:r>
      <w:r w:rsidR="004479A2">
        <w:rPr>
          <w:lang w:val="en-US"/>
        </w:rPr>
        <w:t xml:space="preserve">GPMS </w:t>
      </w:r>
      <w:r w:rsidRPr="001A28B3">
        <w:rPr>
          <w:lang w:val="en-US"/>
        </w:rPr>
        <w:t>number or Residential Aged Care Service (RACS) identification number it relates to and include an Australian Business Number (ABN).</w:t>
      </w:r>
    </w:p>
    <w:p w14:paraId="6A09646E" w14:textId="77777777" w:rsidR="003F62BE" w:rsidRPr="001A28B3" w:rsidRDefault="003F62BE" w:rsidP="004479A2">
      <w:pPr>
        <w:rPr>
          <w:lang w:val="en-US"/>
        </w:rPr>
      </w:pPr>
      <w:r w:rsidRPr="001A28B3">
        <w:rPr>
          <w:lang w:val="en-US"/>
        </w:rPr>
        <w:t>It is important that providers and auditors become familiar with the financial reporting requirements before providers lodge their GPFS and audit opinion.</w:t>
      </w:r>
    </w:p>
    <w:p w14:paraId="055ED018" w14:textId="120F869A" w:rsidR="003F62BE" w:rsidRPr="001A28B3" w:rsidRDefault="003F62BE" w:rsidP="004479A2">
      <w:pPr>
        <w:rPr>
          <w:lang w:val="en-US"/>
        </w:rPr>
      </w:pPr>
      <w:r w:rsidRPr="001A28B3">
        <w:rPr>
          <w:lang w:val="en-US"/>
        </w:rPr>
        <w:t xml:space="preserve">All GPFS and accompanying audit reports must be uploaded through the ACFR portal via </w:t>
      </w:r>
      <w:hyperlink r:id="rId30" w:history="1">
        <w:r w:rsidRPr="00EC1D8A">
          <w:rPr>
            <w:rStyle w:val="Hyperlink"/>
            <w:rFonts w:cs="Arial"/>
            <w:lang w:val="en-US"/>
          </w:rPr>
          <w:t>Forms Admin</w:t>
        </w:r>
        <w:r w:rsidR="001A7B14">
          <w:rPr>
            <w:rStyle w:val="Hyperlink"/>
            <w:rFonts w:cs="Arial"/>
            <w:lang w:val="en-US"/>
          </w:rPr>
          <w:t>istration</w:t>
        </w:r>
        <w:r w:rsidRPr="00EC1D8A">
          <w:rPr>
            <w:rStyle w:val="Hyperlink"/>
            <w:rFonts w:cs="Arial"/>
            <w:lang w:val="en-US"/>
          </w:rPr>
          <w:t xml:space="preserve"> using a myID login</w:t>
        </w:r>
      </w:hyperlink>
      <w:r w:rsidRPr="001A28B3">
        <w:rPr>
          <w:lang w:val="en-US"/>
        </w:rPr>
        <w:t>.</w:t>
      </w:r>
    </w:p>
    <w:p w14:paraId="2161CD10" w14:textId="77777777" w:rsidR="003F62BE" w:rsidRPr="00A262D7" w:rsidRDefault="003F62BE" w:rsidP="003F62BE">
      <w:pPr>
        <w:pStyle w:val="Heading3"/>
        <w:spacing w:before="240" w:after="240"/>
        <w:ind w:left="0" w:firstLine="0"/>
        <w:rPr>
          <w:color w:val="1F848B" w:themeColor="accent1" w:themeShade="BF"/>
          <w:sz w:val="28"/>
          <w:lang w:val="en-US"/>
        </w:rPr>
      </w:pPr>
      <w:r w:rsidRPr="00A262D7">
        <w:rPr>
          <w:color w:val="1F848B" w:themeColor="accent1" w:themeShade="BF"/>
          <w:sz w:val="28"/>
          <w:lang w:val="en-US"/>
        </w:rPr>
        <w:t>Report at either provider level or service level</w:t>
      </w:r>
    </w:p>
    <w:p w14:paraId="400495F6" w14:textId="3BC048DE" w:rsidR="003F62BE" w:rsidRPr="00D33663" w:rsidRDefault="003F62BE" w:rsidP="004479A2">
      <w:pPr>
        <w:rPr>
          <w:lang w:val="en-US"/>
        </w:rPr>
      </w:pPr>
      <w:r w:rsidRPr="00D33663">
        <w:rPr>
          <w:lang w:val="en-US"/>
        </w:rPr>
        <w:t xml:space="preserve">Reporting at the provider level means the provision of one audited GPFS covering all residential aged care services and all other activities. </w:t>
      </w:r>
    </w:p>
    <w:p w14:paraId="0AF9CC39" w14:textId="77777777" w:rsidR="003F62BE" w:rsidRPr="00D33663" w:rsidRDefault="003F62BE" w:rsidP="004479A2">
      <w:pPr>
        <w:rPr>
          <w:lang w:val="en-US"/>
        </w:rPr>
      </w:pPr>
      <w:r w:rsidRPr="00D33663">
        <w:rPr>
          <w:lang w:val="en-US"/>
        </w:rPr>
        <w:t xml:space="preserve">Providing one audited GPFS that covers more than one approved provider is not acceptable. Reports submitted that are anything other than approved provider or service level will result in compliance action. </w:t>
      </w:r>
    </w:p>
    <w:p w14:paraId="2C1C4F9F" w14:textId="77777777" w:rsidR="003F62BE" w:rsidRPr="00D33663" w:rsidRDefault="003F62BE" w:rsidP="004479A2">
      <w:pPr>
        <w:rPr>
          <w:lang w:val="en-US"/>
        </w:rPr>
      </w:pPr>
      <w:r w:rsidRPr="00D33663">
        <w:rPr>
          <w:lang w:val="en-US"/>
        </w:rPr>
        <w:t>Reporting at the service level means the provision of separate audited GPFSs for each residential aged care service or group of services (in any combination, but each service must be reported only once). The ACFR online portal will allow multiple service level GPFSs to be uploaded.</w:t>
      </w:r>
    </w:p>
    <w:p w14:paraId="5DF4BC31" w14:textId="77777777" w:rsidR="003F62BE" w:rsidRPr="00A262D7" w:rsidRDefault="003F62BE" w:rsidP="003F62BE">
      <w:pPr>
        <w:pStyle w:val="Heading3"/>
        <w:spacing w:before="240" w:after="240"/>
        <w:ind w:left="0" w:firstLine="0"/>
        <w:rPr>
          <w:color w:val="1F848B" w:themeColor="accent1" w:themeShade="BF"/>
          <w:sz w:val="28"/>
          <w:lang w:val="en-US"/>
        </w:rPr>
      </w:pPr>
      <w:r w:rsidRPr="00A262D7">
        <w:rPr>
          <w:color w:val="1F848B" w:themeColor="accent1" w:themeShade="BF"/>
          <w:sz w:val="28"/>
          <w:lang w:val="en-US"/>
        </w:rPr>
        <w:lastRenderedPageBreak/>
        <w:t>GPFS audited by a Registered Company Auditor</w:t>
      </w:r>
    </w:p>
    <w:p w14:paraId="10E489EE" w14:textId="10AA20A8" w:rsidR="003F62BE" w:rsidRPr="00AD2918" w:rsidRDefault="003F62BE" w:rsidP="004479A2">
      <w:pPr>
        <w:rPr>
          <w:lang w:val="en-US"/>
        </w:rPr>
      </w:pPr>
      <w:r w:rsidRPr="00AD2918">
        <w:rPr>
          <w:lang w:val="en-US"/>
        </w:rPr>
        <w:t xml:space="preserve">Providers must have their GPFS audited by a Registered Company Auditor (RCA). Section 1281 of the </w:t>
      </w:r>
      <w:r w:rsidRPr="002062EF">
        <w:rPr>
          <w:i/>
          <w:lang w:val="en-US"/>
        </w:rPr>
        <w:t>Corporations Act 2001</w:t>
      </w:r>
      <w:r w:rsidRPr="00AD2918">
        <w:rPr>
          <w:lang w:val="en-US"/>
        </w:rPr>
        <w:t xml:space="preserve"> (Cth) provides that the Auditor-General of the Commonwealth, a state or a territory is taken to be an RCA. It is a provider’s responsibility to ensure that their auditor is an RCA. One method of checking this is to perform a search on the </w:t>
      </w:r>
      <w:hyperlink r:id="rId31" w:history="1">
        <w:r w:rsidRPr="00835650">
          <w:rPr>
            <w:rStyle w:val="Hyperlink"/>
            <w:lang w:val="en-US"/>
          </w:rPr>
          <w:t>Australian Securities and Investment Commission’s website</w:t>
        </w:r>
      </w:hyperlink>
      <w:r w:rsidRPr="00AD2918">
        <w:rPr>
          <w:lang w:val="en-US"/>
        </w:rPr>
        <w:t xml:space="preserve"> and click on ‘Professional </w:t>
      </w:r>
      <w:r w:rsidR="0026465E" w:rsidRPr="00AD2918">
        <w:rPr>
          <w:lang w:val="en-US"/>
        </w:rPr>
        <w:t>registers</w:t>
      </w:r>
      <w:r w:rsidR="0026465E">
        <w:rPr>
          <w:lang w:val="en-US"/>
        </w:rPr>
        <w:t>’</w:t>
      </w:r>
      <w:r w:rsidRPr="00AD2918">
        <w:rPr>
          <w:lang w:val="en-US"/>
        </w:rPr>
        <w:t xml:space="preserve">. Company auditors will need to comply with all applicable auditor independence requirements in the </w:t>
      </w:r>
      <w:r w:rsidRPr="002062EF">
        <w:rPr>
          <w:i/>
          <w:lang w:val="en-US"/>
        </w:rPr>
        <w:t>Corporations Act 2001</w:t>
      </w:r>
      <w:r w:rsidRPr="00AD2918">
        <w:rPr>
          <w:lang w:val="en-US"/>
        </w:rPr>
        <w:t>.</w:t>
      </w:r>
    </w:p>
    <w:p w14:paraId="2A8C390B" w14:textId="77777777" w:rsidR="003F62BE" w:rsidRPr="00683BA0" w:rsidRDefault="003F62BE" w:rsidP="003F62BE">
      <w:pPr>
        <w:pStyle w:val="Heading3"/>
        <w:spacing w:before="240" w:after="240"/>
        <w:ind w:left="0" w:firstLine="0"/>
        <w:rPr>
          <w:color w:val="1F848B" w:themeColor="accent1" w:themeShade="BF"/>
          <w:sz w:val="28"/>
          <w:lang w:val="en-US"/>
        </w:rPr>
      </w:pPr>
      <w:r w:rsidRPr="00A262D7">
        <w:rPr>
          <w:color w:val="1F848B" w:themeColor="accent1" w:themeShade="BF"/>
          <w:sz w:val="28"/>
          <w:lang w:val="en-US"/>
        </w:rPr>
        <w:t xml:space="preserve">Audit requirements and alternative auditor </w:t>
      </w:r>
    </w:p>
    <w:p w14:paraId="60751CB5" w14:textId="77777777" w:rsidR="003F62BE" w:rsidRPr="00683BA0" w:rsidRDefault="003F62BE" w:rsidP="00683BA0">
      <w:pPr>
        <w:rPr>
          <w:lang w:val="en-US"/>
        </w:rPr>
      </w:pPr>
      <w:r w:rsidRPr="00683BA0">
        <w:rPr>
          <w:lang w:val="en-US"/>
        </w:rPr>
        <w:t xml:space="preserve">The only exception to a GPFS and APCS being audited by an RCA is where approval has been given for an alternative auditor. </w:t>
      </w:r>
    </w:p>
    <w:p w14:paraId="07DB3110" w14:textId="77777777" w:rsidR="003F62BE" w:rsidRPr="00683BA0" w:rsidRDefault="003F62BE" w:rsidP="00683BA0">
      <w:pPr>
        <w:rPr>
          <w:lang w:val="en-US"/>
        </w:rPr>
      </w:pPr>
      <w:r w:rsidRPr="00683BA0">
        <w:rPr>
          <w:lang w:val="en-US"/>
        </w:rPr>
        <w:t xml:space="preserve">The Secretary will not routinely approve a person who is not an RCA to audit financial reports. The Secretary must be satisfied with the qualifications and experience of the proposed alternative auditor. An application should be used to cover exceptional circumstances only. For instance, if a provider is not able to readily access the services of an RCA because they are in a rural/remote location where there are no RCAs; then they may request that the Secretary approve an alternative auditor who is not an RCA. Approval of an alternative auditor is at the discretion of the Secretary. </w:t>
      </w:r>
    </w:p>
    <w:p w14:paraId="7EF5D61A" w14:textId="47AE62E7" w:rsidR="003F62BE" w:rsidRPr="00683BA0" w:rsidRDefault="003F62BE" w:rsidP="00683BA0">
      <w:pPr>
        <w:rPr>
          <w:lang w:val="en-US"/>
        </w:rPr>
      </w:pPr>
      <w:r w:rsidRPr="00683BA0">
        <w:rPr>
          <w:lang w:val="en-US"/>
        </w:rPr>
        <w:t xml:space="preserve">Any requests for such an alternative auditor should be lodged together with the reasons why an RCA is not available. Providers can request an application form for an alternative auditor by </w:t>
      </w:r>
      <w:hyperlink w:anchor="_Questions_and_feedback" w:history="1">
        <w:r w:rsidR="00E46E9B" w:rsidRPr="00E46E9B">
          <w:rPr>
            <w:rStyle w:val="Hyperlink"/>
            <w:lang w:val="en-US"/>
          </w:rPr>
          <w:t xml:space="preserve">contacting </w:t>
        </w:r>
        <w:r w:rsidRPr="00E46E9B">
          <w:rPr>
            <w:rStyle w:val="Hyperlink"/>
            <w:lang w:val="en-US"/>
          </w:rPr>
          <w:t>Forms Administration</w:t>
        </w:r>
      </w:hyperlink>
      <w:r w:rsidR="00E46E9B">
        <w:rPr>
          <w:lang w:val="en-US"/>
        </w:rPr>
        <w:t xml:space="preserve">. </w:t>
      </w:r>
      <w:r w:rsidRPr="00683BA0">
        <w:rPr>
          <w:lang w:val="en-US"/>
        </w:rPr>
        <w:t xml:space="preserve">Please note, the department has 28 days in which to process any application for alternative arrangements, therefore any request for an alternative auditor must be made by </w:t>
      </w:r>
      <w:r w:rsidR="004C373C">
        <w:rPr>
          <w:lang w:val="en-US"/>
        </w:rPr>
        <w:t xml:space="preserve">31 August. </w:t>
      </w:r>
    </w:p>
    <w:p w14:paraId="3823927D" w14:textId="77777777" w:rsidR="003F62BE" w:rsidRPr="00683BA0" w:rsidRDefault="003F62BE" w:rsidP="00683BA0">
      <w:pPr>
        <w:rPr>
          <w:lang w:val="en-US"/>
        </w:rPr>
      </w:pPr>
      <w:r w:rsidRPr="00683BA0">
        <w:rPr>
          <w:lang w:val="en-US"/>
        </w:rPr>
        <w:t>Obtain from the auditor (or the approved person) an audit opinion including whether the GPFS is in accordance with the applicable accounting standards and whether the GPFS gives a true and fair view of the financial position and performance of the entity for the relevant financial year.</w:t>
      </w:r>
    </w:p>
    <w:p w14:paraId="47B7A6BE" w14:textId="77777777" w:rsidR="003F62BE" w:rsidRPr="00683BA0" w:rsidRDefault="003F62BE" w:rsidP="00683BA0">
      <w:pPr>
        <w:rPr>
          <w:lang w:val="en-US"/>
        </w:rPr>
      </w:pPr>
      <w:r w:rsidRPr="00683BA0">
        <w:rPr>
          <w:lang w:val="en-US"/>
        </w:rPr>
        <w:t xml:space="preserve">The audit report must be signed and dated by the auditor before it is deemed complete and must be lodged with the financial report by the due date. </w:t>
      </w:r>
    </w:p>
    <w:p w14:paraId="6B849EFD" w14:textId="77777777" w:rsidR="003F62BE" w:rsidRPr="00A262D7" w:rsidRDefault="003F62BE" w:rsidP="003F62BE">
      <w:pPr>
        <w:pStyle w:val="Heading3"/>
        <w:spacing w:before="240" w:after="240"/>
        <w:ind w:left="0" w:firstLine="0"/>
        <w:rPr>
          <w:color w:val="1F848B" w:themeColor="accent1" w:themeShade="BF"/>
          <w:sz w:val="28"/>
          <w:lang w:val="en-US"/>
        </w:rPr>
      </w:pPr>
      <w:r w:rsidRPr="00A262D7">
        <w:rPr>
          <w:color w:val="1F848B" w:themeColor="accent1" w:themeShade="BF"/>
          <w:sz w:val="28"/>
          <w:lang w:val="en-US"/>
        </w:rPr>
        <w:t xml:space="preserve">Government providers </w:t>
      </w:r>
    </w:p>
    <w:p w14:paraId="59D43330" w14:textId="19B096C1" w:rsidR="003F62BE" w:rsidRPr="004F4162" w:rsidRDefault="003F62BE" w:rsidP="00683BA0">
      <w:pPr>
        <w:rPr>
          <w:lang w:val="en-US"/>
        </w:rPr>
      </w:pPr>
      <w:r w:rsidRPr="004F4162">
        <w:rPr>
          <w:lang w:val="en-US"/>
        </w:rPr>
        <w:t>If an organisation is an approved provider of residential aged care and is also: a state or territory government, an authority of a state or territory or a local government authority then they are not required to submit a GPFS or provide the mandatory approved provider line items contained in the ACFR.</w:t>
      </w:r>
    </w:p>
    <w:p w14:paraId="3CBCAC34" w14:textId="77777777" w:rsidR="003F62BE" w:rsidRPr="004F4162" w:rsidRDefault="003F62BE" w:rsidP="00683BA0">
      <w:pPr>
        <w:rPr>
          <w:lang w:val="en-US"/>
        </w:rPr>
      </w:pPr>
      <w:r w:rsidRPr="004F4162">
        <w:rPr>
          <w:lang w:val="en-US"/>
        </w:rPr>
        <w:lastRenderedPageBreak/>
        <w:t xml:space="preserve">All government residential aged care providers must complete and submit a residential aged care segment note covering all their residential services. The segment note must be in the mandatory ACFR format and include all the line items for the residential care segment level Income Statement and Balance Sheet as outlined in the ACFR. </w:t>
      </w:r>
    </w:p>
    <w:p w14:paraId="3EAF9B01" w14:textId="7DFB64FE" w:rsidR="00683BA0" w:rsidRDefault="00683BA0">
      <w:pPr>
        <w:spacing w:before="0" w:after="0" w:line="240" w:lineRule="auto"/>
        <w:rPr>
          <w:lang w:val="en-US"/>
        </w:rPr>
      </w:pPr>
      <w:r>
        <w:rPr>
          <w:lang w:val="en-US"/>
        </w:rPr>
        <w:br w:type="page"/>
      </w:r>
    </w:p>
    <w:p w14:paraId="3588169A" w14:textId="6C0983FA" w:rsidR="004E648B" w:rsidRDefault="004E648B" w:rsidP="00B45FFD">
      <w:pPr>
        <w:pStyle w:val="Heading1"/>
        <w:numPr>
          <w:ilvl w:val="0"/>
          <w:numId w:val="38"/>
        </w:numPr>
        <w:tabs>
          <w:tab w:val="left" w:pos="709"/>
        </w:tabs>
        <w:rPr>
          <w:rFonts w:eastAsia="Calibri Light"/>
        </w:rPr>
      </w:pPr>
      <w:bookmarkStart w:id="21" w:name="_Toc184198008"/>
      <w:bookmarkStart w:id="22" w:name="_Toc192694876"/>
      <w:bookmarkEnd w:id="20"/>
      <w:r w:rsidRPr="00A84031">
        <w:rPr>
          <w:rFonts w:eastAsia="Calibri Light"/>
        </w:rPr>
        <w:lastRenderedPageBreak/>
        <w:t xml:space="preserve">Residential Aged </w:t>
      </w:r>
      <w:r w:rsidR="000120C9" w:rsidRPr="00A84031">
        <w:rPr>
          <w:rFonts w:eastAsia="Calibri Light"/>
        </w:rPr>
        <w:t>Care</w:t>
      </w:r>
      <w:r w:rsidR="00A84031">
        <w:rPr>
          <w:rFonts w:eastAsia="Calibri Light"/>
        </w:rPr>
        <w:t xml:space="preserve"> Financials</w:t>
      </w:r>
      <w:bookmarkEnd w:id="21"/>
      <w:bookmarkEnd w:id="22"/>
    </w:p>
    <w:p w14:paraId="0F62A31F" w14:textId="428A1618" w:rsidR="004B7D3B" w:rsidRPr="00B60003" w:rsidRDefault="004B7D3B" w:rsidP="00B60003">
      <w:pPr>
        <w:pStyle w:val="Heading3"/>
        <w:spacing w:before="240" w:after="240"/>
        <w:ind w:left="0" w:firstLine="0"/>
        <w:rPr>
          <w:color w:val="1F848B" w:themeColor="accent1" w:themeShade="BF"/>
          <w:sz w:val="28"/>
          <w:lang w:val="en-US"/>
        </w:rPr>
      </w:pPr>
      <w:r w:rsidRPr="00B60003">
        <w:rPr>
          <w:color w:val="1F848B" w:themeColor="accent1" w:themeShade="BF"/>
          <w:sz w:val="28"/>
          <w:lang w:val="en-US"/>
        </w:rPr>
        <w:t>Reconciling the approved provider sections</w:t>
      </w:r>
      <w:r w:rsidR="00B60003" w:rsidRPr="00B60003">
        <w:rPr>
          <w:color w:val="1F848B" w:themeColor="accent1" w:themeShade="BF"/>
          <w:sz w:val="28"/>
          <w:lang w:val="en-US"/>
        </w:rPr>
        <w:t xml:space="preserve"> to the GPFS</w:t>
      </w:r>
    </w:p>
    <w:p w14:paraId="3337DE7E" w14:textId="2582361C" w:rsidR="001A28B3" w:rsidRPr="00C601B6" w:rsidRDefault="001A28B3" w:rsidP="00683BA0">
      <w:pPr>
        <w:rPr>
          <w:lang w:val="en-US"/>
        </w:rPr>
      </w:pPr>
      <w:r w:rsidRPr="00C601B6">
        <w:rPr>
          <w:lang w:val="en-US"/>
        </w:rPr>
        <w:t>When completing the approved provider sections within the ACFR, the data entered should include information for both the provider’s residential care and non-residential care operations and the information entered into the ACFR must reconcile to the GPFS.</w:t>
      </w:r>
    </w:p>
    <w:p w14:paraId="4112DF97" w14:textId="77777777" w:rsidR="001A28B3" w:rsidRPr="00A262D7" w:rsidRDefault="001A28B3" w:rsidP="001A28B3">
      <w:pPr>
        <w:pStyle w:val="Heading3"/>
        <w:spacing w:before="240" w:after="240"/>
        <w:ind w:left="0" w:firstLine="0"/>
        <w:rPr>
          <w:color w:val="1F848B" w:themeColor="accent1" w:themeShade="BF"/>
          <w:sz w:val="28"/>
          <w:lang w:val="en-US"/>
        </w:rPr>
      </w:pPr>
      <w:r w:rsidRPr="00A262D7">
        <w:rPr>
          <w:color w:val="1F848B" w:themeColor="accent1" w:themeShade="BF"/>
          <w:sz w:val="28"/>
          <w:lang w:val="en-US"/>
        </w:rPr>
        <w:t xml:space="preserve">Residential care sections of the ACFR  </w:t>
      </w:r>
    </w:p>
    <w:p w14:paraId="0C187E86" w14:textId="77777777" w:rsidR="001A28B3" w:rsidRPr="00683BA0" w:rsidRDefault="001A28B3" w:rsidP="00683BA0">
      <w:pPr>
        <w:rPr>
          <w:lang w:val="en-US"/>
        </w:rPr>
      </w:pPr>
      <w:r w:rsidRPr="00683BA0">
        <w:rPr>
          <w:lang w:val="en-US"/>
        </w:rPr>
        <w:t xml:space="preserve">The residential care sections within the ACFR should only include financial information related to residential aged care operations as defined under the Act, financial information for other aged care operations such as home or flexible care, or independent living units for seniors is not to be included. </w:t>
      </w:r>
    </w:p>
    <w:p w14:paraId="22BA85EA" w14:textId="77777777" w:rsidR="001A28B3" w:rsidRPr="00A262D7" w:rsidRDefault="001A28B3" w:rsidP="001A28B3">
      <w:pPr>
        <w:pStyle w:val="Heading3"/>
        <w:spacing w:before="240" w:after="240"/>
        <w:ind w:left="0" w:firstLine="0"/>
        <w:rPr>
          <w:color w:val="1F848B" w:themeColor="accent1" w:themeShade="BF"/>
          <w:sz w:val="28"/>
          <w:lang w:val="en-US"/>
        </w:rPr>
      </w:pPr>
      <w:r w:rsidRPr="00A262D7">
        <w:rPr>
          <w:color w:val="1F848B" w:themeColor="accent1" w:themeShade="BF"/>
          <w:sz w:val="28"/>
          <w:lang w:val="en-US"/>
        </w:rPr>
        <w:t>Report on all residential aged care services operated for all or part of the financial year</w:t>
      </w:r>
    </w:p>
    <w:p w14:paraId="68B0346D" w14:textId="77777777" w:rsidR="001A28B3" w:rsidRPr="00683BA0" w:rsidRDefault="001A28B3" w:rsidP="00683BA0">
      <w:pPr>
        <w:rPr>
          <w:lang w:val="en-US"/>
        </w:rPr>
      </w:pPr>
      <w:r w:rsidRPr="009874B8">
        <w:rPr>
          <w:lang w:val="en-US"/>
        </w:rPr>
        <w:t xml:space="preserve">The ACFR and GPFS must report on all residential aged care services a provider </w:t>
      </w:r>
      <w:r w:rsidRPr="00683BA0">
        <w:rPr>
          <w:lang w:val="en-US"/>
        </w:rPr>
        <w:t xml:space="preserve">operated for all or part of the financial year. </w:t>
      </w:r>
    </w:p>
    <w:p w14:paraId="4AD8324F" w14:textId="77777777" w:rsidR="001A28B3" w:rsidRPr="00A262D7" w:rsidRDefault="001A28B3" w:rsidP="001A28B3">
      <w:pPr>
        <w:pStyle w:val="Heading3"/>
        <w:spacing w:before="240" w:after="240"/>
        <w:ind w:left="0" w:firstLine="0"/>
        <w:rPr>
          <w:color w:val="1F848B" w:themeColor="accent1" w:themeShade="BF"/>
          <w:sz w:val="28"/>
          <w:lang w:val="en-US"/>
        </w:rPr>
      </w:pPr>
      <w:r w:rsidRPr="00A262D7">
        <w:rPr>
          <w:color w:val="1F848B" w:themeColor="accent1" w:themeShade="BF"/>
          <w:sz w:val="28"/>
          <w:lang w:val="en-US"/>
        </w:rPr>
        <w:t>Residential aged care Balance Sheet</w:t>
      </w:r>
    </w:p>
    <w:p w14:paraId="630ECC13" w14:textId="77777777" w:rsidR="001A28B3" w:rsidRPr="009874B8" w:rsidRDefault="001A28B3" w:rsidP="00683BA0">
      <w:pPr>
        <w:rPr>
          <w:lang w:val="en-US"/>
        </w:rPr>
      </w:pPr>
      <w:r w:rsidRPr="009874B8">
        <w:rPr>
          <w:lang w:val="en-US"/>
        </w:rPr>
        <w:t>This schedule is the consolidated residential aged care segment Balance Sheet for all aged care facilities operated by the approved provider.</w:t>
      </w:r>
    </w:p>
    <w:p w14:paraId="49B7EAC4" w14:textId="77777777" w:rsidR="001A28B3" w:rsidRPr="009874B8" w:rsidRDefault="001A28B3" w:rsidP="00683BA0">
      <w:pPr>
        <w:rPr>
          <w:lang w:val="en-US"/>
        </w:rPr>
      </w:pPr>
      <w:r w:rsidRPr="009874B8">
        <w:rPr>
          <w:lang w:val="en-US"/>
        </w:rPr>
        <w:t>The department has adopted the liquidity format balance sheet due to the treatment of refundable loans (accommodation bonds, refundable accommodation deposits and entry contributions) as current liabilities does not reflect the true liquidity of the approved provider as these liabilities are not likely to be repaid in the next 12 months.</w:t>
      </w:r>
    </w:p>
    <w:p w14:paraId="2FB63054" w14:textId="295384AF" w:rsidR="001A28B3" w:rsidRPr="009874B8" w:rsidRDefault="001A28B3" w:rsidP="00683BA0">
      <w:pPr>
        <w:rPr>
          <w:lang w:val="en-US"/>
        </w:rPr>
      </w:pPr>
      <w:r w:rsidRPr="009874B8">
        <w:rPr>
          <w:lang w:val="en-US"/>
        </w:rPr>
        <w:t>If there is no parent entity, the total net assets must agree to the CSR residential segment net assets.</w:t>
      </w:r>
    </w:p>
    <w:p w14:paraId="7B68D929" w14:textId="2D531859" w:rsidR="001A28B3" w:rsidRPr="009874B8" w:rsidRDefault="001A28B3" w:rsidP="00683BA0">
      <w:pPr>
        <w:rPr>
          <w:lang w:val="en-US"/>
        </w:rPr>
      </w:pPr>
      <w:r w:rsidRPr="009874B8">
        <w:rPr>
          <w:lang w:val="en-US"/>
        </w:rPr>
        <w:t>The opening balance of the residential segment equity must agree to the closing balance from the previous year ACFR.</w:t>
      </w:r>
    </w:p>
    <w:p w14:paraId="1E3B3E9C" w14:textId="4949A437" w:rsidR="007570C0" w:rsidRPr="0031796C" w:rsidRDefault="007570C0" w:rsidP="007570C0">
      <w:pPr>
        <w:rPr>
          <w:lang w:val="en-US"/>
        </w:rPr>
      </w:pPr>
      <w:r>
        <w:rPr>
          <w:lang w:val="en-US"/>
        </w:rPr>
        <w:t xml:space="preserve">The residential allocation for cash, financial assets, and the allocation of all other residual current assets should be included in the residential segment balance sheet under ‘Other Assets’. </w:t>
      </w:r>
    </w:p>
    <w:p w14:paraId="794D2DF7" w14:textId="669C8238" w:rsidR="001A28B3" w:rsidRPr="00A262D7" w:rsidRDefault="001A28B3" w:rsidP="001A28B3">
      <w:pPr>
        <w:pStyle w:val="Heading3"/>
        <w:spacing w:before="240" w:after="240"/>
        <w:ind w:left="0" w:firstLine="0"/>
        <w:rPr>
          <w:color w:val="1F848B" w:themeColor="accent1" w:themeShade="BF"/>
          <w:sz w:val="28"/>
          <w:lang w:val="en-US"/>
        </w:rPr>
      </w:pPr>
      <w:r w:rsidRPr="00A262D7">
        <w:rPr>
          <w:color w:val="1F848B" w:themeColor="accent1" w:themeShade="BF"/>
          <w:sz w:val="28"/>
          <w:lang w:val="en-US"/>
        </w:rPr>
        <w:lastRenderedPageBreak/>
        <w:t xml:space="preserve">Residential aged care income </w:t>
      </w:r>
      <w:r w:rsidR="00390029">
        <w:rPr>
          <w:color w:val="1F848B" w:themeColor="accent1" w:themeShade="BF"/>
          <w:sz w:val="28"/>
          <w:lang w:val="en-US"/>
        </w:rPr>
        <w:t>and</w:t>
      </w:r>
      <w:r w:rsidRPr="00A262D7">
        <w:rPr>
          <w:color w:val="1F848B" w:themeColor="accent1" w:themeShade="BF"/>
          <w:sz w:val="28"/>
          <w:lang w:val="en-US"/>
        </w:rPr>
        <w:t xml:space="preserve"> expenses sheets</w:t>
      </w:r>
    </w:p>
    <w:p w14:paraId="20E961A8" w14:textId="77777777" w:rsidR="001A28B3" w:rsidRPr="004C507A" w:rsidRDefault="001A28B3" w:rsidP="00683BA0">
      <w:pPr>
        <w:rPr>
          <w:lang w:val="en-US"/>
        </w:rPr>
      </w:pPr>
      <w:r w:rsidRPr="004C507A">
        <w:rPr>
          <w:lang w:val="en-US"/>
        </w:rPr>
        <w:t>These schedules must be completed for each aged care facility operated by the approved provider and has been pre-populated to include the Service ID(s) that constitute the services to be included.</w:t>
      </w:r>
    </w:p>
    <w:p w14:paraId="345434BC" w14:textId="77777777" w:rsidR="001A28B3" w:rsidRPr="004C507A" w:rsidRDefault="001A28B3" w:rsidP="00683BA0">
      <w:pPr>
        <w:rPr>
          <w:lang w:val="en-US"/>
        </w:rPr>
      </w:pPr>
      <w:r w:rsidRPr="004C507A">
        <w:rPr>
          <w:lang w:val="en-US"/>
        </w:rPr>
        <w:t>If there is no parent entity, the total residential aged care result must agree to the CSR residential segment result.</w:t>
      </w:r>
    </w:p>
    <w:p w14:paraId="1D77EDCF" w14:textId="408DCFFC" w:rsidR="001A28B3" w:rsidRPr="004C507A" w:rsidRDefault="001A28B3" w:rsidP="00683BA0">
      <w:pPr>
        <w:rPr>
          <w:lang w:val="en-US"/>
        </w:rPr>
      </w:pPr>
      <w:r w:rsidRPr="004C507A">
        <w:rPr>
          <w:lang w:val="en-US"/>
        </w:rPr>
        <w:t xml:space="preserve">Staff costs need to be accurately allocated to the respective </w:t>
      </w:r>
      <w:r w:rsidR="000A3AF1">
        <w:rPr>
          <w:lang w:val="en-US"/>
        </w:rPr>
        <w:t>C</w:t>
      </w:r>
      <w:r w:rsidRPr="004C507A">
        <w:rPr>
          <w:lang w:val="en-US"/>
        </w:rPr>
        <w:t xml:space="preserve">are, </w:t>
      </w:r>
      <w:r w:rsidR="000A3AF1">
        <w:rPr>
          <w:lang w:val="en-US"/>
        </w:rPr>
        <w:t>H</w:t>
      </w:r>
      <w:r w:rsidRPr="004C507A">
        <w:rPr>
          <w:lang w:val="en-US"/>
        </w:rPr>
        <w:t xml:space="preserve">otel, </w:t>
      </w:r>
      <w:r w:rsidR="000A3AF1">
        <w:rPr>
          <w:lang w:val="en-US"/>
        </w:rPr>
        <w:t>Accommodation and A</w:t>
      </w:r>
      <w:r w:rsidRPr="004C507A">
        <w:rPr>
          <w:lang w:val="en-US"/>
        </w:rPr>
        <w:t xml:space="preserve">dministration </w:t>
      </w:r>
      <w:r w:rsidR="00893047">
        <w:rPr>
          <w:lang w:val="en-US"/>
        </w:rPr>
        <w:t>sections</w:t>
      </w:r>
      <w:r w:rsidRPr="004C507A">
        <w:rPr>
          <w:lang w:val="en-US"/>
        </w:rPr>
        <w:t>.</w:t>
      </w:r>
    </w:p>
    <w:p w14:paraId="7B6E7DFE" w14:textId="7B075573" w:rsidR="001A28B3" w:rsidRPr="004C507A" w:rsidRDefault="001A28B3" w:rsidP="00683BA0">
      <w:pPr>
        <w:rPr>
          <w:lang w:val="en-US"/>
        </w:rPr>
      </w:pPr>
    </w:p>
    <w:p w14:paraId="58E48038" w14:textId="77777777" w:rsidR="001A28B3" w:rsidRPr="00A262D7" w:rsidRDefault="001A28B3" w:rsidP="001A28B3">
      <w:pPr>
        <w:pStyle w:val="Heading3"/>
        <w:spacing w:before="240" w:after="240"/>
        <w:ind w:left="0" w:firstLine="0"/>
        <w:rPr>
          <w:color w:val="1F848B" w:themeColor="accent1" w:themeShade="BF"/>
          <w:sz w:val="28"/>
          <w:lang w:val="en-US"/>
        </w:rPr>
      </w:pPr>
      <w:r w:rsidRPr="00A262D7">
        <w:rPr>
          <w:color w:val="1F848B" w:themeColor="accent1" w:themeShade="BF"/>
          <w:sz w:val="28"/>
          <w:lang w:val="en-US"/>
        </w:rPr>
        <w:t>Approved provider permitted uses reconciliation</w:t>
      </w:r>
    </w:p>
    <w:p w14:paraId="5117C36D" w14:textId="77777777" w:rsidR="001A28B3" w:rsidRPr="00261B7A" w:rsidRDefault="001A28B3" w:rsidP="00683BA0">
      <w:pPr>
        <w:rPr>
          <w:lang w:val="en-US"/>
        </w:rPr>
      </w:pPr>
      <w:r w:rsidRPr="00261B7A">
        <w:rPr>
          <w:lang w:val="en-US"/>
        </w:rPr>
        <w:t>The APCS permitted uses reconciliation does not form part of the APCS and therefore does not need to be audited as part of the APCS audit.</w:t>
      </w:r>
    </w:p>
    <w:p w14:paraId="17B119B2" w14:textId="77777777" w:rsidR="001A28B3" w:rsidRPr="00261B7A" w:rsidRDefault="001A28B3" w:rsidP="00683BA0">
      <w:pPr>
        <w:rPr>
          <w:lang w:val="en-US"/>
        </w:rPr>
      </w:pPr>
      <w:r w:rsidRPr="00261B7A">
        <w:rPr>
          <w:lang w:val="en-US"/>
        </w:rPr>
        <w:t>Division 52N of the Aged Care Act 1997 defines permitted uses and this is further regulated by Part 6 of the Fees and Payments Principles 2014 (No 2).</w:t>
      </w:r>
    </w:p>
    <w:p w14:paraId="00338720" w14:textId="2F151B12" w:rsidR="001A28B3" w:rsidRPr="00261B7A" w:rsidRDefault="001A28B3" w:rsidP="00683BA0">
      <w:pPr>
        <w:rPr>
          <w:lang w:val="en-US"/>
        </w:rPr>
      </w:pPr>
      <w:r w:rsidRPr="00261B7A">
        <w:rPr>
          <w:lang w:val="en-US"/>
        </w:rPr>
        <w:t xml:space="preserve">The Permitted Uses Reconciliation is intended to </w:t>
      </w:r>
      <w:r w:rsidR="00A17198">
        <w:rPr>
          <w:lang w:val="en-US"/>
        </w:rPr>
        <w:t xml:space="preserve">help providers </w:t>
      </w:r>
      <w:r w:rsidR="00516AC4">
        <w:rPr>
          <w:lang w:val="en-US"/>
        </w:rPr>
        <w:t>d</w:t>
      </w:r>
      <w:r w:rsidR="00E34762">
        <w:rPr>
          <w:lang w:val="en-US"/>
        </w:rPr>
        <w:t>etermine if</w:t>
      </w:r>
      <w:r w:rsidRPr="00261B7A">
        <w:rPr>
          <w:lang w:val="en-US"/>
        </w:rPr>
        <w:t xml:space="preserve"> RAD/Bond monies have been utilised in accordance with the above legislation.</w:t>
      </w:r>
      <w:r w:rsidR="000716EF">
        <w:rPr>
          <w:lang w:val="en-US"/>
        </w:rPr>
        <w:t xml:space="preserve"> </w:t>
      </w:r>
      <w:r w:rsidR="009F0EC8">
        <w:rPr>
          <w:lang w:val="en-US"/>
        </w:rPr>
        <w:t xml:space="preserve">A surplus or deficit reported in the reconciliation does not </w:t>
      </w:r>
      <w:r w:rsidR="00516AC4">
        <w:rPr>
          <w:lang w:val="en-US"/>
        </w:rPr>
        <w:t xml:space="preserve">automatically </w:t>
      </w:r>
      <w:r w:rsidR="00766307">
        <w:rPr>
          <w:lang w:val="en-US"/>
        </w:rPr>
        <w:t>imply</w:t>
      </w:r>
      <w:r w:rsidR="009F0EC8">
        <w:rPr>
          <w:lang w:val="en-US"/>
        </w:rPr>
        <w:t xml:space="preserve"> compliance or non-compliance</w:t>
      </w:r>
      <w:r w:rsidR="00766307">
        <w:rPr>
          <w:lang w:val="en-US"/>
        </w:rPr>
        <w:t xml:space="preserve"> to prudential standards.</w:t>
      </w:r>
    </w:p>
    <w:p w14:paraId="0ADF4838" w14:textId="5E3246F7" w:rsidR="00E4325C" w:rsidRDefault="000763CB" w:rsidP="00A4123B">
      <w:pPr>
        <w:pStyle w:val="PullOut"/>
        <w:rPr>
          <w:lang w:val="en-US"/>
        </w:rPr>
      </w:pPr>
      <w:r>
        <w:rPr>
          <w:lang w:val="en-US"/>
        </w:rPr>
        <w:t>Residential aged care financials FAQs</w:t>
      </w:r>
    </w:p>
    <w:p w14:paraId="45952ADF" w14:textId="4189B55A" w:rsidR="000763CB" w:rsidRPr="00353913" w:rsidRDefault="009428A9" w:rsidP="00353913">
      <w:pPr>
        <w:pStyle w:val="Caption"/>
      </w:pPr>
      <w:r>
        <w:fldChar w:fldCharType="begin"/>
      </w:r>
      <w:r>
        <w:instrText xml:space="preserve"> STYLEREF 1 \s </w:instrText>
      </w:r>
      <w:r>
        <w:fldChar w:fldCharType="separate"/>
      </w:r>
      <w:r w:rsidR="00250BBC">
        <w:rPr>
          <w:noProof/>
        </w:rPr>
        <w:t>6</w:t>
      </w:r>
      <w:r>
        <w:rPr>
          <w:noProof/>
        </w:rPr>
        <w:fldChar w:fldCharType="end"/>
      </w:r>
      <w:r>
        <w:t>.</w:t>
      </w:r>
      <w:r>
        <w:fldChar w:fldCharType="begin"/>
      </w:r>
      <w:r>
        <w:instrText xml:space="preserve"> SEQ Figure \* ARABIC \s 1 </w:instrText>
      </w:r>
      <w:r>
        <w:fldChar w:fldCharType="separate"/>
      </w:r>
      <w:r w:rsidR="00250BBC">
        <w:rPr>
          <w:noProof/>
        </w:rPr>
        <w:t>1</w:t>
      </w:r>
      <w:r>
        <w:rPr>
          <w:noProof/>
        </w:rPr>
        <w:fldChar w:fldCharType="end"/>
      </w:r>
      <w:r w:rsidR="004730D6" w:rsidRPr="00353913">
        <w:t xml:space="preserve"> What is the purpose of apportioning our administration costs</w:t>
      </w:r>
      <w:r w:rsidR="006B025E" w:rsidRPr="00353913">
        <w:t xml:space="preserve"> across </w:t>
      </w:r>
      <w:r w:rsidR="000763CB" w:rsidRPr="00353913">
        <w:t>C</w:t>
      </w:r>
      <w:r w:rsidR="006B025E" w:rsidRPr="00353913">
        <w:t xml:space="preserve">are, </w:t>
      </w:r>
      <w:r w:rsidR="000763CB" w:rsidRPr="00353913">
        <w:t>H</w:t>
      </w:r>
      <w:r w:rsidR="00071E54" w:rsidRPr="00353913">
        <w:t>otel</w:t>
      </w:r>
      <w:r w:rsidR="00F7610A" w:rsidRPr="00353913">
        <w:t xml:space="preserve"> and </w:t>
      </w:r>
      <w:r w:rsidR="00251F1F" w:rsidRPr="00353913">
        <w:t>Accomm</w:t>
      </w:r>
      <w:r w:rsidR="000A69E6" w:rsidRPr="00353913">
        <w:t>odatio</w:t>
      </w:r>
      <w:r w:rsidR="00F7610A" w:rsidRPr="00353913">
        <w:t>n</w:t>
      </w:r>
      <w:r w:rsidR="004730D6" w:rsidRPr="00353913">
        <w:t xml:space="preserve">? </w:t>
      </w:r>
    </w:p>
    <w:p w14:paraId="2A9257E9" w14:textId="30EB0B37" w:rsidR="00353913" w:rsidRDefault="000763CB" w:rsidP="000D22BB">
      <w:pPr>
        <w:rPr>
          <w:lang w:val="en-US"/>
        </w:rPr>
      </w:pPr>
      <w:r w:rsidRPr="000763CB">
        <w:rPr>
          <w:lang w:val="en-US"/>
        </w:rPr>
        <w:t xml:space="preserve">Providers need to allocate administration expenses to the residential care level and split this amount between </w:t>
      </w:r>
      <w:r>
        <w:rPr>
          <w:lang w:val="en-US"/>
        </w:rPr>
        <w:t>C</w:t>
      </w:r>
      <w:r w:rsidRPr="000763CB">
        <w:rPr>
          <w:lang w:val="en-US"/>
        </w:rPr>
        <w:t xml:space="preserve">are, </w:t>
      </w:r>
      <w:r>
        <w:rPr>
          <w:lang w:val="en-US"/>
        </w:rPr>
        <w:t>H</w:t>
      </w:r>
      <w:r w:rsidRPr="000763CB">
        <w:rPr>
          <w:lang w:val="en-US"/>
        </w:rPr>
        <w:t xml:space="preserve">otel, </w:t>
      </w:r>
      <w:r w:rsidR="00F7610A">
        <w:rPr>
          <w:lang w:val="en-US"/>
        </w:rPr>
        <w:t xml:space="preserve">and </w:t>
      </w:r>
      <w:r>
        <w:rPr>
          <w:lang w:val="en-US"/>
        </w:rPr>
        <w:t>A</w:t>
      </w:r>
      <w:r w:rsidRPr="000763CB">
        <w:rPr>
          <w:lang w:val="en-US"/>
        </w:rPr>
        <w:t xml:space="preserve">ccommodation using a data-driven approach. This would take into consideration the underlying drivers of administration activity for the eight subcategories listed under the “Residential (Expenses)” section. This data is used to support costing studies and subsequently </w:t>
      </w:r>
      <w:r w:rsidR="007C466B">
        <w:rPr>
          <w:lang w:val="en-US"/>
        </w:rPr>
        <w:t>Australian National Aged Care Classification (</w:t>
      </w:r>
      <w:r w:rsidRPr="000763CB">
        <w:rPr>
          <w:lang w:val="en-US"/>
        </w:rPr>
        <w:t>AN-ACC</w:t>
      </w:r>
      <w:r w:rsidR="007C466B">
        <w:rPr>
          <w:lang w:val="en-US"/>
        </w:rPr>
        <w:t>)</w:t>
      </w:r>
      <w:r w:rsidRPr="000763CB">
        <w:rPr>
          <w:lang w:val="en-US"/>
        </w:rPr>
        <w:t xml:space="preserve"> pricing for the sector. Administration </w:t>
      </w:r>
      <w:r w:rsidR="007C466B">
        <w:rPr>
          <w:lang w:val="en-US"/>
        </w:rPr>
        <w:t>a</w:t>
      </w:r>
      <w:r w:rsidRPr="000763CB">
        <w:rPr>
          <w:lang w:val="en-US"/>
        </w:rPr>
        <w:t xml:space="preserve">llocation percentages will continue to be collected at the entity/provider level and </w:t>
      </w:r>
      <w:r w:rsidR="007C466B">
        <w:rPr>
          <w:lang w:val="en-US"/>
        </w:rPr>
        <w:t>are</w:t>
      </w:r>
      <w:r w:rsidRPr="000763CB">
        <w:rPr>
          <w:lang w:val="en-US"/>
        </w:rPr>
        <w:t xml:space="preserve"> not required at the service level. </w:t>
      </w:r>
    </w:p>
    <w:p w14:paraId="71121C78" w14:textId="06D06BAC" w:rsidR="00353913" w:rsidRPr="000D22BB" w:rsidRDefault="009428A9" w:rsidP="000D22BB">
      <w:pPr>
        <w:pStyle w:val="Caption"/>
      </w:pPr>
      <w:r>
        <w:fldChar w:fldCharType="begin"/>
      </w:r>
      <w:r>
        <w:instrText xml:space="preserve"> STYLEREF 1 \s </w:instrText>
      </w:r>
      <w:r>
        <w:fldChar w:fldCharType="separate"/>
      </w:r>
      <w:r w:rsidR="00250BBC">
        <w:rPr>
          <w:noProof/>
        </w:rPr>
        <w:t>6</w:t>
      </w:r>
      <w:r>
        <w:rPr>
          <w:noProof/>
        </w:rPr>
        <w:fldChar w:fldCharType="end"/>
      </w:r>
      <w:r>
        <w:t>.</w:t>
      </w:r>
      <w:r>
        <w:fldChar w:fldCharType="begin"/>
      </w:r>
      <w:r>
        <w:instrText xml:space="preserve"> SEQ Figure \* ARABIC \s 1 </w:instrText>
      </w:r>
      <w:r>
        <w:fldChar w:fldCharType="separate"/>
      </w:r>
      <w:r w:rsidR="00250BBC">
        <w:rPr>
          <w:noProof/>
        </w:rPr>
        <w:t>2</w:t>
      </w:r>
      <w:r>
        <w:rPr>
          <w:noProof/>
        </w:rPr>
        <w:fldChar w:fldCharType="end"/>
      </w:r>
      <w:r w:rsidR="000D22BB">
        <w:t xml:space="preserve"> </w:t>
      </w:r>
      <w:r w:rsidR="00F80B52" w:rsidRPr="000D22BB">
        <w:t>Can the department provide an example of apportioning administration costs acr</w:t>
      </w:r>
      <w:r w:rsidR="000D22BB" w:rsidRPr="000D22BB">
        <w:t>oss Care, Hotel and Accommodation?</w:t>
      </w:r>
    </w:p>
    <w:p w14:paraId="39A12110" w14:textId="4B43549E" w:rsidR="000763CB" w:rsidRPr="000763CB" w:rsidRDefault="000763CB" w:rsidP="000D22BB">
      <w:pPr>
        <w:rPr>
          <w:lang w:val="en-US"/>
        </w:rPr>
      </w:pPr>
      <w:r w:rsidRPr="000763CB">
        <w:rPr>
          <w:lang w:val="en-US"/>
        </w:rPr>
        <w:t xml:space="preserve">Below is an example of how insurance could be allocated between </w:t>
      </w:r>
      <w:r w:rsidR="00251F1F">
        <w:rPr>
          <w:lang w:val="en-US"/>
        </w:rPr>
        <w:t>C</w:t>
      </w:r>
      <w:r w:rsidRPr="000763CB">
        <w:rPr>
          <w:lang w:val="en-US"/>
        </w:rPr>
        <w:t xml:space="preserve">are, </w:t>
      </w:r>
      <w:r w:rsidR="00251F1F">
        <w:rPr>
          <w:lang w:val="en-US"/>
        </w:rPr>
        <w:t>Hotel</w:t>
      </w:r>
      <w:r w:rsidR="002F488E">
        <w:rPr>
          <w:lang w:val="en-US"/>
        </w:rPr>
        <w:t xml:space="preserve"> and</w:t>
      </w:r>
      <w:r w:rsidR="00251F1F">
        <w:rPr>
          <w:lang w:val="en-US"/>
        </w:rPr>
        <w:t xml:space="preserve"> A</w:t>
      </w:r>
      <w:r w:rsidRPr="000763CB">
        <w:rPr>
          <w:lang w:val="en-US"/>
        </w:rPr>
        <w:t>ccommodation</w:t>
      </w:r>
      <w:r w:rsidR="002F488E">
        <w:rPr>
          <w:lang w:val="en-US"/>
        </w:rPr>
        <w:t>.</w:t>
      </w:r>
    </w:p>
    <w:p w14:paraId="6630A567" w14:textId="77777777" w:rsidR="000763CB" w:rsidRPr="00945C24" w:rsidRDefault="008C764A" w:rsidP="00945C24">
      <w:pPr>
        <w:pStyle w:val="ListParagraph"/>
        <w:numPr>
          <w:ilvl w:val="0"/>
          <w:numId w:val="28"/>
        </w:numPr>
        <w:rPr>
          <w:lang w:val="en-US"/>
        </w:rPr>
      </w:pPr>
      <w:r w:rsidRPr="00945C24">
        <w:rPr>
          <w:lang w:val="en-US"/>
        </w:rPr>
        <w:lastRenderedPageBreak/>
        <w:t xml:space="preserve">Identify the expenses associated with the admin expense sub-category. In this example, insurance could include professional indemnity, volunteers, public liability, rental property, building and contents and motor vehicle insurance.         </w:t>
      </w:r>
    </w:p>
    <w:p w14:paraId="533A366C" w14:textId="27BAD518" w:rsidR="000763CB" w:rsidRPr="00945C24" w:rsidRDefault="008C764A" w:rsidP="00945C24">
      <w:pPr>
        <w:pStyle w:val="ListParagraph"/>
        <w:numPr>
          <w:ilvl w:val="0"/>
          <w:numId w:val="28"/>
        </w:numPr>
        <w:rPr>
          <w:lang w:val="en-US"/>
        </w:rPr>
      </w:pPr>
      <w:r w:rsidRPr="00945C24">
        <w:rPr>
          <w:lang w:val="en-US"/>
        </w:rPr>
        <w:t xml:space="preserve">Assess whether the insurance expense relates to </w:t>
      </w:r>
      <w:r w:rsidR="000F1F00" w:rsidRPr="00945C24">
        <w:rPr>
          <w:lang w:val="en-US"/>
        </w:rPr>
        <w:t>C</w:t>
      </w:r>
      <w:r w:rsidRPr="00945C24">
        <w:rPr>
          <w:lang w:val="en-US"/>
        </w:rPr>
        <w:t xml:space="preserve">are, </w:t>
      </w:r>
      <w:r w:rsidR="000F1F00" w:rsidRPr="00945C24">
        <w:rPr>
          <w:lang w:val="en-US"/>
        </w:rPr>
        <w:t>H</w:t>
      </w:r>
      <w:r w:rsidR="002F488E" w:rsidRPr="00945C24">
        <w:rPr>
          <w:lang w:val="en-US"/>
        </w:rPr>
        <w:t xml:space="preserve">otel </w:t>
      </w:r>
      <w:r w:rsidR="000F1F00" w:rsidRPr="00945C24">
        <w:rPr>
          <w:lang w:val="en-US"/>
        </w:rPr>
        <w:t>or A</w:t>
      </w:r>
      <w:r w:rsidRPr="00945C24">
        <w:rPr>
          <w:lang w:val="en-US"/>
        </w:rPr>
        <w:t>ccommodation</w:t>
      </w:r>
      <w:r w:rsidR="000F1F00" w:rsidRPr="00945C24">
        <w:rPr>
          <w:lang w:val="en-US"/>
        </w:rPr>
        <w:t>,</w:t>
      </w:r>
      <w:r w:rsidRPr="00945C24">
        <w:rPr>
          <w:lang w:val="en-US"/>
        </w:rPr>
        <w:t xml:space="preserve"> or a combination of these categories.                                                                    </w:t>
      </w:r>
    </w:p>
    <w:p w14:paraId="613F1A15" w14:textId="70F22329" w:rsidR="000763CB" w:rsidRPr="00945C24" w:rsidRDefault="008C764A" w:rsidP="00945C24">
      <w:pPr>
        <w:pStyle w:val="ListParagraph"/>
        <w:numPr>
          <w:ilvl w:val="0"/>
          <w:numId w:val="28"/>
        </w:numPr>
        <w:rPr>
          <w:lang w:val="en-US"/>
        </w:rPr>
      </w:pPr>
      <w:r w:rsidRPr="00945C24">
        <w:rPr>
          <w:lang w:val="en-US"/>
        </w:rPr>
        <w:t xml:space="preserve">Allocate expenditure based on </w:t>
      </w:r>
      <w:r w:rsidR="0061711E" w:rsidRPr="00945C24">
        <w:rPr>
          <w:lang w:val="en-US"/>
        </w:rPr>
        <w:t>the</w:t>
      </w:r>
      <w:r w:rsidRPr="00945C24">
        <w:rPr>
          <w:lang w:val="en-US"/>
        </w:rPr>
        <w:t xml:space="preserve"> assessment on Step 2. For example, </w:t>
      </w:r>
      <w:r w:rsidR="0061711E" w:rsidRPr="00945C24">
        <w:rPr>
          <w:lang w:val="en-US"/>
        </w:rPr>
        <w:t>a provider</w:t>
      </w:r>
      <w:r w:rsidRPr="00945C24">
        <w:rPr>
          <w:lang w:val="en-US"/>
        </w:rPr>
        <w:t xml:space="preserve"> could attribute 100% of building and contents insurance cost to accommodation, whilst proportionally allocating professional indemnity insurance between </w:t>
      </w:r>
      <w:r w:rsidR="000F1F00" w:rsidRPr="00945C24">
        <w:rPr>
          <w:lang w:val="en-US"/>
        </w:rPr>
        <w:t>C</w:t>
      </w:r>
      <w:r w:rsidRPr="00945C24">
        <w:rPr>
          <w:lang w:val="en-US"/>
        </w:rPr>
        <w:t>are,</w:t>
      </w:r>
      <w:r w:rsidR="000F1F00" w:rsidRPr="00945C24">
        <w:rPr>
          <w:lang w:val="en-US"/>
        </w:rPr>
        <w:t xml:space="preserve"> Hotel and A</w:t>
      </w:r>
      <w:r w:rsidRPr="00945C24">
        <w:rPr>
          <w:lang w:val="en-US"/>
        </w:rPr>
        <w:t xml:space="preserve">ccommodation based on the employee expenses incurred in these categories.                                                                                                                                              </w:t>
      </w:r>
    </w:p>
    <w:p w14:paraId="43FEB52F" w14:textId="7C3E8E07" w:rsidR="006B025E" w:rsidRPr="00945C24" w:rsidRDefault="008C764A" w:rsidP="00945C24">
      <w:pPr>
        <w:pStyle w:val="ListParagraph"/>
        <w:numPr>
          <w:ilvl w:val="0"/>
          <w:numId w:val="28"/>
        </w:numPr>
        <w:rPr>
          <w:lang w:val="en-US"/>
        </w:rPr>
      </w:pPr>
      <w:r w:rsidRPr="00945C24">
        <w:rPr>
          <w:lang w:val="en-US"/>
        </w:rPr>
        <w:t xml:space="preserve">Finally, once all administration costs are allocated out to Care, Hotel, </w:t>
      </w:r>
      <w:r w:rsidR="0023191A" w:rsidRPr="00945C24">
        <w:rPr>
          <w:lang w:val="en-US"/>
        </w:rPr>
        <w:t xml:space="preserve">and </w:t>
      </w:r>
      <w:r w:rsidRPr="00945C24">
        <w:rPr>
          <w:lang w:val="en-US"/>
        </w:rPr>
        <w:t xml:space="preserve">Accommodation, divide each category’s total by the total administration cost to determine the administration allocation percentage attributable to each category that is reported in the ACFR.                                                   </w:t>
      </w:r>
    </w:p>
    <w:p w14:paraId="154A0AE4" w14:textId="1027F145" w:rsidR="004730D6" w:rsidRPr="00606964" w:rsidRDefault="008C764A" w:rsidP="000D22BB">
      <w:pPr>
        <w:rPr>
          <w:lang w:val="en-US"/>
        </w:rPr>
      </w:pPr>
      <w:r w:rsidRPr="000763CB">
        <w:rPr>
          <w:lang w:val="en-US"/>
        </w:rPr>
        <w:t>The department recognises the difficulty in perfectly allocating administration expenses</w:t>
      </w:r>
      <w:r w:rsidR="006B025E" w:rsidRPr="000763CB">
        <w:rPr>
          <w:lang w:val="en-US"/>
        </w:rPr>
        <w:t xml:space="preserve">, however, </w:t>
      </w:r>
      <w:r w:rsidRPr="000763CB">
        <w:rPr>
          <w:lang w:val="en-US"/>
        </w:rPr>
        <w:t xml:space="preserve">we ask that providers allocate based on reasonable data-driven assumptions. </w:t>
      </w:r>
      <w:r w:rsidR="00EA2D1D">
        <w:rPr>
          <w:lang w:val="en-US"/>
        </w:rPr>
        <w:t>For</w:t>
      </w:r>
      <w:r w:rsidRPr="000763CB">
        <w:rPr>
          <w:lang w:val="en-US"/>
        </w:rPr>
        <w:t xml:space="preserve"> any questions</w:t>
      </w:r>
      <w:r w:rsidRPr="00606964">
        <w:rPr>
          <w:lang w:val="en-US"/>
        </w:rPr>
        <w:t xml:space="preserve">, the </w:t>
      </w:r>
      <w:hyperlink w:anchor="_Questions_and_feedback" w:history="1">
        <w:r w:rsidRPr="00606964">
          <w:rPr>
            <w:rStyle w:val="Hyperlink"/>
            <w:rFonts w:cs="Arial"/>
            <w:lang w:val="en-US"/>
          </w:rPr>
          <w:t>ACFR Helpdesk can assist</w:t>
        </w:r>
      </w:hyperlink>
      <w:r w:rsidRPr="00606964">
        <w:rPr>
          <w:lang w:val="en-US"/>
        </w:rPr>
        <w:t xml:space="preserve">.    </w:t>
      </w:r>
    </w:p>
    <w:p w14:paraId="33C845BA" w14:textId="5B1B4D71" w:rsidR="00606964" w:rsidRPr="00606964" w:rsidRDefault="009428A9" w:rsidP="00354C82">
      <w:pPr>
        <w:pStyle w:val="Caption"/>
        <w:rPr>
          <w:noProof/>
          <w:lang w:val="en-US"/>
        </w:rPr>
      </w:pPr>
      <w:r>
        <w:rPr>
          <w:noProof/>
          <w:lang w:val="en-US"/>
        </w:rPr>
        <w:fldChar w:fldCharType="begin"/>
      </w:r>
      <w:r>
        <w:rPr>
          <w:noProof/>
          <w:lang w:val="en-US"/>
        </w:rPr>
        <w:instrText xml:space="preserve"> STYLEREF 1 \s </w:instrText>
      </w:r>
      <w:r>
        <w:rPr>
          <w:noProof/>
          <w:lang w:val="en-US"/>
        </w:rPr>
        <w:fldChar w:fldCharType="separate"/>
      </w:r>
      <w:r w:rsidR="00250BBC">
        <w:rPr>
          <w:noProof/>
          <w:lang w:val="en-US"/>
        </w:rPr>
        <w:t>6</w:t>
      </w:r>
      <w:r>
        <w:rPr>
          <w:noProof/>
          <w:lang w:val="en-US"/>
        </w:rPr>
        <w:fldChar w:fldCharType="end"/>
      </w:r>
      <w:r>
        <w:rPr>
          <w:noProof/>
          <w:lang w:val="en-US"/>
        </w:rPr>
        <w:t>.</w:t>
      </w:r>
      <w:r>
        <w:rPr>
          <w:noProof/>
          <w:lang w:val="en-US"/>
        </w:rPr>
        <w:fldChar w:fldCharType="begin"/>
      </w:r>
      <w:r>
        <w:rPr>
          <w:noProof/>
          <w:lang w:val="en-US"/>
        </w:rPr>
        <w:instrText xml:space="preserve"> SEQ Figure \* ARABIC \s 1 </w:instrText>
      </w:r>
      <w:r>
        <w:rPr>
          <w:noProof/>
          <w:lang w:val="en-US"/>
        </w:rPr>
        <w:fldChar w:fldCharType="separate"/>
      </w:r>
      <w:r w:rsidR="00250BBC">
        <w:rPr>
          <w:noProof/>
          <w:lang w:val="en-US"/>
        </w:rPr>
        <w:t>3</w:t>
      </w:r>
      <w:r>
        <w:rPr>
          <w:noProof/>
          <w:lang w:val="en-US"/>
        </w:rPr>
        <w:fldChar w:fldCharType="end"/>
      </w:r>
      <w:r w:rsidR="00354C82">
        <w:rPr>
          <w:noProof/>
          <w:lang w:val="en-US"/>
        </w:rPr>
        <w:t xml:space="preserve"> </w:t>
      </w:r>
      <w:r w:rsidR="00606964" w:rsidRPr="00606964">
        <w:rPr>
          <w:noProof/>
          <w:lang w:val="en-US"/>
        </w:rPr>
        <w:t xml:space="preserve">What are the administration expenses associated with </w:t>
      </w:r>
      <w:r w:rsidR="00354C82">
        <w:rPr>
          <w:noProof/>
          <w:lang w:val="en-US"/>
        </w:rPr>
        <w:t>C</w:t>
      </w:r>
      <w:r w:rsidR="00606964" w:rsidRPr="00606964">
        <w:rPr>
          <w:noProof/>
          <w:lang w:val="en-US"/>
        </w:rPr>
        <w:t xml:space="preserve">are, </w:t>
      </w:r>
      <w:r w:rsidR="00354C82">
        <w:rPr>
          <w:noProof/>
          <w:lang w:val="en-US"/>
        </w:rPr>
        <w:t>H</w:t>
      </w:r>
      <w:r w:rsidR="00606964" w:rsidRPr="00606964">
        <w:rPr>
          <w:noProof/>
          <w:lang w:val="en-US"/>
        </w:rPr>
        <w:t>otel</w:t>
      </w:r>
      <w:r w:rsidR="008D344D">
        <w:rPr>
          <w:noProof/>
          <w:lang w:val="en-US"/>
        </w:rPr>
        <w:t xml:space="preserve"> and</w:t>
      </w:r>
      <w:r w:rsidR="00606964" w:rsidRPr="00606964">
        <w:rPr>
          <w:noProof/>
          <w:lang w:val="en-US"/>
        </w:rPr>
        <w:t xml:space="preserve"> </w:t>
      </w:r>
      <w:r w:rsidR="00354C82">
        <w:rPr>
          <w:noProof/>
          <w:lang w:val="en-US"/>
        </w:rPr>
        <w:t>A</w:t>
      </w:r>
      <w:r w:rsidR="00606964" w:rsidRPr="00606964">
        <w:rPr>
          <w:noProof/>
          <w:lang w:val="en-US"/>
        </w:rPr>
        <w:t>ccommodatio</w:t>
      </w:r>
      <w:r w:rsidR="008D344D">
        <w:rPr>
          <w:noProof/>
          <w:lang w:val="en-US"/>
        </w:rPr>
        <w:t>n</w:t>
      </w:r>
      <w:r w:rsidR="00606964" w:rsidRPr="00606964">
        <w:rPr>
          <w:noProof/>
          <w:lang w:val="en-US"/>
        </w:rPr>
        <w:t>?</w:t>
      </w:r>
    </w:p>
    <w:p w14:paraId="2527CD09" w14:textId="77777777" w:rsidR="00606964" w:rsidRPr="00606964" w:rsidRDefault="00606964" w:rsidP="00460A09">
      <w:pPr>
        <w:rPr>
          <w:lang w:val="en-US"/>
        </w:rPr>
      </w:pPr>
      <w:r w:rsidRPr="00606964">
        <w:rPr>
          <w:lang w:val="en-US"/>
        </w:rPr>
        <w:t xml:space="preserve">The ACFR definitions provide examples of administration expenses that need to be reported in the ACFR. The ACFR also asks providers to input proportions (%) that allocate out the total administration cost to the following categories: </w:t>
      </w:r>
    </w:p>
    <w:p w14:paraId="02F18B4B" w14:textId="77777777" w:rsidR="00606964" w:rsidRPr="00460A09" w:rsidRDefault="00606964" w:rsidP="00460A09">
      <w:pPr>
        <w:pStyle w:val="ListParagraph"/>
        <w:numPr>
          <w:ilvl w:val="0"/>
          <w:numId w:val="29"/>
        </w:numPr>
        <w:rPr>
          <w:lang w:val="en-US"/>
        </w:rPr>
      </w:pPr>
      <w:r w:rsidRPr="00460A09">
        <w:rPr>
          <w:lang w:val="en-US"/>
        </w:rPr>
        <w:t>Care: Costs associated with administration of direct care, resident expenses, and consumables.</w:t>
      </w:r>
    </w:p>
    <w:p w14:paraId="0779787E" w14:textId="77777777" w:rsidR="00606964" w:rsidRPr="00460A09" w:rsidRDefault="00606964" w:rsidP="00460A09">
      <w:pPr>
        <w:pStyle w:val="ListParagraph"/>
        <w:numPr>
          <w:ilvl w:val="0"/>
          <w:numId w:val="29"/>
        </w:numPr>
        <w:rPr>
          <w:lang w:val="en-US"/>
        </w:rPr>
      </w:pPr>
      <w:r w:rsidRPr="00460A09">
        <w:rPr>
          <w:lang w:val="en-US"/>
        </w:rPr>
        <w:t>Hotel: Costs associated with administration of catering, cleaning, and laundry services.</w:t>
      </w:r>
    </w:p>
    <w:p w14:paraId="5A102EC0" w14:textId="77777777" w:rsidR="00606964" w:rsidRPr="00460A09" w:rsidRDefault="00606964" w:rsidP="00460A09">
      <w:pPr>
        <w:pStyle w:val="ListParagraph"/>
        <w:numPr>
          <w:ilvl w:val="0"/>
          <w:numId w:val="29"/>
        </w:numPr>
        <w:rPr>
          <w:lang w:val="en-US"/>
        </w:rPr>
      </w:pPr>
      <w:r w:rsidRPr="00460A09">
        <w:rPr>
          <w:lang w:val="en-US"/>
        </w:rPr>
        <w:t>Accommodation: Costs associated with administration of building occupation, maintenance, and interest.</w:t>
      </w:r>
    </w:p>
    <w:p w14:paraId="7FD3DF46" w14:textId="74099C3E" w:rsidR="00791C66" w:rsidRPr="00E91927" w:rsidRDefault="009428A9" w:rsidP="00E91927">
      <w:pPr>
        <w:pStyle w:val="Caption"/>
      </w:pPr>
      <w:r>
        <w:fldChar w:fldCharType="begin"/>
      </w:r>
      <w:r>
        <w:instrText xml:space="preserve"> STYLEREF 1 \s </w:instrText>
      </w:r>
      <w:r>
        <w:fldChar w:fldCharType="separate"/>
      </w:r>
      <w:r w:rsidR="00250BBC">
        <w:rPr>
          <w:noProof/>
        </w:rPr>
        <w:t>6</w:t>
      </w:r>
      <w:r>
        <w:rPr>
          <w:noProof/>
        </w:rPr>
        <w:fldChar w:fldCharType="end"/>
      </w:r>
      <w:r>
        <w:t>.</w:t>
      </w:r>
      <w:r>
        <w:fldChar w:fldCharType="begin"/>
      </w:r>
      <w:r>
        <w:instrText xml:space="preserve"> SEQ Figure \* ARABIC \s 1 </w:instrText>
      </w:r>
      <w:r>
        <w:fldChar w:fldCharType="separate"/>
      </w:r>
      <w:r w:rsidR="00250BBC">
        <w:rPr>
          <w:noProof/>
        </w:rPr>
        <w:t>4</w:t>
      </w:r>
      <w:r>
        <w:rPr>
          <w:noProof/>
        </w:rPr>
        <w:fldChar w:fldCharType="end"/>
      </w:r>
      <w:r w:rsidR="00E91927" w:rsidRPr="00E91927">
        <w:t xml:space="preserve"> </w:t>
      </w:r>
      <w:r w:rsidR="007F28E6">
        <w:t xml:space="preserve">Are </w:t>
      </w:r>
      <w:r w:rsidR="00B26B45">
        <w:t xml:space="preserve">providers </w:t>
      </w:r>
      <w:r w:rsidR="007F28E6">
        <w:t xml:space="preserve">required to </w:t>
      </w:r>
      <w:r w:rsidR="00B26B45">
        <w:t xml:space="preserve">allocate some </w:t>
      </w:r>
      <w:r w:rsidR="007F28E6">
        <w:t>of the maintenance expenses</w:t>
      </w:r>
      <w:r w:rsidR="00791C66" w:rsidRPr="00E91927">
        <w:t xml:space="preserve"> </w:t>
      </w:r>
      <w:r w:rsidR="007F28E6">
        <w:t xml:space="preserve">to </w:t>
      </w:r>
      <w:r w:rsidR="00791C66" w:rsidRPr="00E91927">
        <w:t>accommodation expense</w:t>
      </w:r>
      <w:r w:rsidR="007F28E6">
        <w:t>s</w:t>
      </w:r>
      <w:r w:rsidR="00F668FC">
        <w:t>?</w:t>
      </w:r>
      <w:r w:rsidR="00791C66" w:rsidRPr="00E91927">
        <w:t xml:space="preserve">  </w:t>
      </w:r>
    </w:p>
    <w:p w14:paraId="7E298294" w14:textId="53AE6F7F" w:rsidR="00791C66" w:rsidRPr="000763CB" w:rsidRDefault="00791C66" w:rsidP="00887333">
      <w:pPr>
        <w:rPr>
          <w:lang w:val="en-US"/>
        </w:rPr>
      </w:pPr>
      <w:r w:rsidRPr="000763CB">
        <w:rPr>
          <w:lang w:val="en-US"/>
        </w:rPr>
        <w:t xml:space="preserve">The accommodation labour costs are related to employees completing major maintenance and refurbishments. It is suggested that the tasks completed by maintenance staff are reviewed to see if any of these costs should be allocated to </w:t>
      </w:r>
      <w:r w:rsidR="00F668FC">
        <w:rPr>
          <w:lang w:val="en-US"/>
        </w:rPr>
        <w:t>‘</w:t>
      </w:r>
      <w:r w:rsidRPr="000763CB">
        <w:rPr>
          <w:lang w:val="en-US"/>
        </w:rPr>
        <w:t>Accommodation Expenses - Employee and Agency labour costs</w:t>
      </w:r>
      <w:r w:rsidR="00F668FC">
        <w:rPr>
          <w:lang w:val="en-US"/>
        </w:rPr>
        <w:t>’</w:t>
      </w:r>
      <w:r w:rsidRPr="000763CB">
        <w:rPr>
          <w:lang w:val="en-US"/>
        </w:rPr>
        <w:t xml:space="preserve">, otherwise it is appropriate to leave the costs in the </w:t>
      </w:r>
      <w:r w:rsidR="00F668FC">
        <w:rPr>
          <w:lang w:val="en-US"/>
        </w:rPr>
        <w:t>‘</w:t>
      </w:r>
      <w:r w:rsidRPr="000763CB">
        <w:rPr>
          <w:lang w:val="en-US"/>
        </w:rPr>
        <w:t>Routine Maintenance Expenses</w:t>
      </w:r>
      <w:r w:rsidR="00F668FC">
        <w:rPr>
          <w:lang w:val="en-US"/>
        </w:rPr>
        <w:t>’</w:t>
      </w:r>
      <w:r w:rsidRPr="000763CB">
        <w:rPr>
          <w:lang w:val="en-US"/>
        </w:rPr>
        <w:t xml:space="preserve">. It would not be uncommon for a provider to not report any </w:t>
      </w:r>
      <w:r w:rsidR="00F668FC">
        <w:rPr>
          <w:lang w:val="en-US"/>
        </w:rPr>
        <w:t>‘A</w:t>
      </w:r>
      <w:r w:rsidRPr="000763CB">
        <w:rPr>
          <w:lang w:val="en-US"/>
        </w:rPr>
        <w:t>ccommodation labour costs</w:t>
      </w:r>
      <w:r w:rsidR="00F668FC">
        <w:rPr>
          <w:lang w:val="en-US"/>
        </w:rPr>
        <w:t>’</w:t>
      </w:r>
      <w:r w:rsidRPr="000763CB">
        <w:rPr>
          <w:lang w:val="en-US"/>
        </w:rPr>
        <w:t xml:space="preserve">. </w:t>
      </w:r>
    </w:p>
    <w:p w14:paraId="4CD5BB1C" w14:textId="30F5E597" w:rsidR="008B4737" w:rsidRPr="00CD13E7" w:rsidRDefault="009428A9" w:rsidP="000763CB">
      <w:pPr>
        <w:pStyle w:val="Caption"/>
        <w:rPr>
          <w:noProof/>
        </w:rPr>
      </w:pPr>
      <w:r>
        <w:rPr>
          <w:noProof/>
        </w:rPr>
        <w:lastRenderedPageBreak/>
        <w:fldChar w:fldCharType="begin"/>
      </w:r>
      <w:r>
        <w:rPr>
          <w:noProof/>
        </w:rPr>
        <w:instrText xml:space="preserve"> STYLEREF 1 \s </w:instrText>
      </w:r>
      <w:r>
        <w:rPr>
          <w:noProof/>
        </w:rPr>
        <w:fldChar w:fldCharType="separate"/>
      </w:r>
      <w:r w:rsidR="00250BBC">
        <w:rPr>
          <w:noProof/>
        </w:rPr>
        <w:t>6</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250BBC">
        <w:rPr>
          <w:noProof/>
        </w:rPr>
        <w:t>5</w:t>
      </w:r>
      <w:r>
        <w:rPr>
          <w:noProof/>
        </w:rPr>
        <w:fldChar w:fldCharType="end"/>
      </w:r>
      <w:r w:rsidR="000763CB">
        <w:rPr>
          <w:noProof/>
        </w:rPr>
        <w:t xml:space="preserve"> </w:t>
      </w:r>
      <w:r w:rsidR="00BA24EF">
        <w:rPr>
          <w:noProof/>
        </w:rPr>
        <w:t>If a provider has a</w:t>
      </w:r>
      <w:r w:rsidR="008B4737" w:rsidRPr="00CD13E7">
        <w:rPr>
          <w:noProof/>
        </w:rPr>
        <w:t xml:space="preserve"> general ledger that </w:t>
      </w:r>
      <w:r w:rsidR="00BA24EF">
        <w:rPr>
          <w:noProof/>
        </w:rPr>
        <w:t xml:space="preserve">does </w:t>
      </w:r>
      <w:r w:rsidR="008B4737" w:rsidRPr="00CD13E7">
        <w:rPr>
          <w:noProof/>
        </w:rPr>
        <w:t>not allow for easy identification of certain expenses</w:t>
      </w:r>
      <w:r w:rsidR="007930EE">
        <w:rPr>
          <w:noProof/>
        </w:rPr>
        <w:t xml:space="preserve"> such as </w:t>
      </w:r>
      <w:r w:rsidR="008B4737" w:rsidRPr="00CD13E7">
        <w:rPr>
          <w:noProof/>
        </w:rPr>
        <w:t>diversional therapists, nutritional supplements</w:t>
      </w:r>
      <w:r w:rsidR="007930EE">
        <w:rPr>
          <w:noProof/>
        </w:rPr>
        <w:t xml:space="preserve"> or</w:t>
      </w:r>
      <w:r w:rsidR="008B4737" w:rsidRPr="00CD13E7">
        <w:rPr>
          <w:noProof/>
        </w:rPr>
        <w:t xml:space="preserve"> incontinence supplies</w:t>
      </w:r>
      <w:r w:rsidR="007930EE">
        <w:rPr>
          <w:noProof/>
        </w:rPr>
        <w:t xml:space="preserve"> etc., c</w:t>
      </w:r>
      <w:r w:rsidR="00EE3E1E">
        <w:rPr>
          <w:noProof/>
        </w:rPr>
        <w:t xml:space="preserve">an the expenses be reported </w:t>
      </w:r>
      <w:r w:rsidR="007930EE">
        <w:rPr>
          <w:noProof/>
        </w:rPr>
        <w:t>together as one?</w:t>
      </w:r>
      <w:r w:rsidR="008B4737" w:rsidRPr="00CD13E7">
        <w:rPr>
          <w:noProof/>
        </w:rPr>
        <w:t xml:space="preserve">  </w:t>
      </w:r>
    </w:p>
    <w:p w14:paraId="3E780B0C" w14:textId="1B5C3FFE" w:rsidR="008B4737" w:rsidRPr="00887333" w:rsidRDefault="008B4737" w:rsidP="00F668FC">
      <w:pPr>
        <w:rPr>
          <w:lang w:val="en-US"/>
        </w:rPr>
      </w:pPr>
      <w:r w:rsidRPr="00887333">
        <w:rPr>
          <w:lang w:val="en-US"/>
        </w:rPr>
        <w:t xml:space="preserve">The chart of accounts should be amended (where possible, each of these categories should have </w:t>
      </w:r>
      <w:r w:rsidR="000763CB" w:rsidRPr="00887333">
        <w:rPr>
          <w:lang w:val="en-US"/>
        </w:rPr>
        <w:t>its</w:t>
      </w:r>
      <w:r w:rsidRPr="00887333">
        <w:rPr>
          <w:lang w:val="en-US"/>
        </w:rPr>
        <w:t xml:space="preserve"> own ledger account) to allow for an easier split of these expenses.</w:t>
      </w:r>
    </w:p>
    <w:p w14:paraId="4270DF9A" w14:textId="3D2781B3" w:rsidR="008B4737" w:rsidRPr="005E04C9" w:rsidRDefault="009428A9" w:rsidP="005E04C9">
      <w:pPr>
        <w:pStyle w:val="Caption"/>
        <w:rPr>
          <w:noProof/>
        </w:rPr>
      </w:pPr>
      <w:r>
        <w:rPr>
          <w:noProof/>
        </w:rPr>
        <w:fldChar w:fldCharType="begin"/>
      </w:r>
      <w:r>
        <w:rPr>
          <w:noProof/>
        </w:rPr>
        <w:instrText xml:space="preserve"> STYLEREF 1 \s </w:instrText>
      </w:r>
      <w:r>
        <w:rPr>
          <w:noProof/>
        </w:rPr>
        <w:fldChar w:fldCharType="separate"/>
      </w:r>
      <w:r w:rsidR="00250BBC">
        <w:rPr>
          <w:noProof/>
        </w:rPr>
        <w:t>6</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250BBC">
        <w:rPr>
          <w:noProof/>
        </w:rPr>
        <w:t>6</w:t>
      </w:r>
      <w:r>
        <w:rPr>
          <w:noProof/>
        </w:rPr>
        <w:fldChar w:fldCharType="end"/>
      </w:r>
      <w:r w:rsidR="005E04C9">
        <w:rPr>
          <w:noProof/>
        </w:rPr>
        <w:t xml:space="preserve"> </w:t>
      </w:r>
      <w:r w:rsidR="00A70E66">
        <w:rPr>
          <w:noProof/>
        </w:rPr>
        <w:t>Where do providers report income and expenditure for</w:t>
      </w:r>
      <w:r w:rsidR="0015355A">
        <w:rPr>
          <w:noProof/>
        </w:rPr>
        <w:t xml:space="preserve"> sites that are either under construction</w:t>
      </w:r>
      <w:r w:rsidR="001C3E57">
        <w:rPr>
          <w:noProof/>
        </w:rPr>
        <w:t xml:space="preserve"> or have been designated as residential aged care sites?</w:t>
      </w:r>
    </w:p>
    <w:p w14:paraId="7F3EF0C8" w14:textId="43C66BB3" w:rsidR="008B4737" w:rsidRPr="00887333" w:rsidRDefault="008B4737" w:rsidP="00F668FC">
      <w:pPr>
        <w:rPr>
          <w:lang w:val="en-US"/>
        </w:rPr>
      </w:pPr>
      <w:r w:rsidRPr="00887333">
        <w:rPr>
          <w:lang w:val="en-US"/>
        </w:rPr>
        <w:t xml:space="preserve">If the sites are either under construction, or they have been designated as residential aged care sites (e.g., have approved places under current legislation) the assets should be reported as ‘Capital Work in Progress’ or within ‘Property Plant and Equipment’ in the residential balance sheet. The income and expenditure relevant to these offline facilities should be reported as ‘Other’ in the ‘Residential Non-Recurrent income and expenses section of the ACFR. </w:t>
      </w:r>
    </w:p>
    <w:p w14:paraId="2CA820B1" w14:textId="77777777" w:rsidR="008B4737" w:rsidRPr="00887333" w:rsidRDefault="008B4737" w:rsidP="00F668FC">
      <w:pPr>
        <w:rPr>
          <w:lang w:val="en-US"/>
        </w:rPr>
      </w:pPr>
      <w:r w:rsidRPr="00887333">
        <w:rPr>
          <w:lang w:val="en-US"/>
        </w:rPr>
        <w:t xml:space="preserve">Where the site is currently being used for a purpose outside of residential aged care according to the Aged Care Act 1997, that site, and its income and expenditure should only be reported at the approved provider level. </w:t>
      </w:r>
    </w:p>
    <w:p w14:paraId="48FAFFD7" w14:textId="002128E5" w:rsidR="008B4737" w:rsidRPr="001C3E57" w:rsidRDefault="009428A9" w:rsidP="001C3E57">
      <w:pPr>
        <w:pStyle w:val="Caption"/>
        <w:rPr>
          <w:noProof/>
        </w:rPr>
      </w:pPr>
      <w:r>
        <w:rPr>
          <w:noProof/>
        </w:rPr>
        <w:fldChar w:fldCharType="begin"/>
      </w:r>
      <w:r>
        <w:rPr>
          <w:noProof/>
        </w:rPr>
        <w:instrText xml:space="preserve"> STYLEREF 1 \s </w:instrText>
      </w:r>
      <w:r>
        <w:rPr>
          <w:noProof/>
        </w:rPr>
        <w:fldChar w:fldCharType="separate"/>
      </w:r>
      <w:r w:rsidR="00250BBC">
        <w:rPr>
          <w:noProof/>
        </w:rPr>
        <w:t>6</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250BBC">
        <w:rPr>
          <w:noProof/>
        </w:rPr>
        <w:t>7</w:t>
      </w:r>
      <w:r>
        <w:rPr>
          <w:noProof/>
        </w:rPr>
        <w:fldChar w:fldCharType="end"/>
      </w:r>
      <w:r w:rsidR="001C3E57">
        <w:rPr>
          <w:noProof/>
        </w:rPr>
        <w:t xml:space="preserve"> </w:t>
      </w:r>
      <w:r w:rsidR="008B4737" w:rsidRPr="001C3E57">
        <w:rPr>
          <w:noProof/>
        </w:rPr>
        <w:t xml:space="preserve">If all the staff of the approved provider are employed by its related party entity, how should labour costs be reported </w:t>
      </w:r>
      <w:r w:rsidR="001C3E57">
        <w:rPr>
          <w:noProof/>
        </w:rPr>
        <w:t>in the ACFR</w:t>
      </w:r>
      <w:r w:rsidR="008B4737" w:rsidRPr="001C3E57">
        <w:rPr>
          <w:noProof/>
        </w:rPr>
        <w:t xml:space="preserve">?  </w:t>
      </w:r>
    </w:p>
    <w:p w14:paraId="3BD76129" w14:textId="6E94BAB8" w:rsidR="00922CE5" w:rsidRDefault="6EE003F7" w:rsidP="00F668FC">
      <w:pPr>
        <w:rPr>
          <w:lang w:val="en-US"/>
        </w:rPr>
      </w:pPr>
      <w:r w:rsidRPr="5B882B9C">
        <w:rPr>
          <w:lang w:val="en-US"/>
        </w:rPr>
        <w:t xml:space="preserve">If </w:t>
      </w:r>
      <w:r w:rsidR="721C6DCC" w:rsidRPr="5B882B9C">
        <w:rPr>
          <w:lang w:val="en-US"/>
        </w:rPr>
        <w:t>a provider does not directly employ their staff and the related part entity does, the</w:t>
      </w:r>
      <w:r w:rsidR="65ADDAE9" w:rsidRPr="5B882B9C">
        <w:rPr>
          <w:lang w:val="en-US"/>
        </w:rPr>
        <w:t xml:space="preserve"> provider should report it under </w:t>
      </w:r>
      <w:r w:rsidR="2B374CDD" w:rsidRPr="5B882B9C">
        <w:rPr>
          <w:lang w:val="en-US"/>
        </w:rPr>
        <w:t>employee</w:t>
      </w:r>
      <w:r w:rsidR="65ADDAE9" w:rsidRPr="5B882B9C">
        <w:rPr>
          <w:lang w:val="en-US"/>
        </w:rPr>
        <w:t xml:space="preserve"> staff costs. </w:t>
      </w:r>
      <w:r w:rsidR="134D7F16" w:rsidRPr="5B882B9C">
        <w:rPr>
          <w:lang w:val="en-US"/>
        </w:rPr>
        <w:t>Agency staff</w:t>
      </w:r>
      <w:r w:rsidR="738BCAD5" w:rsidRPr="0A22CD89">
        <w:rPr>
          <w:lang w:val="en-US"/>
        </w:rPr>
        <w:t xml:space="preserve"> </w:t>
      </w:r>
      <w:r w:rsidR="34A60413" w:rsidRPr="0A22CD89">
        <w:rPr>
          <w:lang w:val="en-US"/>
        </w:rPr>
        <w:t>reporting</w:t>
      </w:r>
      <w:r w:rsidR="738BCAD5" w:rsidRPr="0A22CD89">
        <w:rPr>
          <w:lang w:val="en-US"/>
        </w:rPr>
        <w:t xml:space="preserve"> items</w:t>
      </w:r>
      <w:r w:rsidR="134D7F16" w:rsidRPr="5B882B9C">
        <w:rPr>
          <w:lang w:val="en-US"/>
        </w:rPr>
        <w:t xml:space="preserve"> </w:t>
      </w:r>
      <w:r w:rsidR="000D4492">
        <w:rPr>
          <w:lang w:val="en-US"/>
        </w:rPr>
        <w:t>capture</w:t>
      </w:r>
      <w:r w:rsidR="134D7F16" w:rsidRPr="5B882B9C">
        <w:rPr>
          <w:lang w:val="en-US"/>
        </w:rPr>
        <w:t xml:space="preserve"> the </w:t>
      </w:r>
      <w:r w:rsidR="134D7F16" w:rsidRPr="0A22CD89">
        <w:rPr>
          <w:lang w:val="en-US"/>
        </w:rPr>
        <w:t>cost</w:t>
      </w:r>
      <w:r w:rsidR="4330B0D9" w:rsidRPr="0A22CD89">
        <w:rPr>
          <w:lang w:val="en-US"/>
        </w:rPr>
        <w:t>s</w:t>
      </w:r>
      <w:r w:rsidR="134D7F16" w:rsidRPr="5B882B9C">
        <w:rPr>
          <w:lang w:val="en-US"/>
        </w:rPr>
        <w:t xml:space="preserve"> of engaging staff through an unrelated organisation.</w:t>
      </w:r>
    </w:p>
    <w:p w14:paraId="6035B744" w14:textId="02C788CA" w:rsidR="008B4737" w:rsidRPr="00956DA3" w:rsidRDefault="008B4737" w:rsidP="00F668FC">
      <w:pPr>
        <w:rPr>
          <w:lang w:val="en-US"/>
        </w:rPr>
      </w:pPr>
      <w:r w:rsidRPr="00956DA3">
        <w:rPr>
          <w:lang w:val="en-US"/>
        </w:rPr>
        <w:t>If a management fee is paid to the related party for operational expenditure, including staff costs, this management fee should be split out to allocate costs to the relevant direct care categories. The actual management fee after these costs would be reported in administration expenses. As the entities are related, it is expected that there is visibility of operational costs incurred.</w:t>
      </w:r>
    </w:p>
    <w:p w14:paraId="07C49595" w14:textId="6ACB5CF6" w:rsidR="008B4737" w:rsidRPr="00CD13E7" w:rsidRDefault="009428A9" w:rsidP="00136E8F">
      <w:pPr>
        <w:pStyle w:val="Caption"/>
        <w:rPr>
          <w:noProof/>
        </w:rPr>
      </w:pPr>
      <w:r>
        <w:rPr>
          <w:noProof/>
        </w:rPr>
        <w:fldChar w:fldCharType="begin"/>
      </w:r>
      <w:r>
        <w:rPr>
          <w:noProof/>
        </w:rPr>
        <w:instrText xml:space="preserve"> STYLEREF 1 \s </w:instrText>
      </w:r>
      <w:r>
        <w:rPr>
          <w:noProof/>
        </w:rPr>
        <w:fldChar w:fldCharType="separate"/>
      </w:r>
      <w:r w:rsidR="00250BBC">
        <w:rPr>
          <w:noProof/>
        </w:rPr>
        <w:t>6</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250BBC">
        <w:rPr>
          <w:noProof/>
        </w:rPr>
        <w:t>8</w:t>
      </w:r>
      <w:r>
        <w:rPr>
          <w:noProof/>
        </w:rPr>
        <w:fldChar w:fldCharType="end"/>
      </w:r>
      <w:r w:rsidR="00136E8F">
        <w:rPr>
          <w:noProof/>
        </w:rPr>
        <w:t xml:space="preserve"> </w:t>
      </w:r>
      <w:r w:rsidR="00745287">
        <w:rPr>
          <w:noProof/>
        </w:rPr>
        <w:t xml:space="preserve">If an organisation has </w:t>
      </w:r>
      <w:r w:rsidR="008B4737" w:rsidRPr="00CD13E7">
        <w:rPr>
          <w:noProof/>
        </w:rPr>
        <w:t xml:space="preserve">two facilities </w:t>
      </w:r>
      <w:r w:rsidR="006B04F9">
        <w:rPr>
          <w:noProof/>
        </w:rPr>
        <w:t xml:space="preserve">and all </w:t>
      </w:r>
      <w:r w:rsidR="00322FB5">
        <w:rPr>
          <w:noProof/>
        </w:rPr>
        <w:t>revenue and expenditure are recorded as one, is</w:t>
      </w:r>
      <w:r w:rsidR="008B4737" w:rsidRPr="00CD13E7">
        <w:rPr>
          <w:noProof/>
        </w:rPr>
        <w:t xml:space="preserve"> it acceptable to provide the data against one facility or are </w:t>
      </w:r>
      <w:r w:rsidR="00322FB5">
        <w:rPr>
          <w:noProof/>
        </w:rPr>
        <w:t>providers</w:t>
      </w:r>
      <w:r w:rsidR="008B4737" w:rsidRPr="00CD13E7">
        <w:rPr>
          <w:noProof/>
        </w:rPr>
        <w:t xml:space="preserve"> required to split them </w:t>
      </w:r>
      <w:r w:rsidR="00322FB5">
        <w:rPr>
          <w:noProof/>
        </w:rPr>
        <w:t>seperately?</w:t>
      </w:r>
    </w:p>
    <w:p w14:paraId="304F35C0" w14:textId="2BC624B3" w:rsidR="00F86C41" w:rsidRPr="00322FB5" w:rsidRDefault="008B4737" w:rsidP="00F668FC">
      <w:pPr>
        <w:rPr>
          <w:lang w:val="en-US"/>
        </w:rPr>
      </w:pPr>
      <w:r w:rsidRPr="00322FB5">
        <w:rPr>
          <w:lang w:val="en-US"/>
        </w:rPr>
        <w:t xml:space="preserve">Data (e.g., income, expenses, and hours) for the co-located facilities should not be combined. It should be reported separately for every individual </w:t>
      </w:r>
      <w:r w:rsidR="003D3529">
        <w:rPr>
          <w:lang w:val="en-US"/>
        </w:rPr>
        <w:t>registered facility</w:t>
      </w:r>
      <w:r w:rsidRPr="00322FB5">
        <w:rPr>
          <w:lang w:val="en-US"/>
        </w:rPr>
        <w:t>. The same data should not be duplicated across both registrations and should be reflective of what was incurred for tha</w:t>
      </w:r>
      <w:r w:rsidR="00E53081">
        <w:rPr>
          <w:lang w:val="en-US"/>
        </w:rPr>
        <w:t>t registered facility</w:t>
      </w:r>
      <w:r w:rsidRPr="00322FB5">
        <w:rPr>
          <w:lang w:val="en-US"/>
        </w:rPr>
        <w:t>.</w:t>
      </w:r>
    </w:p>
    <w:p w14:paraId="08DC3A6F" w14:textId="1F4EEFAF" w:rsidR="00E5109A" w:rsidRPr="005758E4" w:rsidRDefault="00E20170" w:rsidP="005758E4">
      <w:pPr>
        <w:pStyle w:val="Heading3"/>
        <w:spacing w:before="240" w:after="240"/>
        <w:ind w:left="0" w:firstLine="0"/>
        <w:rPr>
          <w:color w:val="1F848B" w:themeColor="accent1" w:themeShade="BF"/>
          <w:sz w:val="28"/>
          <w:lang w:val="en-US"/>
        </w:rPr>
      </w:pPr>
      <w:r w:rsidRPr="005758E4">
        <w:rPr>
          <w:color w:val="1F848B" w:themeColor="accent1" w:themeShade="BF"/>
          <w:sz w:val="28"/>
          <w:lang w:val="en-US"/>
        </w:rPr>
        <w:t>Labour Worked Hou</w:t>
      </w:r>
      <w:r w:rsidR="00354C82" w:rsidRPr="005758E4">
        <w:rPr>
          <w:color w:val="1F848B" w:themeColor="accent1" w:themeShade="BF"/>
          <w:sz w:val="28"/>
          <w:lang w:val="en-US"/>
        </w:rPr>
        <w:t>r</w:t>
      </w:r>
      <w:r w:rsidRPr="005758E4">
        <w:rPr>
          <w:color w:val="1F848B" w:themeColor="accent1" w:themeShade="BF"/>
          <w:sz w:val="28"/>
          <w:lang w:val="en-US"/>
        </w:rPr>
        <w:t xml:space="preserve">s – Direct </w:t>
      </w:r>
      <w:r w:rsidR="00E5109A" w:rsidRPr="005758E4">
        <w:rPr>
          <w:color w:val="1F848B" w:themeColor="accent1" w:themeShade="BF"/>
          <w:sz w:val="28"/>
          <w:lang w:val="en-US"/>
        </w:rPr>
        <w:t>Care</w:t>
      </w:r>
    </w:p>
    <w:p w14:paraId="03BA6F99" w14:textId="3D39B707" w:rsidR="00E5109A" w:rsidRPr="00354C82" w:rsidRDefault="009428A9" w:rsidP="00354C82">
      <w:pPr>
        <w:pStyle w:val="Caption"/>
        <w:rPr>
          <w:noProof/>
        </w:rPr>
      </w:pPr>
      <w:r>
        <w:rPr>
          <w:noProof/>
        </w:rPr>
        <w:fldChar w:fldCharType="begin"/>
      </w:r>
      <w:r>
        <w:rPr>
          <w:noProof/>
        </w:rPr>
        <w:instrText xml:space="preserve"> STYLEREF 1 \s </w:instrText>
      </w:r>
      <w:r>
        <w:rPr>
          <w:noProof/>
        </w:rPr>
        <w:fldChar w:fldCharType="separate"/>
      </w:r>
      <w:r w:rsidR="00250BBC">
        <w:rPr>
          <w:noProof/>
        </w:rPr>
        <w:t>6</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250BBC">
        <w:rPr>
          <w:noProof/>
        </w:rPr>
        <w:t>9</w:t>
      </w:r>
      <w:r>
        <w:rPr>
          <w:noProof/>
        </w:rPr>
        <w:fldChar w:fldCharType="end"/>
      </w:r>
      <w:r w:rsidR="00354C82">
        <w:rPr>
          <w:noProof/>
        </w:rPr>
        <w:t xml:space="preserve"> </w:t>
      </w:r>
      <w:r w:rsidR="00E5109A" w:rsidRPr="00354C82">
        <w:rPr>
          <w:noProof/>
        </w:rPr>
        <w:t xml:space="preserve">Should the direct care hours include contractor hours? </w:t>
      </w:r>
      <w:r w:rsidR="00E53081">
        <w:rPr>
          <w:noProof/>
        </w:rPr>
        <w:t>(e</w:t>
      </w:r>
      <w:r w:rsidR="00E5109A" w:rsidRPr="00354C82">
        <w:rPr>
          <w:noProof/>
        </w:rPr>
        <w:t>.g., a podiatrist or specialist who comes to a site periodically</w:t>
      </w:r>
      <w:r w:rsidR="00E53081">
        <w:rPr>
          <w:noProof/>
        </w:rPr>
        <w:t>)</w:t>
      </w:r>
      <w:r w:rsidR="00E5109A" w:rsidRPr="00354C82">
        <w:rPr>
          <w:noProof/>
        </w:rPr>
        <w:t xml:space="preserve">  </w:t>
      </w:r>
    </w:p>
    <w:p w14:paraId="2257E7B2" w14:textId="5ACC233F" w:rsidR="00E5109A" w:rsidRPr="00F668FC" w:rsidRDefault="7F90FFF2" w:rsidP="00F668FC">
      <w:pPr>
        <w:rPr>
          <w:lang w:val="en-US"/>
        </w:rPr>
      </w:pPr>
      <w:r w:rsidRPr="0A22CD89">
        <w:rPr>
          <w:lang w:val="en-US"/>
        </w:rPr>
        <w:lastRenderedPageBreak/>
        <w:t>The h</w:t>
      </w:r>
      <w:r w:rsidR="00E5109A" w:rsidRPr="00F668FC">
        <w:rPr>
          <w:lang w:val="en-US"/>
        </w:rPr>
        <w:t>ours that contractors spend delivering care should be included in direct care hours. Hours of care should be requested on the invoices from contractors. If the invoice is not itemised by care type, an average time can be requested from the contractor for consultations and then the average can be applied to the number of client visits. The hours for a podiatrist would be captured under allied health.</w:t>
      </w:r>
    </w:p>
    <w:p w14:paraId="74BE066F" w14:textId="5103750D" w:rsidR="00E5109A" w:rsidRPr="008322AD" w:rsidRDefault="009428A9" w:rsidP="008322AD">
      <w:pPr>
        <w:pStyle w:val="Caption"/>
        <w:rPr>
          <w:noProof/>
        </w:rPr>
      </w:pPr>
      <w:r>
        <w:rPr>
          <w:noProof/>
        </w:rPr>
        <w:fldChar w:fldCharType="begin"/>
      </w:r>
      <w:r>
        <w:rPr>
          <w:noProof/>
        </w:rPr>
        <w:instrText xml:space="preserve"> STYLEREF 1 \s </w:instrText>
      </w:r>
      <w:r>
        <w:rPr>
          <w:noProof/>
        </w:rPr>
        <w:fldChar w:fldCharType="separate"/>
      </w:r>
      <w:r w:rsidR="00250BBC">
        <w:rPr>
          <w:noProof/>
        </w:rPr>
        <w:t>6</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250BBC">
        <w:rPr>
          <w:noProof/>
        </w:rPr>
        <w:t>10</w:t>
      </w:r>
      <w:r>
        <w:rPr>
          <w:noProof/>
        </w:rPr>
        <w:fldChar w:fldCharType="end"/>
      </w:r>
      <w:r w:rsidR="008322AD">
        <w:rPr>
          <w:noProof/>
        </w:rPr>
        <w:t xml:space="preserve"> </w:t>
      </w:r>
      <w:r w:rsidR="003F6A4D" w:rsidRPr="008322AD">
        <w:rPr>
          <w:noProof/>
        </w:rPr>
        <w:t>In the section ‘L</w:t>
      </w:r>
      <w:r w:rsidR="00E5109A" w:rsidRPr="008322AD">
        <w:rPr>
          <w:noProof/>
        </w:rPr>
        <w:t xml:space="preserve">abour </w:t>
      </w:r>
      <w:r w:rsidR="003F6A4D" w:rsidRPr="008322AD">
        <w:rPr>
          <w:noProof/>
        </w:rPr>
        <w:t>W</w:t>
      </w:r>
      <w:r w:rsidR="00E5109A" w:rsidRPr="008322AD">
        <w:rPr>
          <w:noProof/>
        </w:rPr>
        <w:t xml:space="preserve">orked </w:t>
      </w:r>
      <w:r w:rsidR="003F6A4D" w:rsidRPr="008322AD">
        <w:rPr>
          <w:noProof/>
        </w:rPr>
        <w:t>H</w:t>
      </w:r>
      <w:r w:rsidR="00E5109A" w:rsidRPr="008322AD">
        <w:rPr>
          <w:noProof/>
        </w:rPr>
        <w:t xml:space="preserve">ours - </w:t>
      </w:r>
      <w:r w:rsidR="003F6A4D" w:rsidRPr="008322AD">
        <w:rPr>
          <w:noProof/>
        </w:rPr>
        <w:t>D</w:t>
      </w:r>
      <w:r w:rsidR="00E5109A" w:rsidRPr="008322AD">
        <w:rPr>
          <w:noProof/>
        </w:rPr>
        <w:t xml:space="preserve">irect </w:t>
      </w:r>
      <w:r w:rsidR="003F6A4D" w:rsidRPr="008322AD">
        <w:rPr>
          <w:noProof/>
        </w:rPr>
        <w:t>C</w:t>
      </w:r>
      <w:r w:rsidR="00E5109A" w:rsidRPr="008322AD">
        <w:rPr>
          <w:noProof/>
        </w:rPr>
        <w:t>are</w:t>
      </w:r>
      <w:r w:rsidR="003F6A4D" w:rsidRPr="008322AD">
        <w:rPr>
          <w:noProof/>
        </w:rPr>
        <w:t>’</w:t>
      </w:r>
      <w:r w:rsidR="00435D72" w:rsidRPr="008322AD">
        <w:rPr>
          <w:noProof/>
        </w:rPr>
        <w:t xml:space="preserve">, is </w:t>
      </w:r>
      <w:r w:rsidR="00E5109A" w:rsidRPr="008322AD">
        <w:rPr>
          <w:noProof/>
        </w:rPr>
        <w:t>training and leave hours</w:t>
      </w:r>
      <w:r w:rsidR="00435D72" w:rsidRPr="008322AD">
        <w:rPr>
          <w:noProof/>
        </w:rPr>
        <w:t xml:space="preserve"> included</w:t>
      </w:r>
      <w:r w:rsidR="00E5109A" w:rsidRPr="008322AD">
        <w:rPr>
          <w:noProof/>
        </w:rPr>
        <w:t xml:space="preserve">?  </w:t>
      </w:r>
    </w:p>
    <w:p w14:paraId="3909C80F" w14:textId="77777777" w:rsidR="00E5109A" w:rsidRPr="00515EA9" w:rsidRDefault="00E5109A" w:rsidP="00515EA9">
      <w:pPr>
        <w:rPr>
          <w:lang w:val="en-US"/>
        </w:rPr>
      </w:pPr>
      <w:r w:rsidRPr="00515EA9">
        <w:rPr>
          <w:lang w:val="en-US"/>
        </w:rPr>
        <w:t xml:space="preserve">When supplying the labour worked hours for individual categories, please do not include any leave, worker’s compensation, or training hours. This should be reported under ‘non-worked hours’ for each respective category. </w:t>
      </w:r>
    </w:p>
    <w:p w14:paraId="474CCB7A" w14:textId="43E25D20" w:rsidR="00E5109A" w:rsidRPr="008322AD" w:rsidRDefault="009428A9" w:rsidP="008322AD">
      <w:pPr>
        <w:pStyle w:val="Caption"/>
        <w:rPr>
          <w:noProof/>
        </w:rPr>
      </w:pPr>
      <w:r>
        <w:rPr>
          <w:noProof/>
        </w:rPr>
        <w:fldChar w:fldCharType="begin"/>
      </w:r>
      <w:r>
        <w:rPr>
          <w:noProof/>
        </w:rPr>
        <w:instrText xml:space="preserve"> STYLEREF 1 \s </w:instrText>
      </w:r>
      <w:r>
        <w:rPr>
          <w:noProof/>
        </w:rPr>
        <w:fldChar w:fldCharType="separate"/>
      </w:r>
      <w:r w:rsidR="00250BBC">
        <w:rPr>
          <w:noProof/>
        </w:rPr>
        <w:t>6</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250BBC">
        <w:rPr>
          <w:noProof/>
        </w:rPr>
        <w:t>11</w:t>
      </w:r>
      <w:r>
        <w:rPr>
          <w:noProof/>
        </w:rPr>
        <w:fldChar w:fldCharType="end"/>
      </w:r>
      <w:r w:rsidR="008322AD">
        <w:rPr>
          <w:noProof/>
        </w:rPr>
        <w:t xml:space="preserve"> </w:t>
      </w:r>
      <w:r w:rsidR="00E5109A" w:rsidRPr="008322AD">
        <w:rPr>
          <w:noProof/>
        </w:rPr>
        <w:t>Is worked hours the same as full time equivalent</w:t>
      </w:r>
      <w:r w:rsidR="00435D72" w:rsidRPr="008322AD">
        <w:rPr>
          <w:noProof/>
        </w:rPr>
        <w:t xml:space="preserve"> (FTE)</w:t>
      </w:r>
      <w:r w:rsidR="00E5109A" w:rsidRPr="008322AD">
        <w:rPr>
          <w:noProof/>
        </w:rPr>
        <w:t xml:space="preserve">? </w:t>
      </w:r>
    </w:p>
    <w:p w14:paraId="6826F3F7" w14:textId="2FAE65D9" w:rsidR="00E5109A" w:rsidRPr="00515EA9" w:rsidRDefault="00E5109A" w:rsidP="00515EA9">
      <w:pPr>
        <w:rPr>
          <w:lang w:val="en-US"/>
        </w:rPr>
      </w:pPr>
      <w:r w:rsidRPr="00515EA9">
        <w:rPr>
          <w:lang w:val="en-US"/>
        </w:rPr>
        <w:t>No</w:t>
      </w:r>
      <w:r w:rsidR="00BD4617">
        <w:rPr>
          <w:lang w:val="en-US"/>
        </w:rPr>
        <w:t>. W</w:t>
      </w:r>
      <w:r w:rsidRPr="00515EA9">
        <w:rPr>
          <w:lang w:val="en-US"/>
        </w:rPr>
        <w:t xml:space="preserve">orked hours is different to </w:t>
      </w:r>
      <w:r w:rsidR="00435D72" w:rsidRPr="00515EA9">
        <w:rPr>
          <w:lang w:val="en-US"/>
        </w:rPr>
        <w:t>FTE</w:t>
      </w:r>
      <w:r w:rsidRPr="00515EA9">
        <w:rPr>
          <w:lang w:val="en-US"/>
        </w:rPr>
        <w:t xml:space="preserve">. Worked hours </w:t>
      </w:r>
      <w:r w:rsidR="00B93B9D" w:rsidRPr="00515EA9">
        <w:rPr>
          <w:lang w:val="en-US"/>
        </w:rPr>
        <w:t xml:space="preserve">captures </w:t>
      </w:r>
      <w:r w:rsidRPr="00515EA9">
        <w:rPr>
          <w:lang w:val="en-US"/>
        </w:rPr>
        <w:t>all the hours worked by staff</w:t>
      </w:r>
      <w:r w:rsidR="00007D9A">
        <w:rPr>
          <w:lang w:val="en-US"/>
        </w:rPr>
        <w:t xml:space="preserve"> to deliver care</w:t>
      </w:r>
      <w:r w:rsidR="00EA2D1D" w:rsidRPr="00515EA9">
        <w:rPr>
          <w:lang w:val="en-US"/>
        </w:rPr>
        <w:t>,</w:t>
      </w:r>
      <w:r w:rsidRPr="00515EA9">
        <w:rPr>
          <w:lang w:val="en-US"/>
        </w:rPr>
        <w:t xml:space="preserve"> while FTE is a unit to measure employed persons in a way that makes them comparable. The roster or payroll system should be used to gather hours worked.</w:t>
      </w:r>
    </w:p>
    <w:p w14:paraId="396A331B" w14:textId="53BDC2E6" w:rsidR="00E5109A" w:rsidRPr="00435D72" w:rsidRDefault="009428A9" w:rsidP="00B93B9D">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250BBC">
        <w:rPr>
          <w:rFonts w:eastAsia="Calibri Light"/>
          <w:noProof/>
          <w:lang w:val="en-US"/>
        </w:rPr>
        <w:t>6</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250BBC">
        <w:rPr>
          <w:rFonts w:eastAsia="Calibri Light"/>
          <w:noProof/>
          <w:lang w:val="en-US"/>
        </w:rPr>
        <w:t>12</w:t>
      </w:r>
      <w:r>
        <w:rPr>
          <w:rFonts w:eastAsia="Calibri Light"/>
          <w:noProof/>
          <w:lang w:val="en-US"/>
        </w:rPr>
        <w:fldChar w:fldCharType="end"/>
      </w:r>
      <w:r w:rsidR="00EB4343">
        <w:rPr>
          <w:rFonts w:eastAsia="Calibri Light"/>
          <w:noProof/>
          <w:lang w:val="en-US"/>
        </w:rPr>
        <w:t xml:space="preserve"> If</w:t>
      </w:r>
      <w:r w:rsidR="00AC3CA3">
        <w:rPr>
          <w:rFonts w:eastAsia="Calibri Light"/>
          <w:noProof/>
          <w:lang w:val="en-US"/>
        </w:rPr>
        <w:t xml:space="preserve"> a </w:t>
      </w:r>
      <w:r w:rsidR="00E5109A" w:rsidRPr="00435D72">
        <w:rPr>
          <w:rFonts w:eastAsia="Calibri Light"/>
          <w:noProof/>
          <w:lang w:val="en-US"/>
        </w:rPr>
        <w:t>direct care</w:t>
      </w:r>
      <w:r w:rsidR="00AC3CA3">
        <w:rPr>
          <w:rFonts w:eastAsia="Calibri Light"/>
          <w:noProof/>
          <w:lang w:val="en-US"/>
        </w:rPr>
        <w:t xml:space="preserve"> worker also performs other roles such as </w:t>
      </w:r>
      <w:r w:rsidR="00E5109A" w:rsidRPr="00435D72">
        <w:rPr>
          <w:rFonts w:eastAsia="Calibri Light"/>
          <w:noProof/>
          <w:lang w:val="en-US"/>
        </w:rPr>
        <w:t>catering, laundry, and cleaning</w:t>
      </w:r>
      <w:r w:rsidR="00D04A19">
        <w:rPr>
          <w:rFonts w:eastAsia="Calibri Light"/>
          <w:noProof/>
          <w:lang w:val="en-US"/>
        </w:rPr>
        <w:t>, does a provider need to apportio</w:t>
      </w:r>
      <w:r w:rsidR="00624438">
        <w:rPr>
          <w:rFonts w:eastAsia="Calibri Light"/>
          <w:noProof/>
          <w:lang w:val="en-US"/>
        </w:rPr>
        <w:t>n</w:t>
      </w:r>
      <w:r w:rsidR="00D04A19">
        <w:rPr>
          <w:rFonts w:eastAsia="Calibri Light"/>
          <w:noProof/>
          <w:lang w:val="en-US"/>
        </w:rPr>
        <w:t xml:space="preserve"> the percentage of </w:t>
      </w:r>
      <w:r w:rsidR="00624438">
        <w:rPr>
          <w:rFonts w:eastAsia="Calibri Light"/>
          <w:noProof/>
          <w:lang w:val="en-US"/>
        </w:rPr>
        <w:t xml:space="preserve">direct </w:t>
      </w:r>
      <w:r w:rsidR="00D04A19">
        <w:rPr>
          <w:rFonts w:eastAsia="Calibri Light"/>
          <w:noProof/>
          <w:lang w:val="en-US"/>
        </w:rPr>
        <w:t>care</w:t>
      </w:r>
      <w:r w:rsidR="000D6A0A">
        <w:rPr>
          <w:rFonts w:eastAsia="Calibri Light"/>
          <w:noProof/>
          <w:lang w:val="en-US"/>
        </w:rPr>
        <w:t xml:space="preserve"> hours </w:t>
      </w:r>
      <w:r w:rsidR="00DB6DD7">
        <w:rPr>
          <w:rFonts w:eastAsia="Calibri Light"/>
          <w:noProof/>
          <w:lang w:val="en-US"/>
        </w:rPr>
        <w:t>worked for the</w:t>
      </w:r>
      <w:r w:rsidR="000D6A0A">
        <w:rPr>
          <w:rFonts w:eastAsia="Calibri Light"/>
          <w:noProof/>
          <w:lang w:val="en-US"/>
        </w:rPr>
        <w:t xml:space="preserve"> ‘Care hours’ reporting</w:t>
      </w:r>
      <w:r w:rsidR="00DB6DD7">
        <w:rPr>
          <w:rFonts w:eastAsia="Calibri Light"/>
          <w:noProof/>
          <w:lang w:val="en-US"/>
        </w:rPr>
        <w:t>?</w:t>
      </w:r>
    </w:p>
    <w:p w14:paraId="7B754C4B" w14:textId="2089C150" w:rsidR="00E5109A" w:rsidRPr="007129E8" w:rsidRDefault="00E5109A" w:rsidP="007129E8">
      <w:pPr>
        <w:rPr>
          <w:rFonts w:eastAsia="Arial" w:cs="Arial"/>
          <w:b/>
          <w:bCs/>
          <w:color w:val="0070C0"/>
          <w:sz w:val="20"/>
          <w:szCs w:val="20"/>
        </w:rPr>
      </w:pPr>
      <w:r w:rsidRPr="00515EA9">
        <w:rPr>
          <w:lang w:val="en-US"/>
        </w:rPr>
        <w:t xml:space="preserve">Costs </w:t>
      </w:r>
      <w:r w:rsidR="004F2162" w:rsidRPr="00515EA9">
        <w:rPr>
          <w:lang w:val="en-US"/>
        </w:rPr>
        <w:t xml:space="preserve">and hours </w:t>
      </w:r>
      <w:r w:rsidR="006E715F">
        <w:rPr>
          <w:lang w:val="en-US"/>
        </w:rPr>
        <w:t>should</w:t>
      </w:r>
      <w:r w:rsidRPr="00515EA9">
        <w:rPr>
          <w:lang w:val="en-US"/>
        </w:rPr>
        <w:t xml:space="preserve"> be separated by using the proportion of time spent by the employee for each task.                   </w:t>
      </w:r>
    </w:p>
    <w:p w14:paraId="5DFCC9C9" w14:textId="56C60DA7" w:rsidR="00E5109A" w:rsidRPr="00DB6DD7" w:rsidRDefault="009428A9" w:rsidP="00DB6DD7">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250BBC">
        <w:rPr>
          <w:rFonts w:eastAsia="Calibri Light"/>
          <w:noProof/>
          <w:lang w:val="en-US"/>
        </w:rPr>
        <w:t>6</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250BBC">
        <w:rPr>
          <w:rFonts w:eastAsia="Calibri Light"/>
          <w:noProof/>
          <w:lang w:val="en-US"/>
        </w:rPr>
        <w:t>13</w:t>
      </w:r>
      <w:r>
        <w:rPr>
          <w:rFonts w:eastAsia="Calibri Light"/>
          <w:noProof/>
          <w:lang w:val="en-US"/>
        </w:rPr>
        <w:fldChar w:fldCharType="end"/>
      </w:r>
      <w:r w:rsidR="00DB6DD7">
        <w:rPr>
          <w:rFonts w:eastAsia="Calibri Light"/>
          <w:noProof/>
          <w:lang w:val="en-US"/>
        </w:rPr>
        <w:t xml:space="preserve"> </w:t>
      </w:r>
      <w:r w:rsidR="00E5109A" w:rsidRPr="00DB6DD7">
        <w:rPr>
          <w:rFonts w:eastAsia="Calibri Light"/>
          <w:noProof/>
          <w:lang w:val="en-US"/>
        </w:rPr>
        <w:t>What is the difference between non-face-to-face care and virtual telehealth or on-call support?</w:t>
      </w:r>
    </w:p>
    <w:p w14:paraId="45D61DA1" w14:textId="77777777" w:rsidR="00E5109A" w:rsidRDefault="00E5109A" w:rsidP="00E53081">
      <w:r w:rsidRPr="1400AD53">
        <w:t>Non-face-to-face direct care may include, for example, writing up care plans or organising a referral for an allied health service, attending multidisciplinary team meetings in relation to resident care. To count as care minutes this must be conducted on-site (i.e., working within the aged care service).</w:t>
      </w:r>
    </w:p>
    <w:p w14:paraId="7F07AC3F" w14:textId="77777777" w:rsidR="00E5109A" w:rsidRDefault="00E5109A" w:rsidP="00E53081">
      <w:r w:rsidRPr="1400AD53">
        <w:t>However, virtual telehealth/on-call care would include support by video/phone conference from someone (usually a nurse, allied health or medical practitioner) who is not on-site.</w:t>
      </w:r>
    </w:p>
    <w:p w14:paraId="3CA4E5CA" w14:textId="2D6C2F80" w:rsidR="00350B76" w:rsidRPr="00350B76" w:rsidRDefault="001D3FA3" w:rsidP="00350B76">
      <w:pPr>
        <w:pStyle w:val="Caption"/>
        <w:rPr>
          <w:rFonts w:eastAsia="Calibri Light"/>
          <w:noProof/>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250BBC">
        <w:rPr>
          <w:rFonts w:eastAsia="Calibri Light"/>
          <w:noProof/>
          <w:lang w:val="en-US"/>
        </w:rPr>
        <w:t>6</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250BBC">
        <w:rPr>
          <w:rFonts w:eastAsia="Calibri Light"/>
          <w:noProof/>
          <w:lang w:val="en-US"/>
        </w:rPr>
        <w:t>14</w:t>
      </w:r>
      <w:r>
        <w:rPr>
          <w:rFonts w:eastAsia="Calibri Light"/>
          <w:noProof/>
          <w:lang w:val="en-US"/>
        </w:rPr>
        <w:fldChar w:fldCharType="end"/>
      </w:r>
      <w:r>
        <w:rPr>
          <w:rFonts w:eastAsia="Calibri Light"/>
          <w:noProof/>
          <w:lang w:val="en-US"/>
        </w:rPr>
        <w:t xml:space="preserve"> </w:t>
      </w:r>
      <w:r w:rsidR="00350B76" w:rsidRPr="00350B76">
        <w:rPr>
          <w:rFonts w:eastAsia="Calibri Light"/>
          <w:noProof/>
        </w:rPr>
        <w:t xml:space="preserve">Should labour hours worked - direct care include </w:t>
      </w:r>
      <w:r w:rsidR="00E82E97">
        <w:rPr>
          <w:rFonts w:eastAsia="Calibri Light"/>
          <w:noProof/>
        </w:rPr>
        <w:t>outbreak</w:t>
      </w:r>
      <w:r w:rsidR="00350B76" w:rsidRPr="00350B76">
        <w:rPr>
          <w:rFonts w:eastAsia="Calibri Light"/>
          <w:noProof/>
        </w:rPr>
        <w:t xml:space="preserve"> staff hours?  </w:t>
      </w:r>
    </w:p>
    <w:p w14:paraId="1D10450F" w14:textId="03336E8B" w:rsidR="00350B76" w:rsidRPr="00350B76" w:rsidRDefault="00350B76" w:rsidP="00350B76">
      <w:pPr>
        <w:pStyle w:val="Caption"/>
        <w:rPr>
          <w:rFonts w:eastAsia="Calibri Light"/>
          <w:b w:val="0"/>
          <w:bCs w:val="0"/>
          <w:noProof/>
        </w:rPr>
      </w:pPr>
      <w:r w:rsidRPr="00350B76">
        <w:rPr>
          <w:rFonts w:eastAsia="Calibri Light"/>
          <w:b w:val="0"/>
          <w:bCs w:val="0"/>
          <w:noProof/>
        </w:rPr>
        <w:t xml:space="preserve">Yes. Direct care hours should include all hours worked providing direct care, including where extra staff are brought in to support the operations of the home during </w:t>
      </w:r>
      <w:r w:rsidR="006E6DD4">
        <w:rPr>
          <w:rFonts w:eastAsia="Calibri Light"/>
          <w:b w:val="0"/>
          <w:bCs w:val="0"/>
          <w:noProof/>
        </w:rPr>
        <w:t>an</w:t>
      </w:r>
      <w:r w:rsidRPr="00350B76">
        <w:rPr>
          <w:rFonts w:eastAsia="Calibri Light"/>
          <w:b w:val="0"/>
          <w:bCs w:val="0"/>
          <w:noProof/>
        </w:rPr>
        <w:t xml:space="preserve"> outbreak. </w:t>
      </w:r>
      <w:r w:rsidR="006E6DD4">
        <w:rPr>
          <w:rFonts w:eastAsia="Calibri Light"/>
          <w:b w:val="0"/>
          <w:bCs w:val="0"/>
          <w:noProof/>
        </w:rPr>
        <w:t xml:space="preserve">From </w:t>
      </w:r>
      <w:r w:rsidRPr="00350B76">
        <w:rPr>
          <w:rFonts w:eastAsia="Calibri Light"/>
          <w:b w:val="0"/>
          <w:bCs w:val="0"/>
          <w:noProof/>
        </w:rPr>
        <w:t xml:space="preserve">2024-25 onwards the labour costs of extra </w:t>
      </w:r>
      <w:r w:rsidR="006E6DD4">
        <w:rPr>
          <w:rFonts w:eastAsia="Calibri Light"/>
          <w:b w:val="0"/>
          <w:bCs w:val="0"/>
          <w:noProof/>
        </w:rPr>
        <w:t xml:space="preserve">outbreak </w:t>
      </w:r>
      <w:r w:rsidRPr="00350B76">
        <w:rPr>
          <w:rFonts w:eastAsia="Calibri Light"/>
          <w:b w:val="0"/>
          <w:bCs w:val="0"/>
          <w:noProof/>
        </w:rPr>
        <w:t xml:space="preserve"> staff should be reported in their relevant labour </w:t>
      </w:r>
      <w:r w:rsidR="006E6DD4">
        <w:rPr>
          <w:rFonts w:eastAsia="Calibri Light"/>
          <w:b w:val="0"/>
          <w:bCs w:val="0"/>
          <w:noProof/>
        </w:rPr>
        <w:t>expenses</w:t>
      </w:r>
      <w:r w:rsidR="006E6DD4" w:rsidRPr="00350B76">
        <w:rPr>
          <w:rFonts w:eastAsia="Calibri Light"/>
          <w:b w:val="0"/>
          <w:bCs w:val="0"/>
          <w:noProof/>
        </w:rPr>
        <w:t xml:space="preserve"> </w:t>
      </w:r>
      <w:r w:rsidRPr="00350B76">
        <w:rPr>
          <w:rFonts w:eastAsia="Calibri Light"/>
          <w:b w:val="0"/>
          <w:bCs w:val="0"/>
          <w:noProof/>
        </w:rPr>
        <w:t>– direct care category.</w:t>
      </w:r>
    </w:p>
    <w:p w14:paraId="6B601300" w14:textId="60EFF8EB" w:rsidR="001A2AA0" w:rsidRPr="005758E4" w:rsidRDefault="001A2AA0" w:rsidP="005758E4">
      <w:pPr>
        <w:pStyle w:val="Heading3"/>
        <w:spacing w:before="240" w:after="240"/>
        <w:ind w:left="0" w:firstLine="0"/>
        <w:rPr>
          <w:color w:val="1F848B" w:themeColor="accent1" w:themeShade="BF"/>
          <w:sz w:val="28"/>
          <w:lang w:val="en-US"/>
        </w:rPr>
      </w:pPr>
      <w:r w:rsidRPr="005758E4">
        <w:rPr>
          <w:color w:val="1F848B" w:themeColor="accent1" w:themeShade="BF"/>
          <w:sz w:val="28"/>
          <w:lang w:val="en-US"/>
        </w:rPr>
        <w:lastRenderedPageBreak/>
        <w:t>Bed days</w:t>
      </w:r>
      <w:r w:rsidR="00A06E02" w:rsidRPr="005758E4">
        <w:rPr>
          <w:color w:val="1F848B" w:themeColor="accent1" w:themeShade="BF"/>
          <w:sz w:val="28"/>
          <w:lang w:val="en-US"/>
        </w:rPr>
        <w:t xml:space="preserve"> </w:t>
      </w:r>
    </w:p>
    <w:p w14:paraId="5FC5E973" w14:textId="2053490C" w:rsidR="001A2AA0" w:rsidRPr="00580231" w:rsidRDefault="009428A9" w:rsidP="00E53081">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250BBC">
        <w:rPr>
          <w:rFonts w:eastAsia="Calibri Light"/>
          <w:noProof/>
          <w:lang w:val="en-US"/>
        </w:rPr>
        <w:t>6</w:t>
      </w:r>
      <w:r>
        <w:rPr>
          <w:rFonts w:eastAsia="Calibri Light"/>
          <w:noProof/>
          <w:lang w:val="en-US"/>
        </w:rPr>
        <w:fldChar w:fldCharType="end"/>
      </w:r>
      <w:r>
        <w:rPr>
          <w:rFonts w:eastAsia="Calibri Light"/>
          <w:noProof/>
          <w:lang w:val="en-US"/>
        </w:rPr>
        <w:t>.</w:t>
      </w:r>
      <w:r w:rsidR="00350B76">
        <w:rPr>
          <w:rFonts w:eastAsia="Calibri Light"/>
          <w:noProof/>
          <w:lang w:val="en-US"/>
        </w:rPr>
        <w:fldChar w:fldCharType="begin"/>
      </w:r>
      <w:r w:rsidR="00350B76">
        <w:rPr>
          <w:rFonts w:eastAsia="Calibri Light"/>
          <w:noProof/>
          <w:lang w:val="en-US"/>
        </w:rPr>
        <w:instrText xml:space="preserve"> SEQ Figure \* ARABIC \s 1 </w:instrText>
      </w:r>
      <w:r w:rsidR="00350B76">
        <w:rPr>
          <w:rFonts w:eastAsia="Calibri Light"/>
          <w:noProof/>
          <w:lang w:val="en-US"/>
        </w:rPr>
        <w:fldChar w:fldCharType="separate"/>
      </w:r>
      <w:r w:rsidR="00250BBC">
        <w:rPr>
          <w:rFonts w:eastAsia="Calibri Light"/>
          <w:noProof/>
          <w:lang w:val="en-US"/>
        </w:rPr>
        <w:t>15</w:t>
      </w:r>
      <w:r w:rsidR="00350B76">
        <w:rPr>
          <w:rFonts w:eastAsia="Calibri Light"/>
          <w:noProof/>
          <w:lang w:val="en-US"/>
        </w:rPr>
        <w:fldChar w:fldCharType="end"/>
      </w:r>
      <w:r w:rsidR="00350B76" w:rsidRPr="00580231">
        <w:rPr>
          <w:rFonts w:eastAsia="Calibri Light"/>
          <w:noProof/>
          <w:lang w:val="en-US"/>
        </w:rPr>
        <w:t xml:space="preserve"> </w:t>
      </w:r>
      <w:r w:rsidR="001A2AA0" w:rsidRPr="001A2AA0">
        <w:rPr>
          <w:rFonts w:eastAsia="Calibri Light"/>
          <w:noProof/>
          <w:lang w:val="en-US"/>
        </w:rPr>
        <w:t xml:space="preserve">The number of approved beds for my facility has decreased during the year. </w:t>
      </w:r>
      <w:r w:rsidR="00A97171">
        <w:rPr>
          <w:rFonts w:eastAsia="Calibri Light"/>
          <w:noProof/>
          <w:lang w:val="en-US"/>
        </w:rPr>
        <w:t>How should ‘Avaliable Bed Days’</w:t>
      </w:r>
      <w:r w:rsidR="001A2AA0" w:rsidRPr="001A2AA0">
        <w:rPr>
          <w:rFonts w:eastAsia="Calibri Light"/>
          <w:noProof/>
          <w:lang w:val="en-US"/>
        </w:rPr>
        <w:t xml:space="preserve"> be </w:t>
      </w:r>
      <w:r w:rsidR="00660B25">
        <w:rPr>
          <w:rFonts w:eastAsia="Calibri Light"/>
          <w:noProof/>
          <w:lang w:val="en-US"/>
        </w:rPr>
        <w:t>calculated</w:t>
      </w:r>
      <w:r w:rsidR="001A2AA0" w:rsidRPr="001A2AA0">
        <w:rPr>
          <w:rFonts w:eastAsia="Calibri Light"/>
          <w:noProof/>
          <w:lang w:val="en-US"/>
        </w:rPr>
        <w:t xml:space="preserve"> in the report? </w:t>
      </w:r>
    </w:p>
    <w:p w14:paraId="37BAC624" w14:textId="77777777" w:rsidR="00FE1EA2" w:rsidRDefault="001A2AA0" w:rsidP="00BD4617">
      <w:pPr>
        <w:rPr>
          <w:b/>
          <w:bCs/>
        </w:rPr>
      </w:pPr>
      <w:r w:rsidRPr="00FE1EA2">
        <w:t xml:space="preserve">The available bed days represents the number of days beds that were physically available to be occupied. It is not the number of beds. </w:t>
      </w:r>
    </w:p>
    <w:p w14:paraId="4699C3C2" w14:textId="05FC3646" w:rsidR="001A2AA0" w:rsidRPr="00FE1EA2" w:rsidRDefault="001A2AA0" w:rsidP="00BD4617">
      <w:pPr>
        <w:rPr>
          <w:b/>
          <w:bCs/>
        </w:rPr>
      </w:pPr>
      <w:r w:rsidRPr="00FE1EA2">
        <w:t>For example, if there were 100 beds physically available for 11 months (334 days), and only 90 beds available in the last month (31 days), the calculation would be = 100 beds * 334 days + 90 beds * 31 days = 36,190 available bed days.</w:t>
      </w:r>
    </w:p>
    <w:p w14:paraId="13F7C14C" w14:textId="2C58A5BF" w:rsidR="001A2AA0" w:rsidRPr="00FE1EA2" w:rsidRDefault="009428A9" w:rsidP="00BD4617">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250BBC">
        <w:rPr>
          <w:rFonts w:eastAsia="Calibri Light"/>
          <w:noProof/>
          <w:lang w:val="en-US"/>
        </w:rPr>
        <w:t>6</w:t>
      </w:r>
      <w:r>
        <w:rPr>
          <w:rFonts w:eastAsia="Calibri Light"/>
          <w:noProof/>
          <w:lang w:val="en-US"/>
        </w:rPr>
        <w:fldChar w:fldCharType="end"/>
      </w:r>
      <w:r>
        <w:rPr>
          <w:rFonts w:eastAsia="Calibri Light"/>
          <w:noProof/>
          <w:lang w:val="en-US"/>
        </w:rPr>
        <w:t>.</w:t>
      </w:r>
      <w:r w:rsidR="00350B76">
        <w:rPr>
          <w:rFonts w:eastAsia="Calibri Light"/>
          <w:noProof/>
          <w:lang w:val="en-US"/>
        </w:rPr>
        <w:fldChar w:fldCharType="begin"/>
      </w:r>
      <w:r w:rsidR="00350B76">
        <w:rPr>
          <w:rFonts w:eastAsia="Calibri Light"/>
          <w:noProof/>
          <w:lang w:val="en-US"/>
        </w:rPr>
        <w:instrText xml:space="preserve"> SEQ Figure \* ARABIC \s 1 </w:instrText>
      </w:r>
      <w:r w:rsidR="00350B76">
        <w:rPr>
          <w:rFonts w:eastAsia="Calibri Light"/>
          <w:noProof/>
          <w:lang w:val="en-US"/>
        </w:rPr>
        <w:fldChar w:fldCharType="separate"/>
      </w:r>
      <w:r w:rsidR="00250BBC">
        <w:rPr>
          <w:rFonts w:eastAsia="Calibri Light"/>
          <w:noProof/>
          <w:lang w:val="en-US"/>
        </w:rPr>
        <w:t>16</w:t>
      </w:r>
      <w:r w:rsidR="00350B76">
        <w:rPr>
          <w:rFonts w:eastAsia="Calibri Light"/>
          <w:noProof/>
          <w:lang w:val="en-US"/>
        </w:rPr>
        <w:fldChar w:fldCharType="end"/>
      </w:r>
      <w:r w:rsidR="00350B76" w:rsidRPr="00580231">
        <w:rPr>
          <w:rFonts w:eastAsia="Calibri Light"/>
          <w:noProof/>
          <w:lang w:val="en-US"/>
        </w:rPr>
        <w:t xml:space="preserve"> </w:t>
      </w:r>
      <w:r w:rsidR="001A2AA0" w:rsidRPr="00FE1EA2">
        <w:rPr>
          <w:rFonts w:eastAsia="Calibri Light"/>
          <w:noProof/>
          <w:lang w:val="en-US"/>
        </w:rPr>
        <w:t>If a resident departs at 10am on a certain day, is the bed considered an occupied bed day?</w:t>
      </w:r>
    </w:p>
    <w:p w14:paraId="22BF2F97" w14:textId="77777777" w:rsidR="001A2AA0" w:rsidRPr="00FE1EA2" w:rsidRDefault="001A2AA0" w:rsidP="001A2AA0">
      <w:pPr>
        <w:rPr>
          <w:rFonts w:cs="Arial"/>
        </w:rPr>
      </w:pPr>
      <w:r w:rsidRPr="00FE1EA2">
        <w:rPr>
          <w:rFonts w:cs="Arial"/>
        </w:rPr>
        <w:t>Each monthly payment statement lists the number of total full bed days that subsidies have been paid to the facility, please use these total full bed day numbers to tally up the number of occupied bed days for the financial year.</w:t>
      </w:r>
    </w:p>
    <w:p w14:paraId="0D791858" w14:textId="7EC0ADAA" w:rsidR="00E5109A" w:rsidRDefault="009428A9" w:rsidP="000108C8">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250BBC">
        <w:rPr>
          <w:rFonts w:eastAsia="Calibri Light"/>
          <w:noProof/>
          <w:lang w:val="en-US"/>
        </w:rPr>
        <w:t>6</w:t>
      </w:r>
      <w:r>
        <w:rPr>
          <w:rFonts w:eastAsia="Calibri Light"/>
          <w:noProof/>
          <w:lang w:val="en-US"/>
        </w:rPr>
        <w:fldChar w:fldCharType="end"/>
      </w:r>
      <w:r>
        <w:rPr>
          <w:rFonts w:eastAsia="Calibri Light"/>
          <w:noProof/>
          <w:lang w:val="en-US"/>
        </w:rPr>
        <w:t>.</w:t>
      </w:r>
      <w:r w:rsidR="00350B76">
        <w:rPr>
          <w:rFonts w:eastAsia="Calibri Light"/>
          <w:noProof/>
          <w:lang w:val="en-US"/>
        </w:rPr>
        <w:t>17</w:t>
      </w:r>
      <w:r w:rsidR="000108C8">
        <w:rPr>
          <w:rFonts w:eastAsia="Calibri Light"/>
          <w:noProof/>
          <w:lang w:val="en-US"/>
        </w:rPr>
        <w:t xml:space="preserve"> </w:t>
      </w:r>
      <w:r w:rsidR="000108C8" w:rsidRPr="000108C8">
        <w:rPr>
          <w:rFonts w:eastAsia="Calibri Light"/>
          <w:noProof/>
          <w:lang w:val="en-US"/>
        </w:rPr>
        <w:t xml:space="preserve">Is social leave over </w:t>
      </w:r>
      <w:r w:rsidR="0092362F">
        <w:rPr>
          <w:rFonts w:eastAsia="Calibri Light"/>
          <w:noProof/>
          <w:lang w:val="en-US"/>
        </w:rPr>
        <w:t>29</w:t>
      </w:r>
      <w:r w:rsidR="000108C8" w:rsidRPr="000108C8">
        <w:rPr>
          <w:rFonts w:eastAsia="Calibri Light"/>
          <w:noProof/>
          <w:lang w:val="en-US"/>
        </w:rPr>
        <w:t xml:space="preserve"> days in a year included in the occupancy for the ACFR?</w:t>
      </w:r>
    </w:p>
    <w:p w14:paraId="468C516E" w14:textId="662FB16E" w:rsidR="000B6341" w:rsidRDefault="00543849" w:rsidP="00297B22">
      <w:pPr>
        <w:rPr>
          <w:lang w:val="en-US"/>
        </w:rPr>
      </w:pPr>
      <w:r>
        <w:rPr>
          <w:lang w:val="en-US"/>
        </w:rPr>
        <w:t xml:space="preserve">Yes. </w:t>
      </w:r>
      <w:r w:rsidR="00297B22" w:rsidRPr="00297B22">
        <w:rPr>
          <w:lang w:val="en-US"/>
        </w:rPr>
        <w:t xml:space="preserve">Residents are entitled to </w:t>
      </w:r>
      <w:r w:rsidR="000B6341">
        <w:rPr>
          <w:lang w:val="en-US"/>
        </w:rPr>
        <w:t>52</w:t>
      </w:r>
      <w:r w:rsidR="00297B22" w:rsidRPr="00297B22">
        <w:rPr>
          <w:lang w:val="en-US"/>
        </w:rPr>
        <w:t xml:space="preserve"> days of social leave in a financial year, and this is included in the occupied bed days. </w:t>
      </w:r>
      <w:r w:rsidR="00174EE1" w:rsidRPr="00297B22">
        <w:rPr>
          <w:lang w:val="en-US"/>
        </w:rPr>
        <w:t>Residents can also take extra social leave. However, the Government will not pay the subsidy</w:t>
      </w:r>
      <w:r w:rsidR="00174EE1">
        <w:rPr>
          <w:lang w:val="en-US"/>
        </w:rPr>
        <w:t>. T</w:t>
      </w:r>
      <w:r w:rsidR="00174EE1" w:rsidRPr="00297B22">
        <w:rPr>
          <w:lang w:val="en-US"/>
        </w:rPr>
        <w:t xml:space="preserve">he extra social leave over </w:t>
      </w:r>
      <w:r w:rsidR="00174EE1">
        <w:rPr>
          <w:lang w:val="en-US"/>
        </w:rPr>
        <w:t>52</w:t>
      </w:r>
      <w:r w:rsidR="00174EE1" w:rsidRPr="00297B22">
        <w:rPr>
          <w:lang w:val="en-US"/>
        </w:rPr>
        <w:t xml:space="preserve"> days </w:t>
      </w:r>
      <w:r w:rsidR="00174EE1">
        <w:rPr>
          <w:lang w:val="en-US"/>
        </w:rPr>
        <w:t xml:space="preserve">should not </w:t>
      </w:r>
      <w:r w:rsidR="00174EE1" w:rsidRPr="00297B22">
        <w:rPr>
          <w:lang w:val="en-US"/>
        </w:rPr>
        <w:t>be included in occupied bed days in the ACFR.</w:t>
      </w:r>
      <w:r w:rsidR="00174EE1">
        <w:rPr>
          <w:lang w:val="en-US"/>
        </w:rPr>
        <w:t xml:space="preserve"> </w:t>
      </w:r>
    </w:p>
    <w:p w14:paraId="6130C562" w14:textId="27111905" w:rsidR="00283DF1" w:rsidRDefault="00283DF1">
      <w:pPr>
        <w:rPr>
          <w:lang w:val="en-US"/>
        </w:rPr>
      </w:pPr>
      <w:r>
        <w:rPr>
          <w:lang w:val="en-US"/>
        </w:rPr>
        <w:br w:type="page"/>
      </w:r>
    </w:p>
    <w:p w14:paraId="402C14AF" w14:textId="54C737C1" w:rsidR="00A84031" w:rsidRDefault="00A84031" w:rsidP="00B45FFD">
      <w:pPr>
        <w:pStyle w:val="Heading1"/>
        <w:numPr>
          <w:ilvl w:val="0"/>
          <w:numId w:val="38"/>
        </w:numPr>
        <w:tabs>
          <w:tab w:val="left" w:pos="709"/>
        </w:tabs>
        <w:rPr>
          <w:rFonts w:eastAsia="Calibri Light"/>
        </w:rPr>
      </w:pPr>
      <w:bookmarkStart w:id="23" w:name="_Toc184198009"/>
      <w:bookmarkStart w:id="24" w:name="_Toc192694877"/>
      <w:r>
        <w:rPr>
          <w:rFonts w:eastAsia="Calibri Light"/>
        </w:rPr>
        <w:lastRenderedPageBreak/>
        <w:t>Short-Term Restorative Care Financials</w:t>
      </w:r>
      <w:bookmarkEnd w:id="23"/>
      <w:bookmarkEnd w:id="24"/>
    </w:p>
    <w:p w14:paraId="3331DBD7" w14:textId="77777777" w:rsidR="004A01AB" w:rsidRPr="006750FB" w:rsidRDefault="004A01AB" w:rsidP="00FC4D24">
      <w:pPr>
        <w:rPr>
          <w:b/>
          <w:bCs/>
        </w:rPr>
      </w:pPr>
      <w:r w:rsidRPr="006750FB">
        <w:t xml:space="preserve">Short-Term Restorative Care (STRC) is a type of flexible care under the Aged Care Act 1997 that aims to reverse and/or slow ‘functional decline’ in older people and improve their wellbeing. STRC places were first allocated in February 2017. </w:t>
      </w:r>
    </w:p>
    <w:p w14:paraId="1ACB87EC" w14:textId="77777777" w:rsidR="004A01AB" w:rsidRPr="006750FB" w:rsidRDefault="004A01AB" w:rsidP="00FC4D24">
      <w:pPr>
        <w:rPr>
          <w:b/>
          <w:bCs/>
        </w:rPr>
      </w:pPr>
      <w:r w:rsidRPr="006750FB">
        <w:t xml:space="preserve">All STRC places were allocated with conditions of allocation requiring the submission of financial reports. This requirement is reflected in Section 35(8) of the Accountability Principles 2014. The ACFR is the approved form through which these obligations are to be met. </w:t>
      </w:r>
    </w:p>
    <w:p w14:paraId="0D2A20C9" w14:textId="77777777" w:rsidR="004A01AB" w:rsidRPr="006750FB" w:rsidRDefault="004A01AB" w:rsidP="00FC4D24">
      <w:pPr>
        <w:rPr>
          <w:b/>
          <w:bCs/>
        </w:rPr>
      </w:pPr>
      <w:r w:rsidRPr="006750FB">
        <w:t>STRC providers are</w:t>
      </w:r>
      <w:r w:rsidRPr="006750FB" w:rsidDel="000500BB">
        <w:t xml:space="preserve"> </w:t>
      </w:r>
      <w:r w:rsidRPr="006750FB">
        <w:t>required to complete all line items. If a provider operates two or more STRC services, their ACFR must cover all services in a single report.</w:t>
      </w:r>
    </w:p>
    <w:p w14:paraId="24386D67" w14:textId="18D90A04" w:rsidR="004A01AB" w:rsidRDefault="004A01AB" w:rsidP="00FC4D24">
      <w:pPr>
        <w:rPr>
          <w:b/>
          <w:bCs/>
        </w:rPr>
      </w:pPr>
      <w:r w:rsidRPr="006750FB">
        <w:t xml:space="preserve">Please refer to the data definitions </w:t>
      </w:r>
      <w:r w:rsidR="006750FB">
        <w:t xml:space="preserve">in the </w:t>
      </w:r>
      <w:hyperlink r:id="rId32" w:history="1">
        <w:r w:rsidR="006750FB" w:rsidRPr="00FE609F">
          <w:rPr>
            <w:rStyle w:val="Hyperlink"/>
          </w:rPr>
          <w:t>departments website</w:t>
        </w:r>
      </w:hyperlink>
      <w:r w:rsidR="006750FB">
        <w:t xml:space="preserve"> </w:t>
      </w:r>
      <w:r w:rsidRPr="006750FB">
        <w:t>before completing the STRC section of the ACFR.</w:t>
      </w:r>
    </w:p>
    <w:p w14:paraId="373CCA28" w14:textId="2B884C98" w:rsidR="00C27E77" w:rsidRPr="00C27E77" w:rsidRDefault="00C27E77" w:rsidP="00C27E77"/>
    <w:p w14:paraId="684827F5" w14:textId="5961F320" w:rsidR="00FE609F" w:rsidRDefault="00FE609F">
      <w:pPr>
        <w:rPr>
          <w:rFonts w:eastAsia="Calibri Light"/>
        </w:rPr>
      </w:pPr>
      <w:r>
        <w:rPr>
          <w:rFonts w:eastAsia="Calibri Light"/>
        </w:rPr>
        <w:br w:type="page"/>
      </w:r>
    </w:p>
    <w:p w14:paraId="2159BA33" w14:textId="1C23CE1C" w:rsidR="00A84031" w:rsidRDefault="00EF6671" w:rsidP="00B45FFD">
      <w:pPr>
        <w:pStyle w:val="Heading1"/>
        <w:numPr>
          <w:ilvl w:val="0"/>
          <w:numId w:val="38"/>
        </w:numPr>
        <w:tabs>
          <w:tab w:val="left" w:pos="709"/>
        </w:tabs>
        <w:rPr>
          <w:rFonts w:eastAsia="Calibri Light"/>
        </w:rPr>
      </w:pPr>
      <w:bookmarkStart w:id="25" w:name="_Toc184198010"/>
      <w:bookmarkStart w:id="26" w:name="_Toc192694878"/>
      <w:r>
        <w:rPr>
          <w:rFonts w:eastAsia="Calibri Light"/>
        </w:rPr>
        <w:lastRenderedPageBreak/>
        <w:t>Home Care Financials</w:t>
      </w:r>
      <w:bookmarkEnd w:id="25"/>
      <w:bookmarkEnd w:id="26"/>
    </w:p>
    <w:p w14:paraId="231065AE" w14:textId="2F3A2FB4" w:rsidR="00D3210E" w:rsidRPr="0073729C" w:rsidRDefault="00D3210E" w:rsidP="00E91F8B">
      <w:pPr>
        <w:rPr>
          <w:lang w:val="en-US"/>
        </w:rPr>
      </w:pPr>
      <w:r w:rsidRPr="0073729C">
        <w:rPr>
          <w:lang w:val="en-US"/>
        </w:rPr>
        <w:t xml:space="preserve">The </w:t>
      </w:r>
      <w:r w:rsidR="00E051DB" w:rsidRPr="0073729C">
        <w:rPr>
          <w:lang w:val="en-US"/>
        </w:rPr>
        <w:t>H</w:t>
      </w:r>
      <w:r w:rsidR="005F2C3A" w:rsidRPr="0073729C">
        <w:rPr>
          <w:lang w:val="en-US"/>
        </w:rPr>
        <w:t xml:space="preserve">ome </w:t>
      </w:r>
      <w:r w:rsidR="00E051DB" w:rsidRPr="0073729C">
        <w:rPr>
          <w:lang w:val="en-US"/>
        </w:rPr>
        <w:t>C</w:t>
      </w:r>
      <w:r w:rsidR="005F2C3A" w:rsidRPr="0073729C">
        <w:rPr>
          <w:lang w:val="en-US"/>
        </w:rPr>
        <w:t xml:space="preserve">are </w:t>
      </w:r>
      <w:r w:rsidR="00E051DB" w:rsidRPr="0073729C">
        <w:rPr>
          <w:lang w:val="en-US"/>
        </w:rPr>
        <w:t xml:space="preserve">Package (HCP) Income and </w:t>
      </w:r>
      <w:r w:rsidR="0073729C" w:rsidRPr="0073729C">
        <w:rPr>
          <w:lang w:val="en-US"/>
        </w:rPr>
        <w:t>Expenditure Statement</w:t>
      </w:r>
      <w:r w:rsidR="005F2C3A" w:rsidRPr="0073729C">
        <w:rPr>
          <w:lang w:val="en-US"/>
        </w:rPr>
        <w:t xml:space="preserve"> section</w:t>
      </w:r>
      <w:r w:rsidRPr="0073729C">
        <w:rPr>
          <w:lang w:val="en-US"/>
        </w:rPr>
        <w:t xml:space="preserve"> is to be completed at the planning region level, with a home care service defined as an approved provider’s home care operation within an aged care planning region. While some providers will have their home care Service IDs at the planning region level, others will have their Service IDs at the package level (i.e. Level 2 packages). Where Service IDs are at the package level, providers may be required to aggregate their financial information in order to complete </w:t>
      </w:r>
      <w:r w:rsidR="005F2C3A" w:rsidRPr="0073729C">
        <w:rPr>
          <w:lang w:val="en-US"/>
        </w:rPr>
        <w:t>the ACFR.</w:t>
      </w:r>
      <w:r w:rsidRPr="0073729C">
        <w:rPr>
          <w:lang w:val="en-US"/>
        </w:rPr>
        <w:t xml:space="preserve"> </w:t>
      </w:r>
    </w:p>
    <w:p w14:paraId="47198313" w14:textId="20AA55F4" w:rsidR="00D3210E" w:rsidRPr="0073729C" w:rsidRDefault="00D3210E" w:rsidP="00E91F8B">
      <w:pPr>
        <w:rPr>
          <w:lang w:val="en-US"/>
        </w:rPr>
      </w:pPr>
      <w:r w:rsidRPr="0073729C">
        <w:rPr>
          <w:lang w:val="en-US"/>
        </w:rPr>
        <w:t xml:space="preserve">To assist providers, the </w:t>
      </w:r>
      <w:r w:rsidR="005F2C3A" w:rsidRPr="0073729C">
        <w:rPr>
          <w:lang w:val="en-US"/>
        </w:rPr>
        <w:t>A</w:t>
      </w:r>
      <w:r w:rsidRPr="0073729C">
        <w:rPr>
          <w:lang w:val="en-US"/>
        </w:rPr>
        <w:t xml:space="preserve">CFR will list the Service ID (or IDs) that constitute services included in each planning region for the purposes of completing their report. </w:t>
      </w:r>
    </w:p>
    <w:p w14:paraId="38C658F4" w14:textId="7C42B7EC" w:rsidR="00D3210E" w:rsidRPr="0073729C" w:rsidRDefault="00D3210E" w:rsidP="00E91F8B">
      <w:pPr>
        <w:rPr>
          <w:lang w:val="en-US"/>
        </w:rPr>
      </w:pPr>
      <w:r w:rsidRPr="0073729C">
        <w:rPr>
          <w:lang w:val="en-US"/>
        </w:rPr>
        <w:t xml:space="preserve">Wherever possible expenses should be completed at the planning region level, however in recognition that some expenses may not be allocated to a particular service (i.e. head office costs), the </w:t>
      </w:r>
      <w:r w:rsidR="005F2C3A" w:rsidRPr="0073729C">
        <w:rPr>
          <w:lang w:val="en-US"/>
        </w:rPr>
        <w:t>A</w:t>
      </w:r>
      <w:r w:rsidRPr="0073729C">
        <w:rPr>
          <w:lang w:val="en-US"/>
        </w:rPr>
        <w:t xml:space="preserve">CFR allows for these costs to be recorded in the centrally held or corporate items data section. </w:t>
      </w:r>
    </w:p>
    <w:p w14:paraId="2C4F5572" w14:textId="1EA58932" w:rsidR="00D3210E" w:rsidRPr="0073729C" w:rsidRDefault="00D3210E" w:rsidP="0073729C">
      <w:pPr>
        <w:rPr>
          <w:lang w:val="en-US"/>
        </w:rPr>
      </w:pPr>
      <w:r w:rsidRPr="0073729C">
        <w:rPr>
          <w:lang w:val="en-US"/>
        </w:rPr>
        <w:t xml:space="preserve">Providers should not include financial information from other aged care operations such as residential care or CHSP services or any non-aged care services (e.g. </w:t>
      </w:r>
      <w:r w:rsidR="00F35EE9" w:rsidRPr="0073729C">
        <w:rPr>
          <w:lang w:val="en-US"/>
        </w:rPr>
        <w:t>N</w:t>
      </w:r>
      <w:r w:rsidR="00BE50FC" w:rsidRPr="0073729C">
        <w:rPr>
          <w:lang w:val="en-US"/>
        </w:rPr>
        <w:t>DIS</w:t>
      </w:r>
      <w:r w:rsidRPr="0073729C">
        <w:rPr>
          <w:lang w:val="en-US"/>
        </w:rPr>
        <w:t xml:space="preserve">) within the </w:t>
      </w:r>
      <w:r w:rsidR="005F2C3A" w:rsidRPr="0073729C">
        <w:rPr>
          <w:lang w:val="en-US"/>
        </w:rPr>
        <w:t>A</w:t>
      </w:r>
      <w:r w:rsidRPr="0073729C">
        <w:rPr>
          <w:lang w:val="en-US"/>
        </w:rPr>
        <w:t>CFR.</w:t>
      </w:r>
    </w:p>
    <w:p w14:paraId="7A8DB0DB" w14:textId="16DB74BE" w:rsidR="00D3210E" w:rsidRPr="0073729C" w:rsidRDefault="00D3210E" w:rsidP="0073729C">
      <w:pPr>
        <w:rPr>
          <w:lang w:val="en-US"/>
        </w:rPr>
      </w:pPr>
      <w:r w:rsidRPr="0073729C">
        <w:rPr>
          <w:lang w:val="en-US"/>
        </w:rPr>
        <w:t>Please refer to the data definitions</w:t>
      </w:r>
      <w:r w:rsidR="00480256" w:rsidRPr="0073729C">
        <w:rPr>
          <w:lang w:val="en-US"/>
        </w:rPr>
        <w:t xml:space="preserve"> on the </w:t>
      </w:r>
      <w:hyperlink r:id="rId33" w:history="1">
        <w:r w:rsidR="00480256" w:rsidRPr="0073729C">
          <w:rPr>
            <w:rStyle w:val="Hyperlink"/>
          </w:rPr>
          <w:t xml:space="preserve">department’s </w:t>
        </w:r>
        <w:r w:rsidR="00BE50FC" w:rsidRPr="0073729C">
          <w:rPr>
            <w:rStyle w:val="Hyperlink"/>
          </w:rPr>
          <w:t>website</w:t>
        </w:r>
      </w:hyperlink>
      <w:r w:rsidRPr="0073729C">
        <w:rPr>
          <w:lang w:val="en-US"/>
        </w:rPr>
        <w:t xml:space="preserve"> before completing the home care section of the ACFR.</w:t>
      </w:r>
    </w:p>
    <w:p w14:paraId="28C6B579" w14:textId="77777777" w:rsidR="00D3210E" w:rsidRPr="00A262D7" w:rsidRDefault="00D3210E" w:rsidP="00A262D7">
      <w:pPr>
        <w:pStyle w:val="Heading3"/>
        <w:spacing w:before="240" w:after="240"/>
        <w:ind w:left="0" w:firstLine="0"/>
        <w:rPr>
          <w:color w:val="1F848B" w:themeColor="accent1" w:themeShade="BF"/>
          <w:sz w:val="28"/>
          <w:lang w:val="en-US"/>
        </w:rPr>
      </w:pPr>
      <w:r w:rsidRPr="00A262D7">
        <w:rPr>
          <w:color w:val="1F848B" w:themeColor="accent1" w:themeShade="BF"/>
          <w:sz w:val="28"/>
          <w:lang w:val="en-US"/>
        </w:rPr>
        <w:t xml:space="preserve">Government providers </w:t>
      </w:r>
    </w:p>
    <w:p w14:paraId="6A2CBCCB" w14:textId="72A40E66" w:rsidR="00D3210E" w:rsidRPr="00323F2B" w:rsidRDefault="00D3210E" w:rsidP="0073729C">
      <w:pPr>
        <w:rPr>
          <w:lang w:val="en-US"/>
        </w:rPr>
      </w:pPr>
      <w:r w:rsidRPr="00323F2B">
        <w:rPr>
          <w:lang w:val="en-US"/>
        </w:rPr>
        <w:t>If an organisation is an approved provider of home care and is also</w:t>
      </w:r>
      <w:r w:rsidR="000B536C">
        <w:rPr>
          <w:lang w:val="en-US"/>
        </w:rPr>
        <w:t xml:space="preserve"> </w:t>
      </w:r>
      <w:r w:rsidRPr="00323F2B">
        <w:rPr>
          <w:lang w:val="en-US"/>
        </w:rPr>
        <w:t>a state or territory government, an authority of a state or territory or a local government authority then they are not required to complete the mandatory approved provider line items contained in the ACFR.</w:t>
      </w:r>
    </w:p>
    <w:p w14:paraId="5153AFC8" w14:textId="4DFAC88C" w:rsidR="00D3210E" w:rsidRPr="00323F2B" w:rsidRDefault="00D3210E" w:rsidP="0073729C">
      <w:pPr>
        <w:rPr>
          <w:lang w:val="en-US"/>
        </w:rPr>
      </w:pPr>
      <w:r w:rsidRPr="00323F2B">
        <w:rPr>
          <w:lang w:val="en-US"/>
        </w:rPr>
        <w:t xml:space="preserve">All government home care providers must complete and submit the </w:t>
      </w:r>
      <w:r w:rsidR="00FC4D24">
        <w:rPr>
          <w:lang w:val="en-US"/>
        </w:rPr>
        <w:t xml:space="preserve">home care financial section </w:t>
      </w:r>
      <w:r w:rsidRPr="00323F2B">
        <w:rPr>
          <w:lang w:val="en-US"/>
        </w:rPr>
        <w:t xml:space="preserve">covering all of their home care services. The </w:t>
      </w:r>
      <w:r w:rsidR="0073729C">
        <w:rPr>
          <w:lang w:val="en-US"/>
        </w:rPr>
        <w:t>HCP Income and Expenditure Statement</w:t>
      </w:r>
      <w:r w:rsidRPr="00323F2B">
        <w:rPr>
          <w:lang w:val="en-US"/>
        </w:rPr>
        <w:t xml:space="preserve"> must be in the mandatory ACFR format and include all the line items outlined. </w:t>
      </w:r>
    </w:p>
    <w:p w14:paraId="128B650C" w14:textId="511E39DC" w:rsidR="00D3210E" w:rsidRPr="00A262D7" w:rsidRDefault="004970A8" w:rsidP="00A262D7">
      <w:pPr>
        <w:pStyle w:val="Heading3"/>
        <w:spacing w:before="240" w:after="240"/>
        <w:ind w:left="0" w:firstLine="0"/>
        <w:rPr>
          <w:color w:val="1F848B" w:themeColor="accent1" w:themeShade="BF"/>
          <w:sz w:val="28"/>
          <w:lang w:val="en-US"/>
        </w:rPr>
      </w:pPr>
      <w:r>
        <w:rPr>
          <w:color w:val="1F848B" w:themeColor="accent1" w:themeShade="BF"/>
          <w:sz w:val="28"/>
          <w:lang w:val="en-US"/>
        </w:rPr>
        <w:t>Approved Provider</w:t>
      </w:r>
      <w:r w:rsidR="00D3210E" w:rsidRPr="00A262D7">
        <w:rPr>
          <w:color w:val="1F848B" w:themeColor="accent1" w:themeShade="BF"/>
          <w:sz w:val="28"/>
          <w:lang w:val="en-US"/>
        </w:rPr>
        <w:t xml:space="preserve"> information  </w:t>
      </w:r>
    </w:p>
    <w:p w14:paraId="08B04B97" w14:textId="1F3652D3" w:rsidR="00D3210E" w:rsidRDefault="00316B9E" w:rsidP="0073729C">
      <w:pPr>
        <w:rPr>
          <w:lang w:val="en-US"/>
        </w:rPr>
      </w:pPr>
      <w:r>
        <w:rPr>
          <w:lang w:val="en-US"/>
        </w:rPr>
        <w:t>In addition to the home care income and expenditure statement, t</w:t>
      </w:r>
      <w:r w:rsidR="00D3210E" w:rsidRPr="00323F2B">
        <w:rPr>
          <w:lang w:val="en-US"/>
        </w:rPr>
        <w:t>he ACFR includes mandatory line items in the Income Statement, Balance Sheet and Cash Flow Statement at the approved provider level</w:t>
      </w:r>
      <w:r w:rsidR="00F23B04">
        <w:rPr>
          <w:lang w:val="en-US"/>
        </w:rPr>
        <w:t>.</w:t>
      </w:r>
    </w:p>
    <w:p w14:paraId="0417BF8A" w14:textId="77777777" w:rsidR="00E0480F" w:rsidRPr="00323F2B" w:rsidRDefault="00E0480F" w:rsidP="0073729C">
      <w:pPr>
        <w:rPr>
          <w:lang w:val="en-US"/>
        </w:rPr>
      </w:pPr>
    </w:p>
    <w:p w14:paraId="2E9B881E" w14:textId="36F37316" w:rsidR="00A84031" w:rsidRPr="00A4123B" w:rsidRDefault="00323F2B" w:rsidP="00A4123B">
      <w:pPr>
        <w:pStyle w:val="PullOut"/>
        <w:rPr>
          <w:lang w:val="en-US"/>
        </w:rPr>
      </w:pPr>
      <w:r w:rsidRPr="00A4123B">
        <w:rPr>
          <w:lang w:val="en-US"/>
        </w:rPr>
        <w:lastRenderedPageBreak/>
        <w:t>Home Care Financials FAQs</w:t>
      </w:r>
    </w:p>
    <w:p w14:paraId="13699634" w14:textId="1BF0A6C5" w:rsidR="001A753F" w:rsidRDefault="009428A9" w:rsidP="001A753F">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250BBC">
        <w:rPr>
          <w:rFonts w:eastAsia="Calibri Light"/>
          <w:noProof/>
          <w:lang w:val="en-US"/>
        </w:rPr>
        <w:t>8</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250BBC">
        <w:rPr>
          <w:rFonts w:eastAsia="Calibri Light"/>
          <w:noProof/>
          <w:lang w:val="en-US"/>
        </w:rPr>
        <w:t>1</w:t>
      </w:r>
      <w:r>
        <w:rPr>
          <w:rFonts w:eastAsia="Calibri Light"/>
          <w:noProof/>
          <w:lang w:val="en-US"/>
        </w:rPr>
        <w:fldChar w:fldCharType="end"/>
      </w:r>
      <w:r w:rsidR="001A753F">
        <w:rPr>
          <w:rFonts w:eastAsia="Calibri Light"/>
          <w:noProof/>
          <w:lang w:val="en-US"/>
        </w:rPr>
        <w:t xml:space="preserve"> </w:t>
      </w:r>
      <w:r w:rsidR="001A753F" w:rsidRPr="001A753F">
        <w:rPr>
          <w:rFonts w:eastAsia="Calibri Light"/>
          <w:noProof/>
          <w:lang w:val="en-US"/>
        </w:rPr>
        <w:t>Are home care providers required to complete the ‘Financial Support Statement’?</w:t>
      </w:r>
    </w:p>
    <w:p w14:paraId="3D1369F7" w14:textId="66830816" w:rsidR="001A753F" w:rsidRDefault="001A753F" w:rsidP="000B536C">
      <w:pPr>
        <w:rPr>
          <w:lang w:val="en-US"/>
        </w:rPr>
      </w:pPr>
      <w:r w:rsidRPr="004570A7">
        <w:rPr>
          <w:lang w:val="en-US"/>
        </w:rPr>
        <w:t>No</w:t>
      </w:r>
      <w:r w:rsidR="000B536C">
        <w:rPr>
          <w:lang w:val="en-US"/>
        </w:rPr>
        <w:t>. A</w:t>
      </w:r>
      <w:r w:rsidR="00D4124E" w:rsidRPr="004570A7">
        <w:rPr>
          <w:lang w:val="en-US"/>
        </w:rPr>
        <w:t>pproved providers of home care services only</w:t>
      </w:r>
      <w:r w:rsidR="007C7820" w:rsidRPr="004570A7">
        <w:rPr>
          <w:lang w:val="en-US"/>
        </w:rPr>
        <w:t xml:space="preserve"> are not required to complete the ‘Financial Support Statement’.</w:t>
      </w:r>
    </w:p>
    <w:p w14:paraId="7CF062BF" w14:textId="3121CDE6" w:rsidR="000759E7" w:rsidRDefault="009428A9" w:rsidP="00ED0F05">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250BBC">
        <w:rPr>
          <w:rFonts w:eastAsia="Calibri Light"/>
          <w:noProof/>
          <w:lang w:val="en-US"/>
        </w:rPr>
        <w:t>8</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250BBC">
        <w:rPr>
          <w:rFonts w:eastAsia="Calibri Light"/>
          <w:noProof/>
          <w:lang w:val="en-US"/>
        </w:rPr>
        <w:t>2</w:t>
      </w:r>
      <w:r>
        <w:rPr>
          <w:rFonts w:eastAsia="Calibri Light"/>
          <w:noProof/>
          <w:lang w:val="en-US"/>
        </w:rPr>
        <w:fldChar w:fldCharType="end"/>
      </w:r>
      <w:r w:rsidR="00ED0F05">
        <w:rPr>
          <w:rFonts w:eastAsia="Calibri Light"/>
          <w:noProof/>
          <w:lang w:val="en-US"/>
        </w:rPr>
        <w:t xml:space="preserve"> </w:t>
      </w:r>
      <w:r w:rsidR="00C56487">
        <w:rPr>
          <w:rFonts w:eastAsia="Calibri Light"/>
          <w:noProof/>
          <w:lang w:val="en-US"/>
        </w:rPr>
        <w:t>Does the</w:t>
      </w:r>
      <w:r w:rsidR="00ED0F05" w:rsidRPr="00F71992">
        <w:rPr>
          <w:rFonts w:eastAsia="Calibri Light"/>
          <w:noProof/>
          <w:lang w:val="en-US"/>
        </w:rPr>
        <w:t xml:space="preserve"> “Other Income” </w:t>
      </w:r>
      <w:r w:rsidR="00C56487">
        <w:rPr>
          <w:rFonts w:eastAsia="Calibri Light"/>
          <w:noProof/>
          <w:lang w:val="en-US"/>
        </w:rPr>
        <w:t xml:space="preserve">section in </w:t>
      </w:r>
      <w:r w:rsidR="00ED0F05">
        <w:rPr>
          <w:rFonts w:eastAsia="Calibri Light"/>
          <w:noProof/>
          <w:lang w:val="en-US"/>
        </w:rPr>
        <w:t xml:space="preserve">the home care </w:t>
      </w:r>
      <w:r w:rsidR="000C5601">
        <w:rPr>
          <w:rFonts w:eastAsia="Calibri Light"/>
          <w:noProof/>
          <w:lang w:val="en-US"/>
        </w:rPr>
        <w:t>I</w:t>
      </w:r>
      <w:r w:rsidR="00ED0F05">
        <w:rPr>
          <w:rFonts w:eastAsia="Calibri Light"/>
          <w:noProof/>
          <w:lang w:val="en-US"/>
        </w:rPr>
        <w:t xml:space="preserve">ncome and </w:t>
      </w:r>
      <w:r w:rsidR="000C5601">
        <w:rPr>
          <w:rFonts w:eastAsia="Calibri Light"/>
          <w:noProof/>
          <w:lang w:val="en-US"/>
        </w:rPr>
        <w:t>E</w:t>
      </w:r>
      <w:r w:rsidR="00ED0F05">
        <w:rPr>
          <w:rFonts w:eastAsia="Calibri Light"/>
          <w:noProof/>
          <w:lang w:val="en-US"/>
        </w:rPr>
        <w:t>xpe</w:t>
      </w:r>
      <w:r w:rsidR="00C56487">
        <w:rPr>
          <w:rFonts w:eastAsia="Calibri Light"/>
          <w:noProof/>
          <w:lang w:val="en-US"/>
        </w:rPr>
        <w:t>nditure statement need to include</w:t>
      </w:r>
      <w:r w:rsidR="00ED0F05" w:rsidRPr="00F71992">
        <w:rPr>
          <w:rFonts w:eastAsia="Calibri Light"/>
          <w:noProof/>
          <w:lang w:val="en-US"/>
        </w:rPr>
        <w:t xml:space="preserve"> DVA</w:t>
      </w:r>
      <w:r w:rsidR="00ED0F05">
        <w:rPr>
          <w:rFonts w:eastAsia="Calibri Light"/>
          <w:noProof/>
          <w:lang w:val="en-US"/>
        </w:rPr>
        <w:t xml:space="preserve"> or </w:t>
      </w:r>
      <w:r w:rsidR="00ED0F05" w:rsidRPr="00F71992">
        <w:rPr>
          <w:rFonts w:eastAsia="Calibri Light"/>
          <w:noProof/>
          <w:lang w:val="en-US"/>
        </w:rPr>
        <w:t>CHSP services</w:t>
      </w:r>
      <w:r w:rsidR="00ED0F05">
        <w:rPr>
          <w:rFonts w:eastAsia="Calibri Light"/>
          <w:noProof/>
          <w:lang w:val="en-US"/>
        </w:rPr>
        <w:t>?</w:t>
      </w:r>
      <w:r w:rsidR="00ED0F05" w:rsidRPr="00F71992">
        <w:rPr>
          <w:rFonts w:eastAsia="Calibri Light"/>
          <w:noProof/>
          <w:lang w:val="en-US"/>
        </w:rPr>
        <w:t xml:space="preserve"> </w:t>
      </w:r>
    </w:p>
    <w:p w14:paraId="22600718" w14:textId="12C91E3E" w:rsidR="00290FBE" w:rsidRDefault="00C56487" w:rsidP="000B536C">
      <w:pPr>
        <w:rPr>
          <w:lang w:val="en-US"/>
        </w:rPr>
      </w:pPr>
      <w:r w:rsidRPr="00290FBE">
        <w:rPr>
          <w:lang w:val="en-US"/>
        </w:rPr>
        <w:t>No</w:t>
      </w:r>
      <w:r w:rsidR="000B536C">
        <w:rPr>
          <w:lang w:val="en-US"/>
        </w:rPr>
        <w:t xml:space="preserve">. </w:t>
      </w:r>
      <w:r w:rsidR="00E76DCB" w:rsidRPr="00290FBE">
        <w:rPr>
          <w:lang w:val="en-US"/>
        </w:rPr>
        <w:t xml:space="preserve">The </w:t>
      </w:r>
      <w:r w:rsidR="00275B3E" w:rsidRPr="00290FBE">
        <w:rPr>
          <w:lang w:val="en-US"/>
        </w:rPr>
        <w:t>DVA and CHSP services in</w:t>
      </w:r>
      <w:r w:rsidR="007A7335" w:rsidRPr="00290FBE">
        <w:rPr>
          <w:lang w:val="en-US"/>
        </w:rPr>
        <w:t xml:space="preserve">formation is only reported in the Consolidated </w:t>
      </w:r>
      <w:r w:rsidR="00290FBE" w:rsidRPr="00290FBE">
        <w:rPr>
          <w:lang w:val="en-US"/>
        </w:rPr>
        <w:t>Segment Report</w:t>
      </w:r>
      <w:r w:rsidR="00290FBE">
        <w:rPr>
          <w:lang w:val="en-US"/>
        </w:rPr>
        <w:t xml:space="preserve"> under the ‘Community’ segment</w:t>
      </w:r>
      <w:r w:rsidR="00290FBE" w:rsidRPr="00290FBE">
        <w:rPr>
          <w:lang w:val="en-US"/>
        </w:rPr>
        <w:t>.</w:t>
      </w:r>
    </w:p>
    <w:p w14:paraId="6F375485" w14:textId="15275ADA" w:rsidR="00605BDF" w:rsidRDefault="00605BDF" w:rsidP="000B536C">
      <w:pPr>
        <w:rPr>
          <w:lang w:val="en-US"/>
        </w:rPr>
      </w:pPr>
      <w:r>
        <w:rPr>
          <w:lang w:val="en-US"/>
        </w:rPr>
        <w:t xml:space="preserve">The </w:t>
      </w:r>
      <w:r w:rsidR="001735F3">
        <w:rPr>
          <w:lang w:val="en-US"/>
        </w:rPr>
        <w:t>‘</w:t>
      </w:r>
      <w:r>
        <w:rPr>
          <w:lang w:val="en-US"/>
        </w:rPr>
        <w:t>Total Revenue</w:t>
      </w:r>
      <w:r w:rsidR="001735F3">
        <w:rPr>
          <w:lang w:val="en-US"/>
        </w:rPr>
        <w:t>’</w:t>
      </w:r>
      <w:r>
        <w:rPr>
          <w:lang w:val="en-US"/>
        </w:rPr>
        <w:t xml:space="preserve"> and </w:t>
      </w:r>
      <w:r w:rsidR="001735F3">
        <w:rPr>
          <w:lang w:val="en-US"/>
        </w:rPr>
        <w:t>‘</w:t>
      </w:r>
      <w:r>
        <w:rPr>
          <w:lang w:val="en-US"/>
        </w:rPr>
        <w:t xml:space="preserve">Total </w:t>
      </w:r>
      <w:r w:rsidR="005F61A9">
        <w:rPr>
          <w:lang w:val="en-US"/>
        </w:rPr>
        <w:t>Expenses</w:t>
      </w:r>
      <w:r w:rsidR="001735F3">
        <w:rPr>
          <w:lang w:val="en-US"/>
        </w:rPr>
        <w:t>’</w:t>
      </w:r>
      <w:r w:rsidR="005F61A9">
        <w:rPr>
          <w:lang w:val="en-US"/>
        </w:rPr>
        <w:t xml:space="preserve"> in this section should match back to the Consolidated Segment</w:t>
      </w:r>
      <w:r w:rsidR="00837970">
        <w:rPr>
          <w:lang w:val="en-US"/>
        </w:rPr>
        <w:t xml:space="preserve"> Report’s ‘Home Care’ column if the provider does not have a parent entity. </w:t>
      </w:r>
    </w:p>
    <w:p w14:paraId="20A8530D" w14:textId="7D41D401" w:rsidR="00584CBF" w:rsidRDefault="009428A9" w:rsidP="00D73C30">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250BBC">
        <w:rPr>
          <w:rFonts w:eastAsia="Calibri Light"/>
          <w:noProof/>
          <w:lang w:val="en-US"/>
        </w:rPr>
        <w:t>8</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250BBC">
        <w:rPr>
          <w:rFonts w:eastAsia="Calibri Light"/>
          <w:noProof/>
          <w:lang w:val="en-US"/>
        </w:rPr>
        <w:t>3</w:t>
      </w:r>
      <w:r>
        <w:rPr>
          <w:rFonts w:eastAsia="Calibri Light"/>
          <w:noProof/>
          <w:lang w:val="en-US"/>
        </w:rPr>
        <w:fldChar w:fldCharType="end"/>
      </w:r>
      <w:r w:rsidR="00D73C30">
        <w:rPr>
          <w:rFonts w:eastAsia="Calibri Light"/>
          <w:noProof/>
          <w:lang w:val="en-US"/>
        </w:rPr>
        <w:t xml:space="preserve"> </w:t>
      </w:r>
      <w:r w:rsidR="00213ED9">
        <w:rPr>
          <w:rFonts w:eastAsia="Calibri Light"/>
          <w:noProof/>
          <w:lang w:val="en-US"/>
        </w:rPr>
        <w:t>How are</w:t>
      </w:r>
      <w:r w:rsidR="007F0A05" w:rsidRPr="00D73C30">
        <w:rPr>
          <w:rFonts w:eastAsia="Calibri Light"/>
          <w:noProof/>
          <w:lang w:val="en-US"/>
        </w:rPr>
        <w:t xml:space="preserve"> personal care workers </w:t>
      </w:r>
      <w:r w:rsidR="00E81B4F">
        <w:rPr>
          <w:rFonts w:eastAsia="Calibri Light"/>
          <w:noProof/>
          <w:lang w:val="en-US"/>
        </w:rPr>
        <w:t xml:space="preserve">be </w:t>
      </w:r>
      <w:r w:rsidR="007F0A05" w:rsidRPr="00D73C30">
        <w:rPr>
          <w:rFonts w:eastAsia="Calibri Light"/>
          <w:noProof/>
          <w:lang w:val="en-US"/>
        </w:rPr>
        <w:t>categ</w:t>
      </w:r>
      <w:r w:rsidR="00D73C30" w:rsidRPr="00D73C30">
        <w:rPr>
          <w:rFonts w:eastAsia="Calibri Light"/>
          <w:noProof/>
          <w:lang w:val="en-US"/>
        </w:rPr>
        <w:t>or</w:t>
      </w:r>
      <w:r w:rsidR="007F0A05" w:rsidRPr="00D73C30">
        <w:rPr>
          <w:rFonts w:eastAsia="Calibri Light"/>
          <w:noProof/>
          <w:lang w:val="en-US"/>
        </w:rPr>
        <w:t xml:space="preserve">ised </w:t>
      </w:r>
      <w:r w:rsidR="00213ED9">
        <w:rPr>
          <w:rFonts w:eastAsia="Calibri Light"/>
          <w:noProof/>
          <w:lang w:val="en-US"/>
        </w:rPr>
        <w:t>in the</w:t>
      </w:r>
      <w:r w:rsidR="007F0A05" w:rsidRPr="00D73C30">
        <w:rPr>
          <w:rFonts w:eastAsia="Calibri Light"/>
          <w:noProof/>
          <w:lang w:val="en-US"/>
        </w:rPr>
        <w:t xml:space="preserve"> home care </w:t>
      </w:r>
      <w:r w:rsidR="00D73C30" w:rsidRPr="00D73C30">
        <w:rPr>
          <w:rFonts w:eastAsia="Calibri Light"/>
          <w:noProof/>
          <w:lang w:val="en-US"/>
        </w:rPr>
        <w:t>‘I</w:t>
      </w:r>
      <w:r w:rsidR="007F0A05" w:rsidRPr="00D73C30">
        <w:rPr>
          <w:rFonts w:eastAsia="Calibri Light"/>
          <w:noProof/>
          <w:lang w:val="en-US"/>
        </w:rPr>
        <w:t>ncome</w:t>
      </w:r>
      <w:r w:rsidR="00D73C30" w:rsidRPr="00D73C30">
        <w:rPr>
          <w:rFonts w:eastAsia="Calibri Light"/>
          <w:noProof/>
          <w:lang w:val="en-US"/>
        </w:rPr>
        <w:t>’</w:t>
      </w:r>
      <w:r w:rsidR="00213ED9">
        <w:rPr>
          <w:rFonts w:eastAsia="Calibri Light"/>
          <w:noProof/>
          <w:lang w:val="en-US"/>
        </w:rPr>
        <w:t xml:space="preserve"> section</w:t>
      </w:r>
      <w:r w:rsidR="007F0A05" w:rsidRPr="00D73C30">
        <w:rPr>
          <w:rFonts w:eastAsia="Calibri Light"/>
          <w:noProof/>
          <w:lang w:val="en-US"/>
        </w:rPr>
        <w:t>?</w:t>
      </w:r>
    </w:p>
    <w:p w14:paraId="157589B5" w14:textId="01979AA3" w:rsidR="00D73C30" w:rsidRPr="000B536C" w:rsidRDefault="00213ED9" w:rsidP="000B536C">
      <w:pPr>
        <w:rPr>
          <w:lang w:val="en-US"/>
        </w:rPr>
      </w:pPr>
      <w:r w:rsidRPr="000B536C">
        <w:rPr>
          <w:lang w:val="en-US"/>
        </w:rPr>
        <w:t>P</w:t>
      </w:r>
      <w:r w:rsidR="00D73C30" w:rsidRPr="000B536C">
        <w:rPr>
          <w:lang w:val="en-US"/>
        </w:rPr>
        <w:t xml:space="preserve">ersonal care workers </w:t>
      </w:r>
      <w:r w:rsidR="00A41063" w:rsidRPr="000B536C">
        <w:rPr>
          <w:lang w:val="en-US"/>
        </w:rPr>
        <w:t>are categori</w:t>
      </w:r>
      <w:r w:rsidR="00E81B4F" w:rsidRPr="000B536C">
        <w:rPr>
          <w:lang w:val="en-US"/>
        </w:rPr>
        <w:t>s</w:t>
      </w:r>
      <w:r w:rsidR="00A41063" w:rsidRPr="000B536C">
        <w:rPr>
          <w:lang w:val="en-US"/>
        </w:rPr>
        <w:t>ed in the home care ‘Income’ section as ‘Domestic’</w:t>
      </w:r>
      <w:r w:rsidR="00F247C7" w:rsidRPr="000B536C">
        <w:rPr>
          <w:lang w:val="en-US"/>
        </w:rPr>
        <w:t xml:space="preserve"> income</w:t>
      </w:r>
      <w:r w:rsidR="00A41063" w:rsidRPr="000B536C">
        <w:rPr>
          <w:lang w:val="en-US"/>
        </w:rPr>
        <w:t xml:space="preserve">. </w:t>
      </w:r>
    </w:p>
    <w:p w14:paraId="02240548" w14:textId="1B94D9A8" w:rsidR="00E81B4F" w:rsidRDefault="009428A9" w:rsidP="00195C9C">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250BBC">
        <w:rPr>
          <w:rFonts w:eastAsia="Calibri Light"/>
          <w:noProof/>
          <w:lang w:val="en-US"/>
        </w:rPr>
        <w:t>8</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250BBC">
        <w:rPr>
          <w:rFonts w:eastAsia="Calibri Light"/>
          <w:noProof/>
          <w:lang w:val="en-US"/>
        </w:rPr>
        <w:t>4</w:t>
      </w:r>
      <w:r>
        <w:rPr>
          <w:rFonts w:eastAsia="Calibri Light"/>
          <w:noProof/>
          <w:lang w:val="en-US"/>
        </w:rPr>
        <w:fldChar w:fldCharType="end"/>
      </w:r>
      <w:r w:rsidR="00195C9C">
        <w:rPr>
          <w:rFonts w:eastAsia="Calibri Light"/>
          <w:noProof/>
          <w:lang w:val="en-US"/>
        </w:rPr>
        <w:t xml:space="preserve"> </w:t>
      </w:r>
      <w:r w:rsidR="009921F6" w:rsidRPr="00195C9C">
        <w:rPr>
          <w:rFonts w:eastAsia="Calibri Light"/>
          <w:noProof/>
          <w:lang w:val="en-US"/>
        </w:rPr>
        <w:t>Should gardening</w:t>
      </w:r>
      <w:r w:rsidR="008C451A">
        <w:rPr>
          <w:rFonts w:eastAsia="Calibri Light"/>
          <w:noProof/>
          <w:lang w:val="en-US"/>
        </w:rPr>
        <w:t xml:space="preserve"> and cleaning</w:t>
      </w:r>
      <w:r w:rsidR="009921F6" w:rsidRPr="00195C9C">
        <w:rPr>
          <w:rFonts w:eastAsia="Calibri Light"/>
          <w:noProof/>
          <w:lang w:val="en-US"/>
        </w:rPr>
        <w:t xml:space="preserve"> be categorised in the home care ‘Income’ section under </w:t>
      </w:r>
      <w:r w:rsidR="00195C9C" w:rsidRPr="00195C9C">
        <w:rPr>
          <w:rFonts w:eastAsia="Calibri Light"/>
          <w:noProof/>
          <w:lang w:val="en-US"/>
        </w:rPr>
        <w:t>‘Domestic</w:t>
      </w:r>
      <w:r w:rsidR="00FD3E8C">
        <w:rPr>
          <w:rFonts w:eastAsia="Calibri Light"/>
          <w:noProof/>
          <w:lang w:val="en-US"/>
        </w:rPr>
        <w:t xml:space="preserve"> Income’</w:t>
      </w:r>
      <w:r w:rsidR="00195C9C" w:rsidRPr="00195C9C">
        <w:rPr>
          <w:rFonts w:eastAsia="Calibri Light"/>
          <w:noProof/>
          <w:lang w:val="en-US"/>
        </w:rPr>
        <w:t xml:space="preserve"> or ‘Other Income’?</w:t>
      </w:r>
    </w:p>
    <w:p w14:paraId="3ADD7CF3" w14:textId="7B918259" w:rsidR="00195C9C" w:rsidRPr="000B536C" w:rsidRDefault="00FD3E8C" w:rsidP="000B536C">
      <w:pPr>
        <w:rPr>
          <w:lang w:val="en-US"/>
        </w:rPr>
      </w:pPr>
      <w:r w:rsidRPr="000B536C">
        <w:rPr>
          <w:lang w:val="en-US"/>
        </w:rPr>
        <w:t>Gardening and clean</w:t>
      </w:r>
      <w:r w:rsidR="007F4F90" w:rsidRPr="000B536C">
        <w:rPr>
          <w:lang w:val="en-US"/>
        </w:rPr>
        <w:t xml:space="preserve">ing </w:t>
      </w:r>
      <w:r w:rsidR="006138AC" w:rsidRPr="000B536C">
        <w:rPr>
          <w:lang w:val="en-US"/>
        </w:rPr>
        <w:t xml:space="preserve">services </w:t>
      </w:r>
      <w:r w:rsidR="000B536C" w:rsidRPr="000B536C">
        <w:rPr>
          <w:lang w:val="en-US"/>
        </w:rPr>
        <w:t>are</w:t>
      </w:r>
      <w:r w:rsidR="007F4F90" w:rsidRPr="000B536C">
        <w:rPr>
          <w:lang w:val="en-US"/>
        </w:rPr>
        <w:t xml:space="preserve"> </w:t>
      </w:r>
      <w:r w:rsidR="006138AC" w:rsidRPr="000B536C">
        <w:rPr>
          <w:lang w:val="en-US"/>
        </w:rPr>
        <w:t>classified as work performed by a personal care worker</w:t>
      </w:r>
      <w:r w:rsidR="007F4F90" w:rsidRPr="000B536C">
        <w:rPr>
          <w:lang w:val="en-US"/>
        </w:rPr>
        <w:t xml:space="preserve"> and</w:t>
      </w:r>
      <w:r w:rsidR="00195C9C" w:rsidRPr="000B536C">
        <w:rPr>
          <w:lang w:val="en-US"/>
        </w:rPr>
        <w:t xml:space="preserve"> should be categorised in the</w:t>
      </w:r>
      <w:r w:rsidR="00F247C7" w:rsidRPr="000B536C">
        <w:rPr>
          <w:lang w:val="en-US"/>
        </w:rPr>
        <w:t xml:space="preserve"> home care ‘Income’ section as</w:t>
      </w:r>
      <w:r w:rsidR="00195C9C" w:rsidRPr="000B536C">
        <w:rPr>
          <w:lang w:val="en-US"/>
        </w:rPr>
        <w:t xml:space="preserve"> ‘Domestic’</w:t>
      </w:r>
      <w:r w:rsidR="00F247C7" w:rsidRPr="000B536C">
        <w:rPr>
          <w:lang w:val="en-US"/>
        </w:rPr>
        <w:t xml:space="preserve"> income. </w:t>
      </w:r>
    </w:p>
    <w:p w14:paraId="5F0A038B" w14:textId="19F2EAC0" w:rsidR="00584731" w:rsidRDefault="009428A9" w:rsidP="00C70C5B">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250BBC">
        <w:rPr>
          <w:rFonts w:eastAsia="Calibri Light"/>
          <w:noProof/>
          <w:lang w:val="en-US"/>
        </w:rPr>
        <w:t>8</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250BBC">
        <w:rPr>
          <w:rFonts w:eastAsia="Calibri Light"/>
          <w:noProof/>
          <w:lang w:val="en-US"/>
        </w:rPr>
        <w:t>5</w:t>
      </w:r>
      <w:r>
        <w:rPr>
          <w:rFonts w:eastAsia="Calibri Light"/>
          <w:noProof/>
          <w:lang w:val="en-US"/>
        </w:rPr>
        <w:fldChar w:fldCharType="end"/>
      </w:r>
      <w:r w:rsidR="00C70C5B">
        <w:rPr>
          <w:rFonts w:eastAsia="Calibri Light"/>
          <w:noProof/>
          <w:lang w:val="en-US"/>
        </w:rPr>
        <w:t xml:space="preserve"> </w:t>
      </w:r>
      <w:r w:rsidR="00DC1F32" w:rsidRPr="00C70C5B">
        <w:rPr>
          <w:rFonts w:eastAsia="Calibri Light"/>
          <w:noProof/>
          <w:lang w:val="en-US"/>
        </w:rPr>
        <w:t>Where does a provider allocate expenses for ‘Domestic’</w:t>
      </w:r>
      <w:r w:rsidR="00C70C5B" w:rsidRPr="00C70C5B">
        <w:rPr>
          <w:rFonts w:eastAsia="Calibri Light"/>
          <w:noProof/>
          <w:lang w:val="en-US"/>
        </w:rPr>
        <w:t xml:space="preserve"> service, </w:t>
      </w:r>
      <w:r w:rsidR="0043090A" w:rsidRPr="00C70C5B">
        <w:rPr>
          <w:rFonts w:eastAsia="Calibri Light"/>
          <w:noProof/>
          <w:lang w:val="en-US"/>
        </w:rPr>
        <w:t xml:space="preserve">including </w:t>
      </w:r>
      <w:r w:rsidR="00C70C5B" w:rsidRPr="00C70C5B">
        <w:rPr>
          <w:rFonts w:eastAsia="Calibri Light"/>
          <w:noProof/>
          <w:lang w:val="en-US"/>
        </w:rPr>
        <w:t>personal care and services?</w:t>
      </w:r>
    </w:p>
    <w:p w14:paraId="273110EB" w14:textId="6AA6E4B3" w:rsidR="00FE6BA6" w:rsidRPr="00FE6BA6" w:rsidRDefault="00C70C5B" w:rsidP="000B536C">
      <w:pPr>
        <w:rPr>
          <w:lang w:val="en-US"/>
        </w:rPr>
      </w:pPr>
      <w:r w:rsidRPr="00FE6BA6">
        <w:rPr>
          <w:lang w:val="en-US"/>
        </w:rPr>
        <w:t>Domestic care</w:t>
      </w:r>
      <w:r w:rsidR="00031895" w:rsidRPr="00FE6BA6">
        <w:rPr>
          <w:lang w:val="en-US"/>
        </w:rPr>
        <w:t xml:space="preserve"> and services expenses should be reported under ‘Personal Care Workers’</w:t>
      </w:r>
      <w:r w:rsidR="00FE6BA6">
        <w:rPr>
          <w:lang w:val="en-US"/>
        </w:rPr>
        <w:t xml:space="preserve"> section</w:t>
      </w:r>
      <w:r w:rsidR="00031895" w:rsidRPr="00FE6BA6">
        <w:rPr>
          <w:lang w:val="en-US"/>
        </w:rPr>
        <w:t xml:space="preserve"> (including cleaning and gardening)</w:t>
      </w:r>
      <w:r w:rsidR="00FE6BA6" w:rsidRPr="00FE6BA6">
        <w:rPr>
          <w:lang w:val="en-US"/>
        </w:rPr>
        <w:t xml:space="preserve">. </w:t>
      </w:r>
    </w:p>
    <w:bookmarkStart w:id="27" w:name="_Hlk194312938"/>
    <w:p w14:paraId="4DDFE028" w14:textId="46452E3C" w:rsidR="000C5601" w:rsidRDefault="009428A9" w:rsidP="000C5601">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250BBC">
        <w:rPr>
          <w:rFonts w:eastAsia="Calibri Light"/>
          <w:noProof/>
          <w:lang w:val="en-US"/>
        </w:rPr>
        <w:t>8</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250BBC">
        <w:rPr>
          <w:rFonts w:eastAsia="Calibri Light"/>
          <w:noProof/>
          <w:lang w:val="en-US"/>
        </w:rPr>
        <w:t>6</w:t>
      </w:r>
      <w:r>
        <w:rPr>
          <w:rFonts w:eastAsia="Calibri Light"/>
          <w:noProof/>
          <w:lang w:val="en-US"/>
        </w:rPr>
        <w:fldChar w:fldCharType="end"/>
      </w:r>
      <w:r w:rsidR="000C5601">
        <w:rPr>
          <w:rFonts w:eastAsia="Calibri Light"/>
          <w:noProof/>
          <w:lang w:val="en-US"/>
        </w:rPr>
        <w:t xml:space="preserve"> </w:t>
      </w:r>
      <w:r w:rsidR="000317FE">
        <w:rPr>
          <w:rFonts w:eastAsia="Calibri Light"/>
          <w:noProof/>
          <w:lang w:val="en-US"/>
        </w:rPr>
        <w:t xml:space="preserve">If a </w:t>
      </w:r>
      <w:r w:rsidR="00F85F7D">
        <w:rPr>
          <w:rFonts w:eastAsia="Calibri Light"/>
          <w:noProof/>
          <w:lang w:val="en-US"/>
        </w:rPr>
        <w:t>provider has ha</w:t>
      </w:r>
      <w:r w:rsidR="00CC2BD6">
        <w:rPr>
          <w:rFonts w:eastAsia="Calibri Light"/>
          <w:noProof/>
          <w:lang w:val="en-US"/>
        </w:rPr>
        <w:t>d</w:t>
      </w:r>
      <w:r w:rsidR="00F85F7D">
        <w:rPr>
          <w:rFonts w:eastAsia="Calibri Light"/>
          <w:noProof/>
          <w:lang w:val="en-US"/>
        </w:rPr>
        <w:t xml:space="preserve"> some recipients transfer out prior to the 30 June, and the Home Care Account </w:t>
      </w:r>
      <w:r w:rsidR="0085714C">
        <w:rPr>
          <w:rFonts w:eastAsia="Calibri Light"/>
          <w:noProof/>
          <w:lang w:val="en-US"/>
        </w:rPr>
        <w:t>Balance still shows these clients</w:t>
      </w:r>
      <w:r w:rsidR="00CD40FC">
        <w:rPr>
          <w:rFonts w:eastAsia="Calibri Light"/>
          <w:noProof/>
          <w:lang w:val="en-US"/>
        </w:rPr>
        <w:t xml:space="preserve"> </w:t>
      </w:r>
      <w:r w:rsidR="00CC2BD6">
        <w:rPr>
          <w:rFonts w:eastAsia="Calibri Light"/>
          <w:noProof/>
          <w:lang w:val="en-US"/>
        </w:rPr>
        <w:t>(</w:t>
      </w:r>
      <w:r w:rsidR="00CD40FC">
        <w:rPr>
          <w:rFonts w:eastAsia="Calibri Light"/>
          <w:noProof/>
          <w:lang w:val="en-US"/>
        </w:rPr>
        <w:t>due t</w:t>
      </w:r>
      <w:r w:rsidR="00CD396D">
        <w:rPr>
          <w:rFonts w:eastAsia="Calibri Light"/>
          <w:noProof/>
          <w:lang w:val="en-US"/>
        </w:rPr>
        <w:t xml:space="preserve">o </w:t>
      </w:r>
      <w:r w:rsidR="00CC2BD6">
        <w:rPr>
          <w:rFonts w:eastAsia="Calibri Light"/>
          <w:noProof/>
          <w:lang w:val="en-US"/>
        </w:rPr>
        <w:t>the 70 day delay in the system updating)</w:t>
      </w:r>
      <w:r w:rsidR="00387483">
        <w:rPr>
          <w:rFonts w:eastAsia="Calibri Light"/>
          <w:noProof/>
          <w:lang w:val="en-US"/>
        </w:rPr>
        <w:t>, should the provide</w:t>
      </w:r>
      <w:r w:rsidR="00C51BEC">
        <w:rPr>
          <w:rFonts w:eastAsia="Calibri Light"/>
          <w:noProof/>
          <w:lang w:val="en-US"/>
        </w:rPr>
        <w:t>r</w:t>
      </w:r>
      <w:r w:rsidR="00387483">
        <w:rPr>
          <w:rFonts w:eastAsia="Calibri Light"/>
          <w:noProof/>
          <w:lang w:val="en-US"/>
        </w:rPr>
        <w:t xml:space="preserve"> include</w:t>
      </w:r>
      <w:r w:rsidR="00C51BEC">
        <w:rPr>
          <w:rFonts w:eastAsia="Calibri Light"/>
          <w:noProof/>
          <w:lang w:val="en-US"/>
        </w:rPr>
        <w:t xml:space="preserve"> </w:t>
      </w:r>
      <w:r w:rsidR="00387483">
        <w:rPr>
          <w:rFonts w:eastAsia="Calibri Light"/>
          <w:noProof/>
          <w:lang w:val="en-US"/>
        </w:rPr>
        <w:t>those recipients dollars in the Home Care Account Balance section for Unspent Funds?</w:t>
      </w:r>
    </w:p>
    <w:p w14:paraId="7DED158B" w14:textId="666BEFA8" w:rsidR="00387483" w:rsidRPr="00387483" w:rsidRDefault="00387483" w:rsidP="000B536C">
      <w:pPr>
        <w:rPr>
          <w:rFonts w:eastAsia="Calibri Light"/>
          <w:lang w:val="en-US"/>
        </w:rPr>
      </w:pPr>
      <w:r>
        <w:rPr>
          <w:rFonts w:eastAsia="Calibri Light"/>
          <w:lang w:val="en-US"/>
        </w:rPr>
        <w:t>Yes</w:t>
      </w:r>
      <w:r w:rsidR="000B536C">
        <w:rPr>
          <w:rFonts w:eastAsia="Calibri Light"/>
          <w:lang w:val="en-US"/>
        </w:rPr>
        <w:t>. T</w:t>
      </w:r>
      <w:r>
        <w:rPr>
          <w:rFonts w:eastAsia="Calibri Light"/>
          <w:lang w:val="en-US"/>
        </w:rPr>
        <w:t>he provided should be including all recipients amounts in</w:t>
      </w:r>
      <w:r w:rsidR="00C51BEC">
        <w:rPr>
          <w:rFonts w:eastAsia="Calibri Light"/>
          <w:lang w:val="en-US"/>
        </w:rPr>
        <w:t xml:space="preserve">cluded in </w:t>
      </w:r>
      <w:r>
        <w:rPr>
          <w:rFonts w:eastAsia="Calibri Light"/>
          <w:lang w:val="en-US"/>
        </w:rPr>
        <w:t>the</w:t>
      </w:r>
      <w:r w:rsidR="00C51BEC">
        <w:rPr>
          <w:rFonts w:eastAsia="Calibri Light"/>
          <w:lang w:val="en-US"/>
        </w:rPr>
        <w:t>ir</w:t>
      </w:r>
      <w:r>
        <w:rPr>
          <w:rFonts w:eastAsia="Calibri Light"/>
          <w:lang w:val="en-US"/>
        </w:rPr>
        <w:t xml:space="preserve"> Home Care Account Balance</w:t>
      </w:r>
      <w:r w:rsidR="00480DE3">
        <w:rPr>
          <w:rFonts w:eastAsia="Calibri Light"/>
          <w:lang w:val="en-US"/>
        </w:rPr>
        <w:t xml:space="preserve"> at 30 June. </w:t>
      </w:r>
    </w:p>
    <w:bookmarkEnd w:id="27"/>
    <w:p w14:paraId="2CDEAA41" w14:textId="6E72DA20" w:rsidR="00A86BC3" w:rsidRDefault="009428A9" w:rsidP="004832B3">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250BBC">
        <w:rPr>
          <w:rFonts w:eastAsia="Calibri Light"/>
          <w:noProof/>
          <w:lang w:val="en-US"/>
        </w:rPr>
        <w:t>8</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250BBC">
        <w:rPr>
          <w:rFonts w:eastAsia="Calibri Light"/>
          <w:noProof/>
          <w:lang w:val="en-US"/>
        </w:rPr>
        <w:t>7</w:t>
      </w:r>
      <w:r>
        <w:rPr>
          <w:rFonts w:eastAsia="Calibri Light"/>
          <w:noProof/>
          <w:lang w:val="en-US"/>
        </w:rPr>
        <w:fldChar w:fldCharType="end"/>
      </w:r>
      <w:r w:rsidR="004832B3">
        <w:rPr>
          <w:rFonts w:eastAsia="Calibri Light"/>
          <w:noProof/>
          <w:lang w:val="en-US"/>
        </w:rPr>
        <w:t xml:space="preserve"> When a </w:t>
      </w:r>
      <w:r w:rsidR="00A472BA">
        <w:rPr>
          <w:rFonts w:eastAsia="Calibri Light"/>
          <w:noProof/>
          <w:lang w:val="en-US"/>
        </w:rPr>
        <w:t xml:space="preserve">new client transfers in from another provider what amounts do we include in the </w:t>
      </w:r>
      <w:r w:rsidR="00A86BC3" w:rsidRPr="0026526E">
        <w:rPr>
          <w:rFonts w:eastAsia="Calibri Light"/>
          <w:noProof/>
          <w:lang w:val="en-US"/>
        </w:rPr>
        <w:t xml:space="preserve">‘Funds Transferred in With </w:t>
      </w:r>
      <w:r w:rsidR="00E9716B">
        <w:rPr>
          <w:rFonts w:eastAsia="Calibri Light"/>
          <w:noProof/>
          <w:lang w:val="en-US"/>
        </w:rPr>
        <w:t>N</w:t>
      </w:r>
      <w:r w:rsidR="00A86BC3" w:rsidRPr="0026526E">
        <w:rPr>
          <w:rFonts w:eastAsia="Calibri Light"/>
          <w:noProof/>
          <w:lang w:val="en-US"/>
        </w:rPr>
        <w:t>ew Clients</w:t>
      </w:r>
      <w:r w:rsidR="00B76985" w:rsidRPr="0026526E">
        <w:rPr>
          <w:rFonts w:eastAsia="Calibri Light"/>
          <w:noProof/>
          <w:lang w:val="en-US"/>
        </w:rPr>
        <w:t>’</w:t>
      </w:r>
      <w:r w:rsidR="00EB0EC9">
        <w:rPr>
          <w:rFonts w:eastAsia="Calibri Light"/>
          <w:noProof/>
          <w:lang w:val="en-US"/>
        </w:rPr>
        <w:t xml:space="preserve"> in the </w:t>
      </w:r>
      <w:r w:rsidR="00435B56">
        <w:rPr>
          <w:rFonts w:eastAsia="Calibri Light"/>
          <w:noProof/>
          <w:lang w:val="en-US"/>
        </w:rPr>
        <w:t>‘From Consolidated Client Statement’ section</w:t>
      </w:r>
      <w:r w:rsidR="00145D59">
        <w:rPr>
          <w:rFonts w:eastAsia="Calibri Light"/>
          <w:noProof/>
          <w:lang w:val="en-US"/>
        </w:rPr>
        <w:t>?</w:t>
      </w:r>
      <w:r w:rsidR="00C6005F">
        <w:rPr>
          <w:rFonts w:eastAsia="Calibri Light"/>
          <w:noProof/>
          <w:lang w:val="en-US"/>
        </w:rPr>
        <w:t xml:space="preserve"> </w:t>
      </w:r>
    </w:p>
    <w:p w14:paraId="6BCE0B3B" w14:textId="68DE812B" w:rsidR="00E9716B" w:rsidRPr="00F341BE" w:rsidRDefault="00145D59" w:rsidP="000B536C">
      <w:pPr>
        <w:rPr>
          <w:rFonts w:eastAsia="Calibri Light"/>
          <w:lang w:val="en-US"/>
        </w:rPr>
      </w:pPr>
      <w:r w:rsidRPr="000B536C">
        <w:rPr>
          <w:rFonts w:eastAsia="Calibri Light"/>
          <w:lang w:val="en-US"/>
        </w:rPr>
        <w:lastRenderedPageBreak/>
        <w:t>T</w:t>
      </w:r>
      <w:r w:rsidR="00CE7F22" w:rsidRPr="000B536C">
        <w:rPr>
          <w:rFonts w:eastAsia="Calibri Light"/>
          <w:lang w:val="en-US"/>
        </w:rPr>
        <w:t>he funds that</w:t>
      </w:r>
      <w:r w:rsidR="00B87CCE" w:rsidRPr="000B536C">
        <w:rPr>
          <w:rFonts w:eastAsia="Calibri Light"/>
          <w:lang w:val="en-US"/>
        </w:rPr>
        <w:t xml:space="preserve"> </w:t>
      </w:r>
      <w:r w:rsidR="00CE7F22" w:rsidRPr="000B536C">
        <w:rPr>
          <w:rFonts w:eastAsia="Calibri Light"/>
          <w:lang w:val="en-US"/>
        </w:rPr>
        <w:t>have been transferred in should be at the total package level</w:t>
      </w:r>
      <w:r w:rsidR="00B87CCE" w:rsidRPr="000B536C">
        <w:rPr>
          <w:rFonts w:eastAsia="Calibri Light"/>
          <w:lang w:val="en-US"/>
        </w:rPr>
        <w:t xml:space="preserve"> and include the amount that is held by Services Australia</w:t>
      </w:r>
      <w:r w:rsidRPr="000B536C">
        <w:rPr>
          <w:rFonts w:eastAsia="Calibri Light"/>
          <w:lang w:val="en-US"/>
        </w:rPr>
        <w:t xml:space="preserve"> and</w:t>
      </w:r>
      <w:r w:rsidR="00091966" w:rsidRPr="000B536C">
        <w:rPr>
          <w:rFonts w:eastAsia="Calibri Light"/>
          <w:lang w:val="en-US"/>
        </w:rPr>
        <w:t xml:space="preserve"> the funds </w:t>
      </w:r>
      <w:r w:rsidR="004316F9" w:rsidRPr="000B536C">
        <w:rPr>
          <w:rFonts w:eastAsia="Calibri Light"/>
          <w:lang w:val="en-US"/>
        </w:rPr>
        <w:t>transferred over</w:t>
      </w:r>
      <w:r w:rsidR="004316F9" w:rsidRPr="00F341BE">
        <w:rPr>
          <w:rFonts w:eastAsia="Calibri Light"/>
          <w:lang w:val="en-US"/>
        </w:rPr>
        <w:t xml:space="preserve"> from the other provider</w:t>
      </w:r>
      <w:r w:rsidR="00885948" w:rsidRPr="00F341BE">
        <w:rPr>
          <w:rFonts w:eastAsia="Calibri Light"/>
          <w:lang w:val="en-US"/>
        </w:rPr>
        <w:t xml:space="preserve">. </w:t>
      </w:r>
      <w:r w:rsidR="00621536" w:rsidRPr="00F341BE">
        <w:rPr>
          <w:rFonts w:eastAsia="Calibri Light"/>
          <w:lang w:val="en-US"/>
        </w:rPr>
        <w:t>Th</w:t>
      </w:r>
      <w:r w:rsidR="004316F9" w:rsidRPr="00F341BE">
        <w:rPr>
          <w:rFonts w:eastAsia="Calibri Light"/>
          <w:lang w:val="en-US"/>
        </w:rPr>
        <w:t>ese amounts add to</w:t>
      </w:r>
      <w:r w:rsidR="00E01F20" w:rsidRPr="00F341BE">
        <w:rPr>
          <w:rFonts w:eastAsia="Calibri Light"/>
          <w:lang w:val="en-US"/>
        </w:rPr>
        <w:t xml:space="preserve"> the ‘Home Care Account Balance plus Unspent Package Funds Closing Balance</w:t>
      </w:r>
      <w:r w:rsidR="00767196" w:rsidRPr="00F341BE">
        <w:rPr>
          <w:rFonts w:eastAsia="Calibri Light"/>
          <w:lang w:val="en-US"/>
        </w:rPr>
        <w:t>’</w:t>
      </w:r>
      <w:r w:rsidR="00E01F20" w:rsidRPr="00F341BE">
        <w:rPr>
          <w:rFonts w:eastAsia="Calibri Light"/>
          <w:lang w:val="en-US"/>
        </w:rPr>
        <w:t xml:space="preserve"> </w:t>
      </w:r>
      <w:r w:rsidR="00FA2168" w:rsidRPr="00F341BE">
        <w:rPr>
          <w:rFonts w:eastAsia="Calibri Light"/>
          <w:lang w:val="en-US"/>
        </w:rPr>
        <w:t xml:space="preserve">in the section. </w:t>
      </w:r>
    </w:p>
    <w:p w14:paraId="795C2F0D" w14:textId="60860A32" w:rsidR="005641BA" w:rsidRDefault="005641BA">
      <w:pPr>
        <w:rPr>
          <w:rFonts w:cs="Arial"/>
          <w:color w:val="auto"/>
          <w:lang w:val="en-US"/>
        </w:rPr>
      </w:pPr>
      <w:r>
        <w:rPr>
          <w:rFonts w:cs="Arial"/>
          <w:color w:val="auto"/>
          <w:lang w:val="en-US"/>
        </w:rPr>
        <w:br w:type="page"/>
      </w:r>
    </w:p>
    <w:p w14:paraId="3710AEF5" w14:textId="17EA76FC" w:rsidR="003C0DA9" w:rsidRDefault="003C0DA9" w:rsidP="00B45FFD">
      <w:pPr>
        <w:pStyle w:val="Heading1"/>
        <w:numPr>
          <w:ilvl w:val="0"/>
          <w:numId w:val="38"/>
        </w:numPr>
        <w:tabs>
          <w:tab w:val="left" w:pos="709"/>
        </w:tabs>
        <w:rPr>
          <w:rFonts w:eastAsia="Calibri Light"/>
        </w:rPr>
      </w:pPr>
      <w:bookmarkStart w:id="28" w:name="_Toc184198011"/>
      <w:bookmarkStart w:id="29" w:name="_Toc192694879"/>
      <w:r>
        <w:rPr>
          <w:rFonts w:eastAsia="Calibri Light"/>
        </w:rPr>
        <w:lastRenderedPageBreak/>
        <w:t>Annual Prudential Compliance Statement</w:t>
      </w:r>
      <w:bookmarkEnd w:id="28"/>
      <w:bookmarkEnd w:id="29"/>
    </w:p>
    <w:p w14:paraId="29EB8CC6" w14:textId="741E60EF" w:rsidR="009947EA" w:rsidRPr="00766782" w:rsidRDefault="009947EA" w:rsidP="00A8681B">
      <w:pPr>
        <w:rPr>
          <w:lang w:val="en-US"/>
        </w:rPr>
      </w:pPr>
      <w:r w:rsidRPr="00766782">
        <w:rPr>
          <w:lang w:val="en-US"/>
        </w:rPr>
        <w:t>Providers of residential aged care and</w:t>
      </w:r>
      <w:r w:rsidR="00766782" w:rsidRPr="00766782">
        <w:rPr>
          <w:lang w:val="en-US"/>
        </w:rPr>
        <w:t xml:space="preserve"> MPS</w:t>
      </w:r>
      <w:r w:rsidRPr="00766782">
        <w:rPr>
          <w:lang w:val="en-US"/>
        </w:rPr>
        <w:t xml:space="preserve"> are required to complete the APCS</w:t>
      </w:r>
      <w:r w:rsidR="00A8681B">
        <w:rPr>
          <w:lang w:val="en-US"/>
        </w:rPr>
        <w:t xml:space="preserve"> </w:t>
      </w:r>
      <w:r w:rsidRPr="00766782">
        <w:rPr>
          <w:lang w:val="en-US"/>
        </w:rPr>
        <w:t xml:space="preserve">component of the ACFR (Compliance with Prudential Standards, Compliance with Refundable Accommodation Payment Responsibilities, Permitted Uses for Accommodation Payments and Accommodation Payment Balances).  All APCSs and accompanying audit reports must be uploaded through the ACFR portal via </w:t>
      </w:r>
      <w:hyperlink r:id="rId34" w:history="1">
        <w:r w:rsidRPr="00C8489A">
          <w:rPr>
            <w:rStyle w:val="Hyperlink"/>
            <w:rFonts w:cs="Arial"/>
            <w:lang w:val="en-US"/>
          </w:rPr>
          <w:t xml:space="preserve">Forms </w:t>
        </w:r>
        <w:r w:rsidR="00C8489A" w:rsidRPr="00C8489A">
          <w:rPr>
            <w:rStyle w:val="Hyperlink"/>
            <w:rFonts w:cs="Arial"/>
            <w:lang w:val="en-US"/>
          </w:rPr>
          <w:t>Administration</w:t>
        </w:r>
      </w:hyperlink>
      <w:r w:rsidRPr="00766782">
        <w:rPr>
          <w:lang w:val="en-US"/>
        </w:rPr>
        <w:t xml:space="preserve"> using a myID login. If a provider did not hold bonds at any time during the year they are still required to complete the APCS</w:t>
      </w:r>
      <w:r w:rsidR="00C8489A">
        <w:rPr>
          <w:lang w:val="en-US"/>
        </w:rPr>
        <w:t>.</w:t>
      </w:r>
    </w:p>
    <w:p w14:paraId="094F264B" w14:textId="77777777" w:rsidR="009947EA" w:rsidRPr="00A262D7" w:rsidRDefault="009947EA" w:rsidP="00A262D7">
      <w:pPr>
        <w:pStyle w:val="Heading3"/>
        <w:spacing w:before="240" w:after="240"/>
        <w:ind w:left="0" w:firstLine="0"/>
        <w:rPr>
          <w:color w:val="1F848B" w:themeColor="accent1" w:themeShade="BF"/>
          <w:sz w:val="28"/>
          <w:lang w:val="en-US"/>
        </w:rPr>
      </w:pPr>
      <w:bookmarkStart w:id="30" w:name="_Toc488160250"/>
      <w:r w:rsidRPr="00A262D7">
        <w:rPr>
          <w:color w:val="1F848B" w:themeColor="accent1" w:themeShade="BF"/>
          <w:sz w:val="28"/>
          <w:lang w:val="en-US"/>
        </w:rPr>
        <w:t>Completing the APCS</w:t>
      </w:r>
      <w:bookmarkEnd w:id="30"/>
    </w:p>
    <w:p w14:paraId="3C7CADDD" w14:textId="0753EE7F" w:rsidR="009947EA" w:rsidRPr="0072573A" w:rsidRDefault="009947EA" w:rsidP="00A8681B">
      <w:pPr>
        <w:rPr>
          <w:color w:val="auto"/>
          <w:lang w:val="en-US"/>
        </w:rPr>
      </w:pPr>
      <w:r w:rsidRPr="0072573A">
        <w:rPr>
          <w:color w:val="auto"/>
          <w:lang w:val="en-US"/>
        </w:rPr>
        <w:t xml:space="preserve">A detailed user-guide to help complete the APCS is available at the </w:t>
      </w:r>
      <w:hyperlink r:id="rId35" w:history="1">
        <w:r w:rsidR="00E43356" w:rsidRPr="00CB05FF">
          <w:rPr>
            <w:rStyle w:val="Hyperlink"/>
            <w:rFonts w:cs="Arial"/>
            <w:lang w:val="en-US"/>
          </w:rPr>
          <w:t xml:space="preserve">department’s </w:t>
        </w:r>
        <w:r w:rsidR="00CB05FF" w:rsidRPr="00CB05FF">
          <w:rPr>
            <w:rStyle w:val="Hyperlink"/>
            <w:rFonts w:cs="Arial"/>
            <w:lang w:val="en-US"/>
          </w:rPr>
          <w:t>resource webpage</w:t>
        </w:r>
      </w:hyperlink>
      <w:r w:rsidRPr="0072573A">
        <w:rPr>
          <w:color w:val="auto"/>
          <w:lang w:val="en-US"/>
        </w:rPr>
        <w:t xml:space="preserve"> and is intended to be a general guide only and does not constitute legal advice. In cases of discrepancy between the guide and the legislation, the Act and the Fees and Payments Principles are the source documents setting out provider responsibilities. </w:t>
      </w:r>
    </w:p>
    <w:p w14:paraId="1626CDFB" w14:textId="77777777" w:rsidR="009947EA" w:rsidRPr="0072573A" w:rsidRDefault="009947EA" w:rsidP="00A8681B">
      <w:pPr>
        <w:rPr>
          <w:color w:val="auto"/>
          <w:lang w:val="en-US"/>
        </w:rPr>
      </w:pPr>
      <w:r w:rsidRPr="0072573A">
        <w:rPr>
          <w:color w:val="auto"/>
          <w:lang w:val="en-US"/>
        </w:rPr>
        <w:t xml:space="preserve">A provider may be asked at any time to demonstrate its compliance as reported in the APCS. </w:t>
      </w:r>
    </w:p>
    <w:p w14:paraId="69B8CFBA" w14:textId="77777777" w:rsidR="009947EA" w:rsidRPr="00A262D7" w:rsidRDefault="009947EA" w:rsidP="00A262D7">
      <w:pPr>
        <w:pStyle w:val="Heading3"/>
        <w:spacing w:before="240" w:after="240"/>
        <w:ind w:left="0" w:firstLine="0"/>
        <w:rPr>
          <w:color w:val="1F848B" w:themeColor="accent1" w:themeShade="BF"/>
          <w:sz w:val="28"/>
          <w:lang w:val="en-US"/>
        </w:rPr>
      </w:pPr>
      <w:bookmarkStart w:id="31" w:name="_Toc488160251"/>
      <w:r w:rsidRPr="00A262D7">
        <w:rPr>
          <w:color w:val="1F848B" w:themeColor="accent1" w:themeShade="BF"/>
          <w:sz w:val="28"/>
          <w:lang w:val="en-US"/>
        </w:rPr>
        <w:t xml:space="preserve">Compliance </w:t>
      </w:r>
      <w:bookmarkEnd w:id="31"/>
      <w:r w:rsidRPr="00A262D7">
        <w:rPr>
          <w:color w:val="1F848B" w:themeColor="accent1" w:themeShade="BF"/>
          <w:sz w:val="28"/>
          <w:lang w:val="en-US"/>
        </w:rPr>
        <w:t>audit</w:t>
      </w:r>
    </w:p>
    <w:p w14:paraId="7205FF97" w14:textId="63AF3B5E" w:rsidR="009947EA" w:rsidRPr="00E43356" w:rsidRDefault="009947EA" w:rsidP="00A8681B">
      <w:pPr>
        <w:rPr>
          <w:rStyle w:val="Hyperlink"/>
          <w:rFonts w:cs="Arial"/>
          <w:color w:val="1E1545" w:themeColor="text1"/>
          <w:u w:val="none"/>
          <w:lang w:val="en-US"/>
        </w:rPr>
      </w:pPr>
      <w:r w:rsidRPr="00E43356">
        <w:rPr>
          <w:lang w:val="en-US"/>
        </w:rPr>
        <w:t>Providers must have their APCS audited and upload a Compliance Audit Certificate to the ACFR portal before finalising their submission. Providers can print a copy of their ACFR to show their auditor before completing and attaching a copy of their report. The auditor can keep a copy of the APCS and their audit opinion for their own records. Audit guides are available</w:t>
      </w:r>
      <w:r w:rsidR="007026CF">
        <w:t xml:space="preserve"> on the</w:t>
      </w:r>
      <w:r w:rsidR="00CA7A07">
        <w:t xml:space="preserve"> </w:t>
      </w:r>
      <w:hyperlink r:id="rId36" w:history="1">
        <w:r w:rsidR="00CA7A07" w:rsidRPr="00CB05FF">
          <w:rPr>
            <w:rStyle w:val="Hyperlink"/>
          </w:rPr>
          <w:t>department’s</w:t>
        </w:r>
        <w:r w:rsidR="00CB05FF" w:rsidRPr="00CB05FF">
          <w:rPr>
            <w:rStyle w:val="Hyperlink"/>
          </w:rPr>
          <w:t xml:space="preserve"> resource page</w:t>
        </w:r>
      </w:hyperlink>
      <w:r w:rsidRPr="00E43356">
        <w:rPr>
          <w:lang w:val="en-US"/>
        </w:rPr>
        <w:t xml:space="preserve">.  </w:t>
      </w:r>
    </w:p>
    <w:p w14:paraId="6B2B28B5" w14:textId="77777777" w:rsidR="009947EA" w:rsidRPr="00E43356" w:rsidRDefault="009947EA" w:rsidP="00A8681B">
      <w:pPr>
        <w:rPr>
          <w:lang w:val="en-US"/>
        </w:rPr>
      </w:pPr>
      <w:r w:rsidRPr="00E43356">
        <w:rPr>
          <w:lang w:val="en-US"/>
        </w:rPr>
        <w:t>Please ensure the auditor has read the instructions and completed their audit accordingly. The compliance audit is separate from the GPFS financial audit and one audit report that covers both the prudential compliance and the GPFS is not acceptable.</w:t>
      </w:r>
    </w:p>
    <w:p w14:paraId="71C59479" w14:textId="2F78C722" w:rsidR="009947EA" w:rsidRDefault="009947EA" w:rsidP="00A262D7">
      <w:pPr>
        <w:pStyle w:val="Heading3"/>
        <w:spacing w:before="240" w:after="240"/>
        <w:ind w:left="0" w:firstLine="0"/>
        <w:rPr>
          <w:color w:val="1F848B" w:themeColor="accent1" w:themeShade="BF"/>
          <w:sz w:val="28"/>
          <w:lang w:val="en-US"/>
        </w:rPr>
      </w:pPr>
      <w:bookmarkStart w:id="32" w:name="_Toc488160253"/>
      <w:r w:rsidRPr="00A262D7">
        <w:rPr>
          <w:color w:val="1F848B" w:themeColor="accent1" w:themeShade="BF"/>
          <w:sz w:val="28"/>
          <w:lang w:val="en-US"/>
        </w:rPr>
        <w:t>Compliance with prudential standards questions</w:t>
      </w:r>
      <w:bookmarkEnd w:id="32"/>
    </w:p>
    <w:p w14:paraId="5379488D" w14:textId="7270EF7B" w:rsidR="00054E70" w:rsidRPr="00054E70" w:rsidRDefault="00054E70" w:rsidP="00054E70">
      <w:pPr>
        <w:rPr>
          <w:rFonts w:eastAsiaTheme="majorEastAsia"/>
          <w:lang w:val="en-US"/>
        </w:rPr>
      </w:pPr>
      <w:r>
        <w:rPr>
          <w:rFonts w:eastAsiaTheme="majorEastAsia"/>
          <w:lang w:val="en-US"/>
        </w:rPr>
        <w:t xml:space="preserve">The following information is required </w:t>
      </w:r>
      <w:r w:rsidR="00C6285F">
        <w:rPr>
          <w:rFonts w:eastAsiaTheme="majorEastAsia"/>
          <w:lang w:val="en-US"/>
        </w:rPr>
        <w:t>to ensure compliance with prudential standards questions:</w:t>
      </w:r>
    </w:p>
    <w:p w14:paraId="43DDD560" w14:textId="77777777" w:rsidR="009947EA" w:rsidRPr="00A8681B" w:rsidRDefault="009947EA" w:rsidP="00A8681B">
      <w:pPr>
        <w:pStyle w:val="ListParagraph"/>
        <w:numPr>
          <w:ilvl w:val="0"/>
          <w:numId w:val="29"/>
        </w:numPr>
        <w:rPr>
          <w:lang w:val="en-US"/>
        </w:rPr>
      </w:pPr>
      <w:r w:rsidRPr="00A8681B">
        <w:rPr>
          <w:lang w:val="en-US"/>
        </w:rPr>
        <w:t>bonds held</w:t>
      </w:r>
    </w:p>
    <w:p w14:paraId="304FA19D" w14:textId="784A436F" w:rsidR="009947EA" w:rsidRPr="00A8681B" w:rsidRDefault="009947EA" w:rsidP="00A8681B">
      <w:pPr>
        <w:pStyle w:val="ListParagraph"/>
        <w:numPr>
          <w:ilvl w:val="0"/>
          <w:numId w:val="29"/>
        </w:numPr>
        <w:rPr>
          <w:lang w:val="en-US"/>
        </w:rPr>
      </w:pPr>
      <w:r w:rsidRPr="00A8681B">
        <w:rPr>
          <w:lang w:val="en-US"/>
        </w:rPr>
        <w:t>total value of refundable deposits and bond payments received in the year</w:t>
      </w:r>
    </w:p>
    <w:p w14:paraId="79F7C06D" w14:textId="77777777" w:rsidR="009947EA" w:rsidRPr="00A8681B" w:rsidRDefault="009947EA" w:rsidP="00A8681B">
      <w:pPr>
        <w:pStyle w:val="ListParagraph"/>
        <w:numPr>
          <w:ilvl w:val="0"/>
          <w:numId w:val="29"/>
        </w:numPr>
        <w:rPr>
          <w:lang w:val="en-US"/>
        </w:rPr>
      </w:pPr>
      <w:r w:rsidRPr="00A8681B">
        <w:rPr>
          <w:lang w:val="en-US"/>
        </w:rPr>
        <w:t>total amount deducted from balances in the year</w:t>
      </w:r>
    </w:p>
    <w:p w14:paraId="309DFEE0" w14:textId="77777777" w:rsidR="009947EA" w:rsidRPr="00A8681B" w:rsidRDefault="009947EA" w:rsidP="00A8681B">
      <w:pPr>
        <w:pStyle w:val="ListParagraph"/>
        <w:numPr>
          <w:ilvl w:val="0"/>
          <w:numId w:val="29"/>
        </w:numPr>
        <w:rPr>
          <w:lang w:val="en-US"/>
        </w:rPr>
      </w:pPr>
      <w:r w:rsidRPr="00A8681B">
        <w:rPr>
          <w:lang w:val="en-US"/>
        </w:rPr>
        <w:lastRenderedPageBreak/>
        <w:t>compliance with the prudential standards</w:t>
      </w:r>
    </w:p>
    <w:p w14:paraId="384792CB" w14:textId="77777777" w:rsidR="009947EA" w:rsidRPr="00A8681B" w:rsidRDefault="009947EA" w:rsidP="00A8681B">
      <w:pPr>
        <w:pStyle w:val="ListParagraph"/>
        <w:numPr>
          <w:ilvl w:val="0"/>
          <w:numId w:val="29"/>
        </w:numPr>
        <w:rPr>
          <w:lang w:val="en-US"/>
        </w:rPr>
      </w:pPr>
      <w:r w:rsidRPr="00A8681B">
        <w:rPr>
          <w:lang w:val="en-US"/>
        </w:rPr>
        <w:t>liquidity standard</w:t>
      </w:r>
    </w:p>
    <w:p w14:paraId="2CD75129" w14:textId="77777777" w:rsidR="009947EA" w:rsidRPr="00A8681B" w:rsidRDefault="009947EA" w:rsidP="00A8681B">
      <w:pPr>
        <w:pStyle w:val="ListParagraph"/>
        <w:numPr>
          <w:ilvl w:val="0"/>
          <w:numId w:val="29"/>
        </w:numPr>
        <w:rPr>
          <w:lang w:val="en-US"/>
        </w:rPr>
      </w:pPr>
      <w:r w:rsidRPr="00A8681B">
        <w:rPr>
          <w:lang w:val="en-US"/>
        </w:rPr>
        <w:t>records standard</w:t>
      </w:r>
    </w:p>
    <w:p w14:paraId="5B515C72" w14:textId="77777777" w:rsidR="009947EA" w:rsidRPr="00A8681B" w:rsidRDefault="009947EA" w:rsidP="00A8681B">
      <w:pPr>
        <w:pStyle w:val="ListParagraph"/>
        <w:numPr>
          <w:ilvl w:val="0"/>
          <w:numId w:val="29"/>
        </w:numPr>
        <w:rPr>
          <w:lang w:val="en-US"/>
        </w:rPr>
      </w:pPr>
      <w:r w:rsidRPr="00A8681B">
        <w:rPr>
          <w:lang w:val="en-US"/>
        </w:rPr>
        <w:t>governance standard</w:t>
      </w:r>
    </w:p>
    <w:p w14:paraId="52738DCA" w14:textId="588008EC" w:rsidR="009947EA" w:rsidRPr="00A8681B" w:rsidRDefault="009947EA" w:rsidP="00A8681B">
      <w:pPr>
        <w:pStyle w:val="ListParagraph"/>
        <w:numPr>
          <w:ilvl w:val="0"/>
          <w:numId w:val="29"/>
        </w:numPr>
        <w:rPr>
          <w:lang w:val="en-US"/>
        </w:rPr>
      </w:pPr>
      <w:r w:rsidRPr="00A8681B">
        <w:rPr>
          <w:lang w:val="en-US"/>
        </w:rPr>
        <w:t>disclosure standard</w:t>
      </w:r>
    </w:p>
    <w:p w14:paraId="77257122" w14:textId="77777777" w:rsidR="009947EA" w:rsidRDefault="009947EA" w:rsidP="00A262D7">
      <w:pPr>
        <w:pStyle w:val="Heading3"/>
        <w:spacing w:before="240" w:after="240"/>
        <w:ind w:left="0" w:firstLine="0"/>
        <w:rPr>
          <w:color w:val="1F848B" w:themeColor="accent1" w:themeShade="BF"/>
          <w:sz w:val="28"/>
          <w:lang w:val="en-US"/>
        </w:rPr>
      </w:pPr>
      <w:r w:rsidRPr="00A262D7">
        <w:rPr>
          <w:color w:val="1F848B" w:themeColor="accent1" w:themeShade="BF"/>
          <w:sz w:val="28"/>
          <w:lang w:val="en-US"/>
        </w:rPr>
        <w:t>Compliance with refundable accommodation payments</w:t>
      </w:r>
    </w:p>
    <w:p w14:paraId="05A39C13" w14:textId="71A02D5A" w:rsidR="00C6285F" w:rsidRPr="00C6285F" w:rsidRDefault="00C6285F" w:rsidP="00C6285F">
      <w:pPr>
        <w:rPr>
          <w:rFonts w:eastAsiaTheme="majorEastAsia"/>
          <w:lang w:val="en-US"/>
        </w:rPr>
      </w:pPr>
      <w:r>
        <w:rPr>
          <w:rFonts w:eastAsiaTheme="majorEastAsia"/>
          <w:lang w:val="en-US"/>
        </w:rPr>
        <w:t>The following information is required to ensure compliance with refundable accommodation payments:</w:t>
      </w:r>
    </w:p>
    <w:p w14:paraId="72722E18" w14:textId="77777777" w:rsidR="009947EA" w:rsidRPr="00A8681B" w:rsidRDefault="009947EA" w:rsidP="00A8681B">
      <w:pPr>
        <w:pStyle w:val="ListParagraph"/>
        <w:numPr>
          <w:ilvl w:val="0"/>
          <w:numId w:val="29"/>
        </w:numPr>
        <w:rPr>
          <w:lang w:val="en-US"/>
        </w:rPr>
      </w:pPr>
      <w:r w:rsidRPr="00A8681B">
        <w:rPr>
          <w:lang w:val="en-US"/>
        </w:rPr>
        <w:t xml:space="preserve">limits on charging refundable deposits or bonds </w:t>
      </w:r>
    </w:p>
    <w:p w14:paraId="215F3B97" w14:textId="77777777" w:rsidR="009947EA" w:rsidRPr="00A8681B" w:rsidRDefault="009947EA" w:rsidP="00A8681B">
      <w:pPr>
        <w:pStyle w:val="ListParagraph"/>
        <w:numPr>
          <w:ilvl w:val="0"/>
          <w:numId w:val="29"/>
        </w:numPr>
        <w:rPr>
          <w:lang w:val="en-US"/>
        </w:rPr>
      </w:pPr>
      <w:r w:rsidRPr="00A8681B">
        <w:rPr>
          <w:lang w:val="en-US"/>
        </w:rPr>
        <w:t>compliance with rules around charging bonds</w:t>
      </w:r>
    </w:p>
    <w:p w14:paraId="5D7DE6D9" w14:textId="77777777" w:rsidR="009947EA" w:rsidRPr="00A8681B" w:rsidRDefault="009947EA" w:rsidP="00A8681B">
      <w:pPr>
        <w:pStyle w:val="ListParagraph"/>
        <w:numPr>
          <w:ilvl w:val="0"/>
          <w:numId w:val="29"/>
        </w:numPr>
        <w:rPr>
          <w:lang w:val="en-US"/>
        </w:rPr>
      </w:pPr>
      <w:r w:rsidRPr="00A8681B">
        <w:rPr>
          <w:lang w:val="en-US"/>
        </w:rPr>
        <w:t xml:space="preserve">compliance with rules around charging accommodation payments </w:t>
      </w:r>
    </w:p>
    <w:p w14:paraId="420DE840" w14:textId="77777777" w:rsidR="009947EA" w:rsidRPr="00A8681B" w:rsidRDefault="009947EA" w:rsidP="00A8681B">
      <w:pPr>
        <w:pStyle w:val="ListParagraph"/>
        <w:numPr>
          <w:ilvl w:val="0"/>
          <w:numId w:val="29"/>
        </w:numPr>
        <w:rPr>
          <w:lang w:val="en-US"/>
        </w:rPr>
      </w:pPr>
      <w:r w:rsidRPr="00A8681B">
        <w:rPr>
          <w:lang w:val="en-US"/>
        </w:rPr>
        <w:t>compliance with refunding responsibilities</w:t>
      </w:r>
    </w:p>
    <w:p w14:paraId="2A93BBCA" w14:textId="77777777" w:rsidR="009947EA" w:rsidRDefault="009947EA" w:rsidP="00A262D7">
      <w:pPr>
        <w:pStyle w:val="Heading3"/>
        <w:spacing w:before="240" w:after="240"/>
        <w:ind w:left="0" w:firstLine="0"/>
        <w:rPr>
          <w:color w:val="1F848B" w:themeColor="accent1" w:themeShade="BF"/>
          <w:sz w:val="28"/>
          <w:lang w:val="en-US"/>
        </w:rPr>
      </w:pPr>
      <w:bookmarkStart w:id="33" w:name="_Toc488160254"/>
      <w:r w:rsidRPr="00A262D7">
        <w:rPr>
          <w:color w:val="1F848B" w:themeColor="accent1" w:themeShade="BF"/>
          <w:sz w:val="28"/>
          <w:lang w:val="en-US"/>
        </w:rPr>
        <w:t xml:space="preserve">Compliance with the provision of other care and service fees </w:t>
      </w:r>
    </w:p>
    <w:p w14:paraId="2867D0AD" w14:textId="6F540A5A" w:rsidR="00C6285F" w:rsidRPr="00C6285F" w:rsidRDefault="00C6285F" w:rsidP="00C6285F">
      <w:pPr>
        <w:rPr>
          <w:rFonts w:eastAsiaTheme="majorEastAsia"/>
          <w:lang w:val="en-US"/>
        </w:rPr>
      </w:pPr>
      <w:r>
        <w:rPr>
          <w:rFonts w:eastAsiaTheme="majorEastAsia"/>
          <w:lang w:val="en-US"/>
        </w:rPr>
        <w:t>The following information is required to ensure compliance the provision of other care and service fees:</w:t>
      </w:r>
    </w:p>
    <w:p w14:paraId="0097F460" w14:textId="77777777" w:rsidR="009947EA" w:rsidRPr="00A8681B" w:rsidRDefault="009947EA" w:rsidP="00A8681B">
      <w:pPr>
        <w:pStyle w:val="ListParagraph"/>
        <w:numPr>
          <w:ilvl w:val="0"/>
          <w:numId w:val="29"/>
        </w:numPr>
        <w:rPr>
          <w:lang w:val="en-US"/>
        </w:rPr>
      </w:pPr>
      <w:r w:rsidRPr="00A8681B">
        <w:rPr>
          <w:lang w:val="en-US"/>
        </w:rPr>
        <w:t>compliance with other care and service fee charging responsibilities</w:t>
      </w:r>
    </w:p>
    <w:p w14:paraId="6086BEFF" w14:textId="77777777" w:rsidR="009947EA" w:rsidRDefault="009947EA" w:rsidP="00A262D7">
      <w:pPr>
        <w:pStyle w:val="Heading3"/>
        <w:spacing w:before="240" w:after="240"/>
        <w:ind w:left="0" w:firstLine="0"/>
        <w:rPr>
          <w:color w:val="1F848B" w:themeColor="accent1" w:themeShade="BF"/>
          <w:sz w:val="28"/>
          <w:lang w:val="en-US"/>
        </w:rPr>
      </w:pPr>
      <w:r w:rsidRPr="00A262D7">
        <w:rPr>
          <w:color w:val="1F848B" w:themeColor="accent1" w:themeShade="BF"/>
          <w:sz w:val="28"/>
          <w:lang w:val="en-US"/>
        </w:rPr>
        <w:t>Compliance with refunding responsibilities</w:t>
      </w:r>
    </w:p>
    <w:p w14:paraId="6F11DC2F" w14:textId="6ED76ABB" w:rsidR="00C6285F" w:rsidRPr="00C6285F" w:rsidRDefault="00C6285F" w:rsidP="00C6285F">
      <w:pPr>
        <w:rPr>
          <w:rFonts w:eastAsiaTheme="majorEastAsia"/>
          <w:lang w:val="en-US"/>
        </w:rPr>
      </w:pPr>
      <w:r>
        <w:rPr>
          <w:rFonts w:eastAsiaTheme="majorEastAsia"/>
          <w:lang w:val="en-US"/>
        </w:rPr>
        <w:t>The following information is required to ensure compliance with refunding responsibilities:</w:t>
      </w:r>
    </w:p>
    <w:p w14:paraId="2C5A185A" w14:textId="77777777" w:rsidR="009947EA" w:rsidRPr="00A8681B" w:rsidRDefault="009947EA" w:rsidP="00A8681B">
      <w:pPr>
        <w:pStyle w:val="ListParagraph"/>
        <w:numPr>
          <w:ilvl w:val="0"/>
          <w:numId w:val="29"/>
        </w:numPr>
        <w:rPr>
          <w:lang w:val="en-US"/>
        </w:rPr>
      </w:pPr>
      <w:r w:rsidRPr="00A8681B">
        <w:rPr>
          <w:lang w:val="en-US"/>
        </w:rPr>
        <w:t>refund of refundable lump sum balances</w:t>
      </w:r>
    </w:p>
    <w:p w14:paraId="1765003A" w14:textId="77777777" w:rsidR="009947EA" w:rsidRPr="00A8681B" w:rsidRDefault="009947EA" w:rsidP="00A8681B">
      <w:pPr>
        <w:pStyle w:val="ListParagraph"/>
        <w:numPr>
          <w:ilvl w:val="0"/>
          <w:numId w:val="29"/>
        </w:numPr>
        <w:rPr>
          <w:lang w:val="en-US"/>
        </w:rPr>
      </w:pPr>
      <w:r w:rsidRPr="00A8681B">
        <w:rPr>
          <w:lang w:val="en-US"/>
        </w:rPr>
        <w:t>refund of entry contribution balances</w:t>
      </w:r>
    </w:p>
    <w:bookmarkEnd w:id="33"/>
    <w:p w14:paraId="18C66825" w14:textId="77777777" w:rsidR="009947EA" w:rsidRDefault="009947EA" w:rsidP="00A262D7">
      <w:pPr>
        <w:pStyle w:val="Heading3"/>
        <w:spacing w:before="240" w:after="240"/>
        <w:ind w:left="0" w:firstLine="0"/>
        <w:rPr>
          <w:color w:val="1F848B" w:themeColor="accent1" w:themeShade="BF"/>
          <w:sz w:val="28"/>
          <w:lang w:val="en-US"/>
        </w:rPr>
      </w:pPr>
      <w:r w:rsidRPr="00A262D7">
        <w:rPr>
          <w:color w:val="1F848B" w:themeColor="accent1" w:themeShade="BF"/>
          <w:sz w:val="28"/>
          <w:lang w:val="en-US"/>
        </w:rPr>
        <w:t>Compliance with refundable accommodation payment responsibilities</w:t>
      </w:r>
    </w:p>
    <w:p w14:paraId="07969538" w14:textId="6B5DD43D" w:rsidR="00C6285F" w:rsidRPr="00C6285F" w:rsidRDefault="00F342C5" w:rsidP="00C6285F">
      <w:pPr>
        <w:rPr>
          <w:rFonts w:eastAsiaTheme="majorEastAsia"/>
          <w:lang w:val="en-US"/>
        </w:rPr>
      </w:pPr>
      <w:r>
        <w:rPr>
          <w:rFonts w:eastAsiaTheme="majorEastAsia"/>
          <w:lang w:val="en-US"/>
        </w:rPr>
        <w:t>The following information is required to ensure compliance with refundable accommodation payment responsibilities:</w:t>
      </w:r>
    </w:p>
    <w:p w14:paraId="0E961A54" w14:textId="77777777" w:rsidR="009947EA" w:rsidRPr="00A8681B" w:rsidRDefault="009947EA" w:rsidP="00A8681B">
      <w:pPr>
        <w:pStyle w:val="ListParagraph"/>
        <w:numPr>
          <w:ilvl w:val="0"/>
          <w:numId w:val="29"/>
        </w:numPr>
        <w:rPr>
          <w:lang w:val="en-US"/>
        </w:rPr>
      </w:pPr>
      <w:r w:rsidRPr="00A8681B">
        <w:rPr>
          <w:lang w:val="en-US"/>
        </w:rPr>
        <w:t>total number of refundable deposit and bond balances held</w:t>
      </w:r>
    </w:p>
    <w:p w14:paraId="2F7CB58D" w14:textId="77777777" w:rsidR="009947EA" w:rsidRPr="00A8681B" w:rsidRDefault="009947EA" w:rsidP="00A8681B">
      <w:pPr>
        <w:pStyle w:val="ListParagraph"/>
        <w:numPr>
          <w:ilvl w:val="0"/>
          <w:numId w:val="29"/>
        </w:numPr>
        <w:rPr>
          <w:lang w:val="en-US"/>
        </w:rPr>
      </w:pPr>
      <w:r w:rsidRPr="00A8681B">
        <w:rPr>
          <w:lang w:val="en-US"/>
        </w:rPr>
        <w:t>total value ($) of refundable deposit and bond balances held</w:t>
      </w:r>
    </w:p>
    <w:p w14:paraId="5E4D9C11" w14:textId="77777777" w:rsidR="009947EA" w:rsidRPr="00A8681B" w:rsidRDefault="009947EA" w:rsidP="00A8681B">
      <w:pPr>
        <w:pStyle w:val="ListParagraph"/>
        <w:numPr>
          <w:ilvl w:val="0"/>
          <w:numId w:val="29"/>
        </w:numPr>
        <w:rPr>
          <w:lang w:val="en-US"/>
        </w:rPr>
      </w:pPr>
      <w:r w:rsidRPr="00A8681B">
        <w:rPr>
          <w:lang w:val="en-US"/>
        </w:rPr>
        <w:t>total number of entry contribution (pre 1997) balances held</w:t>
      </w:r>
    </w:p>
    <w:p w14:paraId="62691AB4" w14:textId="77777777" w:rsidR="009947EA" w:rsidRPr="00A8681B" w:rsidRDefault="009947EA" w:rsidP="00A8681B">
      <w:pPr>
        <w:pStyle w:val="ListParagraph"/>
        <w:numPr>
          <w:ilvl w:val="0"/>
          <w:numId w:val="29"/>
        </w:numPr>
        <w:rPr>
          <w:lang w:val="en-US"/>
        </w:rPr>
      </w:pPr>
      <w:r w:rsidRPr="00A8681B">
        <w:rPr>
          <w:lang w:val="en-US"/>
        </w:rPr>
        <w:t>total value ($) of entry contribution (pre 1997) balances held</w:t>
      </w:r>
    </w:p>
    <w:p w14:paraId="7532661F" w14:textId="77777777" w:rsidR="009947EA" w:rsidRDefault="009947EA" w:rsidP="00A262D7">
      <w:pPr>
        <w:pStyle w:val="Heading3"/>
        <w:spacing w:before="240" w:after="240"/>
        <w:ind w:left="0" w:firstLine="0"/>
        <w:rPr>
          <w:color w:val="1F848B" w:themeColor="accent1" w:themeShade="BF"/>
          <w:sz w:val="28"/>
          <w:lang w:val="en-US"/>
        </w:rPr>
      </w:pPr>
      <w:bookmarkStart w:id="34" w:name="_Toc488160255"/>
      <w:r w:rsidRPr="00A262D7">
        <w:rPr>
          <w:color w:val="1F848B" w:themeColor="accent1" w:themeShade="BF"/>
          <w:sz w:val="28"/>
          <w:lang w:val="en-US"/>
        </w:rPr>
        <w:lastRenderedPageBreak/>
        <w:t xml:space="preserve">Compliance with permitted uses for </w:t>
      </w:r>
      <w:bookmarkEnd w:id="34"/>
      <w:r w:rsidRPr="00A262D7">
        <w:rPr>
          <w:color w:val="1F848B" w:themeColor="accent1" w:themeShade="BF"/>
          <w:sz w:val="28"/>
          <w:lang w:val="en-US"/>
        </w:rPr>
        <w:t>accommodation payments</w:t>
      </w:r>
    </w:p>
    <w:p w14:paraId="2BD704C3" w14:textId="6FAA1C47" w:rsidR="007640CC" w:rsidRPr="007640CC" w:rsidRDefault="007640CC" w:rsidP="007640CC">
      <w:pPr>
        <w:rPr>
          <w:rFonts w:eastAsiaTheme="majorEastAsia"/>
          <w:lang w:val="en-US"/>
        </w:rPr>
      </w:pPr>
      <w:r>
        <w:rPr>
          <w:rFonts w:eastAsiaTheme="majorEastAsia"/>
          <w:lang w:val="en-US"/>
        </w:rPr>
        <w:t>The following information is required to ensure compliance</w:t>
      </w:r>
      <w:r w:rsidR="00EB3E51">
        <w:rPr>
          <w:rFonts w:eastAsiaTheme="majorEastAsia"/>
          <w:lang w:val="en-US"/>
        </w:rPr>
        <w:t xml:space="preserve"> with permitted used for accommodation payments:</w:t>
      </w:r>
    </w:p>
    <w:p w14:paraId="2984A155" w14:textId="77777777" w:rsidR="009947EA" w:rsidRPr="00A8681B" w:rsidRDefault="009947EA" w:rsidP="00A8681B">
      <w:pPr>
        <w:pStyle w:val="ListParagraph"/>
        <w:numPr>
          <w:ilvl w:val="0"/>
          <w:numId w:val="29"/>
        </w:numPr>
        <w:rPr>
          <w:lang w:val="en-US"/>
        </w:rPr>
      </w:pPr>
      <w:r w:rsidRPr="00A8681B">
        <w:rPr>
          <w:lang w:val="en-US"/>
        </w:rPr>
        <w:t>Tick relevant boxes indicating which of the permitted uses listed that were expended refundable deposits, accommodation bonds or entry contributions on for this year.</w:t>
      </w:r>
    </w:p>
    <w:p w14:paraId="602E0D46" w14:textId="77777777" w:rsidR="009947EA" w:rsidRPr="00A8681B" w:rsidRDefault="009947EA" w:rsidP="00A8681B">
      <w:pPr>
        <w:pStyle w:val="ListParagraph"/>
        <w:numPr>
          <w:ilvl w:val="0"/>
          <w:numId w:val="29"/>
        </w:numPr>
        <w:rPr>
          <w:lang w:val="en-US"/>
        </w:rPr>
      </w:pPr>
      <w:r w:rsidRPr="00A8681B">
        <w:rPr>
          <w:lang w:val="en-US"/>
        </w:rPr>
        <w:t>Provide value ($) of expenditure during the financial year on uses for which refundable deposits, bonds or entry contributions would be permitted from any funding source. This is designed to capture all expenditure on anything allowable as a permitted use and is the only place in the APCS where the questions are not based purely on refundable deposits or bonds.</w:t>
      </w:r>
    </w:p>
    <w:p w14:paraId="61C016A3" w14:textId="77777777" w:rsidR="009947EA" w:rsidRDefault="009947EA" w:rsidP="00A8681B">
      <w:pPr>
        <w:pStyle w:val="ListParagraph"/>
        <w:numPr>
          <w:ilvl w:val="0"/>
          <w:numId w:val="29"/>
        </w:numPr>
        <w:rPr>
          <w:lang w:val="en-US"/>
        </w:rPr>
      </w:pPr>
      <w:r w:rsidRPr="00A8681B">
        <w:rPr>
          <w:lang w:val="en-US"/>
        </w:rPr>
        <w:t>Providers are required to report expenditure from all sources of funding. The information is about expenditure on uses for which refundable accommodation payments are permitted by the Act. Providers are not expected to reconcile their refundable accommodation payment income against their permitted use expenditure.</w:t>
      </w:r>
    </w:p>
    <w:p w14:paraId="22BC600A" w14:textId="5FA3EC03" w:rsidR="007579CA" w:rsidRPr="00A22F87" w:rsidRDefault="007579CA" w:rsidP="007579CA">
      <w:pPr>
        <w:rPr>
          <w:rFonts w:eastAsiaTheme="majorEastAsia"/>
          <w:b/>
          <w:bCs/>
          <w:lang w:val="en-US"/>
        </w:rPr>
      </w:pPr>
      <w:r w:rsidRPr="00A22F87">
        <w:rPr>
          <w:rFonts w:eastAsiaTheme="majorEastAsia"/>
          <w:lang w:val="en-US"/>
        </w:rPr>
        <w:t xml:space="preserve">There are additional resources provided on the </w:t>
      </w:r>
      <w:hyperlink r:id="rId37" w:history="1">
        <w:r w:rsidRPr="006271D8">
          <w:rPr>
            <w:rStyle w:val="Hyperlink"/>
            <w:rFonts w:eastAsiaTheme="majorEastAsia"/>
            <w:lang w:val="en-US"/>
          </w:rPr>
          <w:t>department’s website</w:t>
        </w:r>
      </w:hyperlink>
      <w:r w:rsidRPr="00A22F87">
        <w:rPr>
          <w:rFonts w:eastAsiaTheme="majorEastAsia"/>
          <w:lang w:val="en-US"/>
        </w:rPr>
        <w:t xml:space="preserve"> to assist providers completing their APCS. The resources include:</w:t>
      </w:r>
    </w:p>
    <w:p w14:paraId="2FBD1788" w14:textId="77777777" w:rsidR="007579CA" w:rsidRPr="00D87E66" w:rsidRDefault="007579CA" w:rsidP="007579CA">
      <w:pPr>
        <w:pStyle w:val="ListParagraph"/>
        <w:numPr>
          <w:ilvl w:val="0"/>
          <w:numId w:val="29"/>
        </w:numPr>
        <w:rPr>
          <w:lang w:val="en-US"/>
        </w:rPr>
      </w:pPr>
      <w:r w:rsidRPr="00D87E66">
        <w:rPr>
          <w:lang w:val="en-US"/>
        </w:rPr>
        <w:t>an APCS guideline,</w:t>
      </w:r>
    </w:p>
    <w:p w14:paraId="043C8338" w14:textId="77777777" w:rsidR="007579CA" w:rsidRPr="00D87E66" w:rsidRDefault="007579CA" w:rsidP="007579CA">
      <w:pPr>
        <w:pStyle w:val="ListParagraph"/>
        <w:numPr>
          <w:ilvl w:val="0"/>
          <w:numId w:val="29"/>
        </w:numPr>
        <w:rPr>
          <w:lang w:val="en-US"/>
        </w:rPr>
      </w:pPr>
      <w:r w:rsidRPr="00D87E66">
        <w:rPr>
          <w:lang w:val="en-US"/>
        </w:rPr>
        <w:t>a guide to audit,</w:t>
      </w:r>
    </w:p>
    <w:p w14:paraId="2C6C42B8" w14:textId="164877CA" w:rsidR="007579CA" w:rsidRPr="007579CA" w:rsidRDefault="007579CA" w:rsidP="007579CA">
      <w:pPr>
        <w:pStyle w:val="ListParagraph"/>
        <w:numPr>
          <w:ilvl w:val="0"/>
          <w:numId w:val="29"/>
        </w:numPr>
        <w:rPr>
          <w:lang w:val="en-US"/>
        </w:rPr>
      </w:pPr>
      <w:r w:rsidRPr="00D87E66">
        <w:rPr>
          <w:lang w:val="en-US"/>
        </w:rPr>
        <w:t>and both qualified and clean versions of the Audit Opinion template.</w:t>
      </w:r>
    </w:p>
    <w:p w14:paraId="25301950" w14:textId="0E42CE4A" w:rsidR="00A4123B" w:rsidRDefault="00A4123B" w:rsidP="00A4123B">
      <w:pPr>
        <w:pStyle w:val="PullOut"/>
        <w:rPr>
          <w:lang w:val="en-US"/>
        </w:rPr>
      </w:pPr>
      <w:r>
        <w:rPr>
          <w:lang w:val="en-US"/>
        </w:rPr>
        <w:t>Annual Prudential Compliance Statement FAQs</w:t>
      </w:r>
    </w:p>
    <w:p w14:paraId="419347E2" w14:textId="6B96DC93" w:rsidR="00B24F70" w:rsidRPr="00B24F70" w:rsidRDefault="009428A9" w:rsidP="00B24F70">
      <w:pPr>
        <w:pStyle w:val="Caption"/>
        <w:rPr>
          <w:noProof/>
          <w:lang w:val="en-US"/>
        </w:rPr>
      </w:pPr>
      <w:r>
        <w:rPr>
          <w:noProof/>
          <w:lang w:val="en-US"/>
        </w:rPr>
        <w:fldChar w:fldCharType="begin"/>
      </w:r>
      <w:r>
        <w:rPr>
          <w:noProof/>
          <w:lang w:val="en-US"/>
        </w:rPr>
        <w:instrText xml:space="preserve"> STYLEREF 1 \s </w:instrText>
      </w:r>
      <w:r>
        <w:rPr>
          <w:noProof/>
          <w:lang w:val="en-US"/>
        </w:rPr>
        <w:fldChar w:fldCharType="separate"/>
      </w:r>
      <w:r w:rsidR="00250BBC">
        <w:rPr>
          <w:noProof/>
          <w:lang w:val="en-US"/>
        </w:rPr>
        <w:t>9</w:t>
      </w:r>
      <w:r>
        <w:rPr>
          <w:noProof/>
          <w:lang w:val="en-US"/>
        </w:rPr>
        <w:fldChar w:fldCharType="end"/>
      </w:r>
      <w:r>
        <w:rPr>
          <w:noProof/>
          <w:lang w:val="en-US"/>
        </w:rPr>
        <w:t>.</w:t>
      </w:r>
      <w:r>
        <w:rPr>
          <w:noProof/>
          <w:lang w:val="en-US"/>
        </w:rPr>
        <w:fldChar w:fldCharType="begin"/>
      </w:r>
      <w:r>
        <w:rPr>
          <w:noProof/>
          <w:lang w:val="en-US"/>
        </w:rPr>
        <w:instrText xml:space="preserve"> SEQ Figure \* ARABIC \s 1 </w:instrText>
      </w:r>
      <w:r>
        <w:rPr>
          <w:noProof/>
          <w:lang w:val="en-US"/>
        </w:rPr>
        <w:fldChar w:fldCharType="separate"/>
      </w:r>
      <w:r w:rsidR="00250BBC">
        <w:rPr>
          <w:noProof/>
          <w:lang w:val="en-US"/>
        </w:rPr>
        <w:t>1</w:t>
      </w:r>
      <w:r>
        <w:rPr>
          <w:noProof/>
          <w:lang w:val="en-US"/>
        </w:rPr>
        <w:fldChar w:fldCharType="end"/>
      </w:r>
      <w:r w:rsidR="00B24F70">
        <w:rPr>
          <w:noProof/>
          <w:lang w:val="en-US"/>
        </w:rPr>
        <w:t xml:space="preserve"> </w:t>
      </w:r>
      <w:r w:rsidR="00B24F70" w:rsidRPr="00B24F70">
        <w:rPr>
          <w:noProof/>
          <w:lang w:val="en-US"/>
        </w:rPr>
        <w:t xml:space="preserve">Is </w:t>
      </w:r>
      <w:r w:rsidR="00C95AA5">
        <w:rPr>
          <w:noProof/>
          <w:lang w:val="en-US"/>
        </w:rPr>
        <w:t xml:space="preserve">a </w:t>
      </w:r>
      <w:r w:rsidR="00D87E66">
        <w:rPr>
          <w:noProof/>
          <w:lang w:val="en-US"/>
        </w:rPr>
        <w:t>RAD</w:t>
      </w:r>
      <w:r w:rsidR="00B24F70" w:rsidRPr="00B24F70" w:rsidDel="00E32822">
        <w:rPr>
          <w:noProof/>
          <w:lang w:val="en-US"/>
        </w:rPr>
        <w:t xml:space="preserve"> </w:t>
      </w:r>
      <w:r w:rsidR="00B24F70" w:rsidRPr="00B24F70">
        <w:rPr>
          <w:noProof/>
          <w:lang w:val="en-US"/>
        </w:rPr>
        <w:t>interest considered a permitted use in the APCS</w:t>
      </w:r>
      <w:r w:rsidR="00C95AA5">
        <w:rPr>
          <w:noProof/>
          <w:lang w:val="en-US"/>
        </w:rPr>
        <w:t>?</w:t>
      </w:r>
      <w:r w:rsidR="00B24F70" w:rsidRPr="00B24F70">
        <w:rPr>
          <w:noProof/>
          <w:lang w:val="en-US"/>
        </w:rPr>
        <w:t xml:space="preserve"> </w:t>
      </w:r>
      <w:r w:rsidR="00C95AA5">
        <w:rPr>
          <w:noProof/>
          <w:lang w:val="en-US"/>
        </w:rPr>
        <w:t>I</w:t>
      </w:r>
      <w:r w:rsidR="00B24F70" w:rsidRPr="00B24F70">
        <w:rPr>
          <w:noProof/>
          <w:lang w:val="en-US"/>
        </w:rPr>
        <w:t xml:space="preserve">s the requirement to include this as cash outflow into </w:t>
      </w:r>
      <w:r w:rsidR="00D87E66">
        <w:rPr>
          <w:noProof/>
          <w:lang w:val="en-US"/>
        </w:rPr>
        <w:t xml:space="preserve">RAD </w:t>
      </w:r>
      <w:r w:rsidR="00B24F70" w:rsidRPr="00B24F70">
        <w:rPr>
          <w:noProof/>
          <w:lang w:val="en-US"/>
        </w:rPr>
        <w:t>balances?</w:t>
      </w:r>
    </w:p>
    <w:p w14:paraId="7ADCF6A2" w14:textId="77777777" w:rsidR="004802FB" w:rsidRDefault="00B24F70" w:rsidP="00D87E66">
      <w:pPr>
        <w:rPr>
          <w:rFonts w:eastAsiaTheme="majorEastAsia"/>
          <w:lang w:val="en-US"/>
        </w:rPr>
      </w:pPr>
      <w:r w:rsidRPr="00B24F70">
        <w:rPr>
          <w:rFonts w:eastAsiaTheme="majorEastAsia"/>
          <w:lang w:val="en-US"/>
        </w:rPr>
        <w:t>If at any time through the year</w:t>
      </w:r>
      <w:r w:rsidR="00C95AA5">
        <w:rPr>
          <w:rFonts w:eastAsiaTheme="majorEastAsia"/>
          <w:lang w:val="en-US"/>
        </w:rPr>
        <w:t xml:space="preserve"> a</w:t>
      </w:r>
      <w:r w:rsidR="004802FB">
        <w:rPr>
          <w:rFonts w:eastAsiaTheme="majorEastAsia"/>
          <w:lang w:val="en-US"/>
        </w:rPr>
        <w:t>n entity</w:t>
      </w:r>
      <w:r w:rsidR="00C95AA5">
        <w:rPr>
          <w:rFonts w:eastAsiaTheme="majorEastAsia"/>
          <w:lang w:val="en-US"/>
        </w:rPr>
        <w:t xml:space="preserve"> </w:t>
      </w:r>
      <w:r w:rsidRPr="00B24F70">
        <w:rPr>
          <w:rFonts w:eastAsiaTheme="majorEastAsia"/>
          <w:lang w:val="en-US"/>
        </w:rPr>
        <w:t xml:space="preserve">refunded a RAD balance or entry contribution balance, </w:t>
      </w:r>
      <w:r w:rsidR="004802FB">
        <w:rPr>
          <w:rFonts w:eastAsiaTheme="majorEastAsia"/>
          <w:lang w:val="en-US"/>
        </w:rPr>
        <w:t xml:space="preserve">they </w:t>
      </w:r>
      <w:r w:rsidRPr="00B24F70">
        <w:rPr>
          <w:rFonts w:eastAsiaTheme="majorEastAsia"/>
          <w:lang w:val="en-US"/>
        </w:rPr>
        <w:t xml:space="preserve">are required to report the total value of the refundable accommodation payment balances and or entry contributions balances that were refunded. </w:t>
      </w:r>
    </w:p>
    <w:p w14:paraId="4A39778D" w14:textId="78A2066A" w:rsidR="00B24F70" w:rsidRPr="00B24F70" w:rsidRDefault="00B24F70" w:rsidP="00D87E66">
      <w:pPr>
        <w:rPr>
          <w:rFonts w:eastAsiaTheme="majorEastAsia"/>
          <w:lang w:val="en-US"/>
        </w:rPr>
      </w:pPr>
      <w:r w:rsidRPr="00B24F70">
        <w:rPr>
          <w:rFonts w:eastAsiaTheme="majorEastAsia"/>
          <w:lang w:val="en-US"/>
        </w:rPr>
        <w:t>Do not include any base or maximum permissible interest that was owed to the residents at the time of refund (balances only are reported).</w:t>
      </w:r>
    </w:p>
    <w:p w14:paraId="462D2A4E" w14:textId="50AB606C" w:rsidR="00A4123B" w:rsidRPr="00B24F70" w:rsidRDefault="00A4123B" w:rsidP="00B24F70">
      <w:pPr>
        <w:pStyle w:val="BodyText"/>
        <w:rPr>
          <w:rFonts w:cs="Arial"/>
          <w:color w:val="auto"/>
        </w:rPr>
      </w:pPr>
    </w:p>
    <w:p w14:paraId="1B4E65F0" w14:textId="77777777" w:rsidR="00EB3E51" w:rsidRDefault="00EB3E51" w:rsidP="00EB3E51">
      <w:pPr>
        <w:pStyle w:val="BodyText"/>
        <w:rPr>
          <w:rFonts w:cs="Arial"/>
          <w:color w:val="auto"/>
          <w:lang w:val="en-US"/>
        </w:rPr>
      </w:pPr>
    </w:p>
    <w:p w14:paraId="617ED6CF" w14:textId="738FE1EC" w:rsidR="00EB3E51" w:rsidRDefault="00EB3E51">
      <w:pPr>
        <w:rPr>
          <w:rFonts w:cs="Arial"/>
          <w:color w:val="auto"/>
          <w:lang w:val="en-US"/>
        </w:rPr>
      </w:pPr>
      <w:r>
        <w:rPr>
          <w:rFonts w:cs="Arial"/>
          <w:color w:val="auto"/>
          <w:lang w:val="en-US"/>
        </w:rPr>
        <w:br w:type="page"/>
      </w:r>
    </w:p>
    <w:p w14:paraId="3EA231B3" w14:textId="21F3CE6E" w:rsidR="00333381" w:rsidRPr="00B45FFD" w:rsidRDefault="00333381" w:rsidP="00B45FFD">
      <w:pPr>
        <w:pStyle w:val="Heading1"/>
        <w:numPr>
          <w:ilvl w:val="0"/>
          <w:numId w:val="38"/>
        </w:numPr>
        <w:tabs>
          <w:tab w:val="left" w:pos="709"/>
        </w:tabs>
        <w:rPr>
          <w:rFonts w:eastAsia="Calibri Light"/>
        </w:rPr>
      </w:pPr>
      <w:bookmarkStart w:id="35" w:name="_Toc192694880"/>
      <w:bookmarkStart w:id="36" w:name="_Toc488160257"/>
      <w:r w:rsidRPr="00B45FFD">
        <w:rPr>
          <w:rFonts w:eastAsia="Calibri Light"/>
        </w:rPr>
        <w:lastRenderedPageBreak/>
        <w:t>Survey of Aged Care Homes</w:t>
      </w:r>
      <w:bookmarkEnd w:id="35"/>
    </w:p>
    <w:p w14:paraId="213E4E00" w14:textId="261F07DC" w:rsidR="00BA13FF" w:rsidRDefault="00D2200B" w:rsidP="0055051B">
      <w:r w:rsidRPr="00496A4E">
        <w:t xml:space="preserve">The </w:t>
      </w:r>
      <w:r w:rsidR="00250A7D">
        <w:t>SACH</w:t>
      </w:r>
      <w:r w:rsidRPr="00496A4E">
        <w:t xml:space="preserve"> Part A is completed on the ACFR portal via a downloadable </w:t>
      </w:r>
      <w:r w:rsidR="00250A7D">
        <w:t>E</w:t>
      </w:r>
      <w:r w:rsidRPr="00496A4E">
        <w:t xml:space="preserve">xcel spreadsheet containing three parts: </w:t>
      </w:r>
    </w:p>
    <w:p w14:paraId="050EBDC6" w14:textId="77777777" w:rsidR="00BA13FF" w:rsidRPr="009428A9" w:rsidRDefault="00D2200B" w:rsidP="009428A9">
      <w:pPr>
        <w:pStyle w:val="ListParagraph"/>
        <w:numPr>
          <w:ilvl w:val="0"/>
          <w:numId w:val="29"/>
        </w:numPr>
        <w:rPr>
          <w:lang w:val="en-US"/>
        </w:rPr>
      </w:pPr>
      <w:r w:rsidRPr="009428A9">
        <w:rPr>
          <w:lang w:val="en-US"/>
        </w:rPr>
        <w:t xml:space="preserve">the cover page, </w:t>
      </w:r>
    </w:p>
    <w:p w14:paraId="2214FFAD" w14:textId="77777777" w:rsidR="00BA13FF" w:rsidRPr="009428A9" w:rsidRDefault="00D2200B" w:rsidP="009428A9">
      <w:pPr>
        <w:pStyle w:val="ListParagraph"/>
        <w:numPr>
          <w:ilvl w:val="0"/>
          <w:numId w:val="29"/>
        </w:numPr>
        <w:rPr>
          <w:lang w:val="en-US"/>
        </w:rPr>
      </w:pPr>
      <w:r w:rsidRPr="009428A9">
        <w:rPr>
          <w:lang w:val="en-US"/>
        </w:rPr>
        <w:t xml:space="preserve">non-supported tab </w:t>
      </w:r>
    </w:p>
    <w:p w14:paraId="3CB3DE5F" w14:textId="77777777" w:rsidR="00BA13FF" w:rsidRPr="009428A9" w:rsidRDefault="00D2200B" w:rsidP="009428A9">
      <w:pPr>
        <w:pStyle w:val="ListParagraph"/>
        <w:numPr>
          <w:ilvl w:val="0"/>
          <w:numId w:val="29"/>
        </w:numPr>
        <w:rPr>
          <w:lang w:val="en-US"/>
        </w:rPr>
      </w:pPr>
      <w:r w:rsidRPr="009428A9">
        <w:rPr>
          <w:lang w:val="en-US"/>
        </w:rPr>
        <w:t xml:space="preserve">and partially supported tab. </w:t>
      </w:r>
    </w:p>
    <w:p w14:paraId="41BE5C45" w14:textId="35A0F59C" w:rsidR="00D2200B" w:rsidRPr="00496A4E" w:rsidRDefault="00D2200B" w:rsidP="0055051B">
      <w:r w:rsidRPr="00496A4E">
        <w:t xml:space="preserve">The </w:t>
      </w:r>
      <w:r w:rsidR="009D1726">
        <w:t>E</w:t>
      </w:r>
      <w:r w:rsidRPr="00496A4E">
        <w:t xml:space="preserve">xcel spreadsheet is available to download once a provider has logged into the portal and begun to complete the form online. </w:t>
      </w:r>
    </w:p>
    <w:p w14:paraId="3EE69D6E" w14:textId="77777777" w:rsidR="00D2200B" w:rsidRPr="0055051B" w:rsidRDefault="00D2200B" w:rsidP="0055051B">
      <w:r w:rsidRPr="0055051B">
        <w:t xml:space="preserve">Once they have finished entering the data into the spreadsheet, check for errors by scrolling to the right on each tab (each line should say “Complete” or “In Progress”). </w:t>
      </w:r>
    </w:p>
    <w:p w14:paraId="30326C83" w14:textId="269E868C" w:rsidR="00D2200B" w:rsidRPr="0055051B" w:rsidRDefault="00D2200B" w:rsidP="0055051B">
      <w:r w:rsidRPr="0055051B">
        <w:t xml:space="preserve">When all data has been entered into the spreadsheet and there are no errors (check cover page for completeness), the complete file can be uploaded back into the portal on the same page </w:t>
      </w:r>
      <w:r w:rsidR="009428A9">
        <w:t>that it was</w:t>
      </w:r>
      <w:r w:rsidRPr="0055051B">
        <w:t xml:space="preserve"> downloaded from. </w:t>
      </w:r>
    </w:p>
    <w:p w14:paraId="1979B87B" w14:textId="0F2BF42E" w:rsidR="00D2200B" w:rsidRPr="00A262D7" w:rsidRDefault="00D2200B" w:rsidP="00A262D7">
      <w:pPr>
        <w:pStyle w:val="Heading3"/>
        <w:spacing w:before="240" w:after="240"/>
        <w:ind w:left="0" w:firstLine="0"/>
        <w:rPr>
          <w:color w:val="1F848B" w:themeColor="accent1" w:themeShade="BF"/>
          <w:sz w:val="28"/>
          <w:lang w:val="en-US"/>
        </w:rPr>
      </w:pPr>
      <w:r w:rsidRPr="00A262D7">
        <w:rPr>
          <w:color w:val="1F848B" w:themeColor="accent1" w:themeShade="BF"/>
          <w:sz w:val="28"/>
          <w:lang w:val="en-US"/>
        </w:rPr>
        <w:t xml:space="preserve">Refundable Accommodation Deposits </w:t>
      </w:r>
      <w:r w:rsidR="0055051B">
        <w:rPr>
          <w:color w:val="1F848B" w:themeColor="accent1" w:themeShade="BF"/>
          <w:sz w:val="28"/>
          <w:lang w:val="en-US"/>
        </w:rPr>
        <w:t xml:space="preserve">(RAD) </w:t>
      </w:r>
      <w:r w:rsidRPr="00A262D7">
        <w:rPr>
          <w:color w:val="1F848B" w:themeColor="accent1" w:themeShade="BF"/>
          <w:sz w:val="28"/>
          <w:lang w:val="en-US"/>
        </w:rPr>
        <w:t>and Daily Accommodation Payments</w:t>
      </w:r>
      <w:r w:rsidR="0055051B">
        <w:rPr>
          <w:color w:val="1F848B" w:themeColor="accent1" w:themeShade="BF"/>
          <w:sz w:val="28"/>
          <w:lang w:val="en-US"/>
        </w:rPr>
        <w:t xml:space="preserve"> (DAP)</w:t>
      </w:r>
      <w:r w:rsidRPr="00A262D7">
        <w:rPr>
          <w:color w:val="1F848B" w:themeColor="accent1" w:themeShade="BF"/>
          <w:sz w:val="28"/>
          <w:lang w:val="en-US"/>
        </w:rPr>
        <w:t xml:space="preserve"> of new permanent residents – </w:t>
      </w:r>
      <w:bookmarkEnd w:id="36"/>
      <w:r w:rsidRPr="00A262D7">
        <w:rPr>
          <w:color w:val="1F848B" w:themeColor="accent1" w:themeShade="BF"/>
          <w:sz w:val="28"/>
          <w:lang w:val="en-US"/>
        </w:rPr>
        <w:t>non-supported</w:t>
      </w:r>
    </w:p>
    <w:p w14:paraId="6DA706D2" w14:textId="054D8D54" w:rsidR="00D2200B" w:rsidRPr="009428A9" w:rsidRDefault="00780A9B" w:rsidP="009428A9">
      <w:pPr>
        <w:pStyle w:val="ListParagraph"/>
        <w:numPr>
          <w:ilvl w:val="0"/>
          <w:numId w:val="29"/>
        </w:numPr>
        <w:rPr>
          <w:lang w:val="en-US"/>
        </w:rPr>
      </w:pPr>
      <w:r w:rsidRPr="009428A9">
        <w:rPr>
          <w:lang w:val="en-US"/>
        </w:rPr>
        <w:t xml:space="preserve">This section </w:t>
      </w:r>
      <w:r w:rsidR="0055051B" w:rsidRPr="009428A9">
        <w:rPr>
          <w:lang w:val="en-US"/>
        </w:rPr>
        <w:t>r</w:t>
      </w:r>
      <w:r w:rsidR="00D2200B" w:rsidRPr="009428A9">
        <w:rPr>
          <w:lang w:val="en-US"/>
        </w:rPr>
        <w:t>elates to payments for accommodation received from all non-supported permanent residents who entered the service during</w:t>
      </w:r>
      <w:r w:rsidR="0028632F">
        <w:rPr>
          <w:lang w:val="en-US"/>
        </w:rPr>
        <w:t xml:space="preserve"> the </w:t>
      </w:r>
      <w:r w:rsidR="00427822">
        <w:rPr>
          <w:lang w:val="en-US"/>
        </w:rPr>
        <w:t>financial year</w:t>
      </w:r>
      <w:r w:rsidR="00D2200B" w:rsidRPr="009428A9">
        <w:rPr>
          <w:lang w:val="en-US"/>
        </w:rPr>
        <w:t xml:space="preserve">, including residents transferring from another aged care service. </w:t>
      </w:r>
    </w:p>
    <w:p w14:paraId="3BBD92B6" w14:textId="29B5ED23" w:rsidR="00D2200B" w:rsidRPr="009428A9" w:rsidRDefault="00D2200B" w:rsidP="009428A9">
      <w:pPr>
        <w:pStyle w:val="ListParagraph"/>
        <w:numPr>
          <w:ilvl w:val="0"/>
          <w:numId w:val="29"/>
        </w:numPr>
        <w:rPr>
          <w:lang w:val="en-US"/>
        </w:rPr>
      </w:pPr>
      <w:r w:rsidRPr="009428A9">
        <w:rPr>
          <w:lang w:val="en-US"/>
        </w:rPr>
        <w:t xml:space="preserve">Information entered is for each new permanent resident admitted to this service </w:t>
      </w:r>
      <w:r w:rsidR="00E85501">
        <w:rPr>
          <w:lang w:val="en-US"/>
        </w:rPr>
        <w:t>in the financial year</w:t>
      </w:r>
      <w:r w:rsidR="00416028">
        <w:rPr>
          <w:lang w:val="en-US"/>
        </w:rPr>
        <w:t xml:space="preserve"> </w:t>
      </w:r>
      <w:r w:rsidRPr="009428A9">
        <w:rPr>
          <w:lang w:val="en-US"/>
        </w:rPr>
        <w:t xml:space="preserve">that paid, or agreed to pay, a RAD, DAP, or a combination of the two (regardless of whether or not that amount has been paid). </w:t>
      </w:r>
    </w:p>
    <w:p w14:paraId="72B223A9" w14:textId="1CF2BF88" w:rsidR="00D2200B" w:rsidRDefault="00416028" w:rsidP="009428A9">
      <w:pPr>
        <w:pStyle w:val="ListParagraph"/>
        <w:numPr>
          <w:ilvl w:val="0"/>
          <w:numId w:val="29"/>
        </w:numPr>
        <w:rPr>
          <w:lang w:val="en-US"/>
        </w:rPr>
      </w:pPr>
      <w:r>
        <w:rPr>
          <w:lang w:val="en-US"/>
        </w:rPr>
        <w:t>D</w:t>
      </w:r>
      <w:r w:rsidR="00D2200B" w:rsidRPr="009428A9">
        <w:rPr>
          <w:lang w:val="en-US"/>
        </w:rPr>
        <w:t xml:space="preserve">o not enter any DAP information where a resident has agreed to pay for their accommodation wholly by a RAD and is being charged a DAP pending payment of the RAD. DAP information should only be entered for residents who have agreed to pay by a RAD/DAP combination or wholly by a DAP.    </w:t>
      </w:r>
    </w:p>
    <w:p w14:paraId="36A0E056" w14:textId="5CFD663A" w:rsidR="00185F9E" w:rsidRDefault="00185F9E" w:rsidP="009428A9">
      <w:pPr>
        <w:pStyle w:val="ListParagraph"/>
        <w:numPr>
          <w:ilvl w:val="0"/>
          <w:numId w:val="29"/>
        </w:numPr>
        <w:rPr>
          <w:lang w:val="en-US"/>
        </w:rPr>
      </w:pPr>
      <w:r>
        <w:rPr>
          <w:lang w:val="en-US"/>
        </w:rPr>
        <w:t xml:space="preserve">If a resident changes their method of payment part way through the year, do not put in another entry in the spreadsheet. The </w:t>
      </w:r>
      <w:r w:rsidR="00F90081">
        <w:rPr>
          <w:lang w:val="en-US"/>
        </w:rPr>
        <w:t>payment method agreed to at the point of initial entry is considered adequate.</w:t>
      </w:r>
    </w:p>
    <w:p w14:paraId="2A015304" w14:textId="720D3FD1" w:rsidR="004D4027" w:rsidRPr="0016091F" w:rsidRDefault="004D4027" w:rsidP="0016091F">
      <w:pPr>
        <w:pStyle w:val="ListParagraph"/>
        <w:numPr>
          <w:ilvl w:val="0"/>
          <w:numId w:val="29"/>
        </w:numPr>
        <w:rPr>
          <w:lang w:val="en-US"/>
        </w:rPr>
      </w:pPr>
      <w:r w:rsidRPr="009428A9">
        <w:rPr>
          <w:lang w:val="en-US"/>
        </w:rPr>
        <w:t>For residents that receive a Government accommodation supplement</w:t>
      </w:r>
      <w:r w:rsidR="00416028">
        <w:rPr>
          <w:lang w:val="en-US"/>
        </w:rPr>
        <w:t>,</w:t>
      </w:r>
      <w:r w:rsidRPr="009428A9">
        <w:rPr>
          <w:lang w:val="en-US"/>
        </w:rPr>
        <w:t xml:space="preserve"> please complete the “Partially Supported” tab relating to accommodation payments for partially supported residents. </w:t>
      </w:r>
    </w:p>
    <w:p w14:paraId="370EF88A" w14:textId="24806C8C" w:rsidR="00D2200B" w:rsidRPr="00A262D7" w:rsidRDefault="00D2200B" w:rsidP="00A262D7">
      <w:pPr>
        <w:pStyle w:val="Heading3"/>
        <w:spacing w:before="240" w:after="240"/>
        <w:ind w:left="0" w:firstLine="0"/>
        <w:rPr>
          <w:color w:val="1F848B" w:themeColor="accent1" w:themeShade="BF"/>
          <w:sz w:val="28"/>
          <w:lang w:val="en-US"/>
        </w:rPr>
      </w:pPr>
      <w:bookmarkStart w:id="37" w:name="_Toc488160258"/>
      <w:r w:rsidRPr="00A262D7">
        <w:rPr>
          <w:color w:val="1F848B" w:themeColor="accent1" w:themeShade="BF"/>
          <w:sz w:val="28"/>
          <w:lang w:val="en-US"/>
        </w:rPr>
        <w:lastRenderedPageBreak/>
        <w:t>Refundable Accommodation Contributions</w:t>
      </w:r>
      <w:r w:rsidR="00A24A29">
        <w:rPr>
          <w:color w:val="1F848B" w:themeColor="accent1" w:themeShade="BF"/>
          <w:sz w:val="28"/>
          <w:lang w:val="en-US"/>
        </w:rPr>
        <w:t xml:space="preserve"> (RAC)</w:t>
      </w:r>
      <w:r w:rsidRPr="00A262D7">
        <w:rPr>
          <w:color w:val="1F848B" w:themeColor="accent1" w:themeShade="BF"/>
          <w:sz w:val="28"/>
          <w:lang w:val="en-US"/>
        </w:rPr>
        <w:t xml:space="preserve"> and Daily Accommodation Contributions </w:t>
      </w:r>
      <w:r w:rsidR="00A24A29">
        <w:rPr>
          <w:color w:val="1F848B" w:themeColor="accent1" w:themeShade="BF"/>
          <w:sz w:val="28"/>
          <w:lang w:val="en-US"/>
        </w:rPr>
        <w:t xml:space="preserve">(DAC) </w:t>
      </w:r>
      <w:r w:rsidRPr="00A262D7">
        <w:rPr>
          <w:color w:val="1F848B" w:themeColor="accent1" w:themeShade="BF"/>
          <w:sz w:val="28"/>
          <w:lang w:val="en-US"/>
        </w:rPr>
        <w:t xml:space="preserve">of new permanent residents – partially supported </w:t>
      </w:r>
      <w:bookmarkEnd w:id="37"/>
    </w:p>
    <w:p w14:paraId="5461A092" w14:textId="4479B3D8" w:rsidR="00D2200B" w:rsidRDefault="00780A9B" w:rsidP="009428A9">
      <w:pPr>
        <w:pStyle w:val="ListParagraph"/>
        <w:numPr>
          <w:ilvl w:val="0"/>
          <w:numId w:val="29"/>
        </w:numPr>
        <w:rPr>
          <w:lang w:val="en-US"/>
        </w:rPr>
      </w:pPr>
      <w:r w:rsidRPr="009428A9">
        <w:rPr>
          <w:lang w:val="en-US"/>
        </w:rPr>
        <w:t>This section r</w:t>
      </w:r>
      <w:r w:rsidR="00D2200B" w:rsidRPr="009428A9">
        <w:rPr>
          <w:lang w:val="en-US"/>
        </w:rPr>
        <w:t xml:space="preserve">elates to contributions for accommodation received from all partially supported permanent residents who entered the service </w:t>
      </w:r>
      <w:r w:rsidR="005E0534">
        <w:rPr>
          <w:lang w:val="en-US"/>
        </w:rPr>
        <w:t>in the financial year</w:t>
      </w:r>
      <w:r w:rsidR="00D2200B" w:rsidRPr="009428A9">
        <w:rPr>
          <w:lang w:val="en-US"/>
        </w:rPr>
        <w:t xml:space="preserve">, including by transfer from another aged care service. </w:t>
      </w:r>
    </w:p>
    <w:p w14:paraId="53904B81" w14:textId="0585E432" w:rsidR="00D2200B" w:rsidRDefault="00D2200B" w:rsidP="009428A9">
      <w:pPr>
        <w:pStyle w:val="ListParagraph"/>
        <w:numPr>
          <w:ilvl w:val="0"/>
          <w:numId w:val="29"/>
        </w:numPr>
        <w:rPr>
          <w:lang w:val="en-US"/>
        </w:rPr>
      </w:pPr>
      <w:r w:rsidRPr="009428A9">
        <w:rPr>
          <w:lang w:val="en-US"/>
        </w:rPr>
        <w:t xml:space="preserve">Information entered is for each new partially supported permanent resident admitted to the service </w:t>
      </w:r>
      <w:r w:rsidR="00AF2B83">
        <w:rPr>
          <w:lang w:val="en-US"/>
        </w:rPr>
        <w:t>in the financial year</w:t>
      </w:r>
      <w:r w:rsidRPr="009428A9">
        <w:rPr>
          <w:lang w:val="en-US"/>
        </w:rPr>
        <w:t xml:space="preserve"> that paid a RAC or</w:t>
      </w:r>
      <w:r w:rsidRPr="009428A9" w:rsidDel="00D36086">
        <w:rPr>
          <w:lang w:val="en-US"/>
        </w:rPr>
        <w:t xml:space="preserve"> </w:t>
      </w:r>
      <w:r w:rsidRPr="009428A9">
        <w:rPr>
          <w:lang w:val="en-US"/>
        </w:rPr>
        <w:t xml:space="preserve">DAC, or a combination of the two (regardless of whether that amount has been paid). </w:t>
      </w:r>
    </w:p>
    <w:p w14:paraId="32B0D51F" w14:textId="77777777" w:rsidR="002B7CE8" w:rsidRDefault="002B7CE8" w:rsidP="002B7CE8">
      <w:pPr>
        <w:pStyle w:val="ListParagraph"/>
        <w:numPr>
          <w:ilvl w:val="0"/>
          <w:numId w:val="29"/>
        </w:numPr>
        <w:rPr>
          <w:lang w:val="en-US"/>
        </w:rPr>
      </w:pPr>
      <w:r>
        <w:rPr>
          <w:lang w:val="en-US"/>
        </w:rPr>
        <w:t>If a resident changes their method of payment part way through the year, do not put in another entry in the spreadsheet. The payment method agreed to at the point of initial entry is considered adequate.</w:t>
      </w:r>
    </w:p>
    <w:p w14:paraId="61AD6515" w14:textId="2BD49874" w:rsidR="00D2200B" w:rsidRDefault="00D2200B" w:rsidP="009428A9">
      <w:pPr>
        <w:pStyle w:val="ListParagraph"/>
        <w:numPr>
          <w:ilvl w:val="0"/>
          <w:numId w:val="29"/>
        </w:numPr>
        <w:rPr>
          <w:lang w:val="en-US"/>
        </w:rPr>
      </w:pPr>
      <w:r w:rsidRPr="009428A9">
        <w:rPr>
          <w:lang w:val="en-US"/>
        </w:rPr>
        <w:t>Where resident had multiple DAC amounts advised by Services Australia</w:t>
      </w:r>
      <w:r w:rsidR="00A24A29" w:rsidRPr="009428A9">
        <w:rPr>
          <w:lang w:val="en-US"/>
        </w:rPr>
        <w:t xml:space="preserve"> </w:t>
      </w:r>
      <w:r w:rsidRPr="009428A9">
        <w:rPr>
          <w:lang w:val="en-US"/>
        </w:rPr>
        <w:t>during the year</w:t>
      </w:r>
      <w:r w:rsidR="00A24A29" w:rsidRPr="009428A9">
        <w:rPr>
          <w:lang w:val="en-US"/>
        </w:rPr>
        <w:t>,</w:t>
      </w:r>
      <w:r w:rsidRPr="009428A9">
        <w:rPr>
          <w:lang w:val="en-US"/>
        </w:rPr>
        <w:t xml:space="preserve"> please enter the average DAC amount.</w:t>
      </w:r>
    </w:p>
    <w:p w14:paraId="1AD3D1D2" w14:textId="40D247DA" w:rsidR="00AF2B83" w:rsidRPr="00AF2B83" w:rsidRDefault="00AF2B83" w:rsidP="00AF2B83">
      <w:pPr>
        <w:pStyle w:val="ListParagraph"/>
        <w:numPr>
          <w:ilvl w:val="0"/>
          <w:numId w:val="29"/>
        </w:numPr>
        <w:rPr>
          <w:lang w:val="en-US"/>
        </w:rPr>
      </w:pPr>
      <w:r w:rsidRPr="009428A9">
        <w:rPr>
          <w:lang w:val="en-US"/>
        </w:rPr>
        <w:t>There is no need to report on new fully supported residents. For non-supported residents please complete the “non-supported” tab relating to accommodation payments for non-supported residents.</w:t>
      </w:r>
    </w:p>
    <w:p w14:paraId="6B9D8391" w14:textId="310CCF9E" w:rsidR="00C819EF" w:rsidRPr="00A4123B" w:rsidRDefault="00EB3E51" w:rsidP="00A4123B">
      <w:pPr>
        <w:pStyle w:val="PullOut"/>
        <w:rPr>
          <w:lang w:val="en-US"/>
        </w:rPr>
      </w:pPr>
      <w:r w:rsidRPr="00A4123B">
        <w:rPr>
          <w:lang w:val="en-US"/>
        </w:rPr>
        <w:t xml:space="preserve">Survey of </w:t>
      </w:r>
      <w:r w:rsidR="000D782D" w:rsidRPr="00A4123B">
        <w:rPr>
          <w:lang w:val="en-US"/>
        </w:rPr>
        <w:t xml:space="preserve">Aged Care homes </w:t>
      </w:r>
      <w:r w:rsidR="00C819EF" w:rsidRPr="00A4123B">
        <w:rPr>
          <w:lang w:val="en-US"/>
        </w:rPr>
        <w:t>FAQs</w:t>
      </w:r>
    </w:p>
    <w:p w14:paraId="059799E5" w14:textId="390AAAD3" w:rsidR="00C819EF" w:rsidRPr="00C819EF" w:rsidRDefault="009428A9" w:rsidP="00E36CCA">
      <w:pPr>
        <w:pStyle w:val="Caption"/>
        <w:rPr>
          <w:lang w:val="en-US"/>
        </w:rPr>
      </w:pPr>
      <w:r>
        <w:rPr>
          <w:lang w:val="en-US"/>
        </w:rPr>
        <w:fldChar w:fldCharType="begin"/>
      </w:r>
      <w:r>
        <w:rPr>
          <w:lang w:val="en-US"/>
        </w:rPr>
        <w:instrText xml:space="preserve"> STYLEREF 1 \s </w:instrText>
      </w:r>
      <w:r>
        <w:rPr>
          <w:lang w:val="en-US"/>
        </w:rPr>
        <w:fldChar w:fldCharType="separate"/>
      </w:r>
      <w:r w:rsidR="00250BBC">
        <w:rPr>
          <w:noProof/>
          <w:lang w:val="en-US"/>
        </w:rPr>
        <w:t>10</w:t>
      </w:r>
      <w:r>
        <w:rPr>
          <w:lang w:val="en-US"/>
        </w:rPr>
        <w:fldChar w:fldCharType="end"/>
      </w:r>
      <w:r>
        <w:rPr>
          <w:lang w:val="en-US"/>
        </w:rPr>
        <w:t>.</w:t>
      </w:r>
      <w:r>
        <w:rPr>
          <w:lang w:val="en-US"/>
        </w:rPr>
        <w:fldChar w:fldCharType="begin"/>
      </w:r>
      <w:r>
        <w:rPr>
          <w:lang w:val="en-US"/>
        </w:rPr>
        <w:instrText xml:space="preserve"> SEQ Figure \* ARABIC \s 1 </w:instrText>
      </w:r>
      <w:r>
        <w:rPr>
          <w:lang w:val="en-US"/>
        </w:rPr>
        <w:fldChar w:fldCharType="separate"/>
      </w:r>
      <w:r w:rsidR="00250BBC">
        <w:rPr>
          <w:noProof/>
          <w:lang w:val="en-US"/>
        </w:rPr>
        <w:t>1</w:t>
      </w:r>
      <w:r>
        <w:rPr>
          <w:lang w:val="en-US"/>
        </w:rPr>
        <w:fldChar w:fldCharType="end"/>
      </w:r>
      <w:r w:rsidR="00E36CCA">
        <w:rPr>
          <w:lang w:val="en-US"/>
        </w:rPr>
        <w:t xml:space="preserve"> </w:t>
      </w:r>
      <w:r w:rsidR="00F07C16">
        <w:rPr>
          <w:lang w:val="en-US"/>
        </w:rPr>
        <w:t>Providers are required to attach</w:t>
      </w:r>
      <w:r w:rsidR="0072654E" w:rsidRPr="0072654E">
        <w:rPr>
          <w:lang w:val="en-US"/>
        </w:rPr>
        <w:t xml:space="preserve"> IHACPA Approval documents for Agreed Accommodation Prices </w:t>
      </w:r>
      <w:r w:rsidR="005150E9">
        <w:rPr>
          <w:lang w:val="en-US"/>
        </w:rPr>
        <w:t xml:space="preserve">greater </w:t>
      </w:r>
      <w:r w:rsidR="00F07C16">
        <w:rPr>
          <w:lang w:val="en-US"/>
        </w:rPr>
        <w:t>than</w:t>
      </w:r>
      <w:r w:rsidR="0072654E" w:rsidRPr="0072654E">
        <w:rPr>
          <w:lang w:val="en-US"/>
        </w:rPr>
        <w:t xml:space="preserve"> </w:t>
      </w:r>
      <w:r w:rsidR="005150E9" w:rsidRPr="007129E8">
        <w:rPr>
          <w:lang w:val="en-US"/>
        </w:rPr>
        <w:t xml:space="preserve"> the Maximum</w:t>
      </w:r>
      <w:r w:rsidR="005150E9" w:rsidRPr="005150E9">
        <w:t xml:space="preserve"> Amount determined by the Minister under section 52G-3 of the </w:t>
      </w:r>
      <w:r w:rsidR="005150E9" w:rsidRPr="007129E8">
        <w:rPr>
          <w:i/>
        </w:rPr>
        <w:t>Aged Care Act 1997</w:t>
      </w:r>
      <w:r w:rsidR="00F07C16">
        <w:rPr>
          <w:lang w:val="en-US"/>
        </w:rPr>
        <w:t>.</w:t>
      </w:r>
      <w:r w:rsidR="00E36CCA">
        <w:rPr>
          <w:lang w:val="en-US"/>
        </w:rPr>
        <w:t xml:space="preserve"> </w:t>
      </w:r>
      <w:r w:rsidR="00476EA0">
        <w:rPr>
          <w:lang w:val="en-US"/>
        </w:rPr>
        <w:t>Do providers</w:t>
      </w:r>
      <w:r w:rsidR="0072654E" w:rsidRPr="0072654E">
        <w:rPr>
          <w:lang w:val="en-US"/>
        </w:rPr>
        <w:t xml:space="preserve"> exclude approvals provided by the Pricing Commissioner before IHACPA adopted its pricing responsibilities?</w:t>
      </w:r>
    </w:p>
    <w:p w14:paraId="6042854A" w14:textId="4A0D4A69" w:rsidR="00C819EF" w:rsidRDefault="00D65145" w:rsidP="00D65145">
      <w:pPr>
        <w:rPr>
          <w:rFonts w:cs="Arial"/>
        </w:rPr>
      </w:pPr>
      <w:r w:rsidRPr="00D65145">
        <w:rPr>
          <w:rFonts w:cs="Arial"/>
        </w:rPr>
        <w:t xml:space="preserve">If </w:t>
      </w:r>
      <w:r w:rsidR="00D1019C">
        <w:rPr>
          <w:rFonts w:cs="Arial"/>
        </w:rPr>
        <w:t>a provider has an</w:t>
      </w:r>
      <w:r w:rsidRPr="00D65145">
        <w:rPr>
          <w:rFonts w:cs="Arial"/>
        </w:rPr>
        <w:t xml:space="preserve"> earlier approval from the </w:t>
      </w:r>
      <w:r w:rsidR="009538D0">
        <w:rPr>
          <w:rFonts w:cs="Arial"/>
        </w:rPr>
        <w:t>P</w:t>
      </w:r>
      <w:r w:rsidRPr="00D65145">
        <w:rPr>
          <w:rFonts w:cs="Arial"/>
        </w:rPr>
        <w:t xml:space="preserve">ricing </w:t>
      </w:r>
      <w:r w:rsidR="009538D0">
        <w:rPr>
          <w:rFonts w:cs="Arial"/>
        </w:rPr>
        <w:t>C</w:t>
      </w:r>
      <w:r w:rsidRPr="00D65145">
        <w:rPr>
          <w:rFonts w:cs="Arial"/>
        </w:rPr>
        <w:t>ommissioner</w:t>
      </w:r>
      <w:r w:rsidR="009538D0">
        <w:rPr>
          <w:rFonts w:cs="Arial"/>
        </w:rPr>
        <w:t xml:space="preserve"> and</w:t>
      </w:r>
      <w:r w:rsidRPr="00D65145">
        <w:rPr>
          <w:rFonts w:cs="Arial"/>
        </w:rPr>
        <w:t xml:space="preserve"> it has not expired, and </w:t>
      </w:r>
      <w:r w:rsidR="009538D0">
        <w:rPr>
          <w:rFonts w:cs="Arial"/>
        </w:rPr>
        <w:t>the provider has not</w:t>
      </w:r>
      <w:r w:rsidRPr="00D65145">
        <w:rPr>
          <w:rFonts w:cs="Arial"/>
        </w:rPr>
        <w:t xml:space="preserve"> already received re-approval from IHACPA, please attach the original approval from the </w:t>
      </w:r>
      <w:r w:rsidR="009538D0">
        <w:rPr>
          <w:rFonts w:cs="Arial"/>
        </w:rPr>
        <w:t>P</w:t>
      </w:r>
      <w:r w:rsidRPr="00D65145">
        <w:rPr>
          <w:rFonts w:cs="Arial"/>
        </w:rPr>
        <w:t xml:space="preserve">ricing </w:t>
      </w:r>
      <w:r w:rsidR="009538D0">
        <w:rPr>
          <w:rFonts w:cs="Arial"/>
        </w:rPr>
        <w:t>C</w:t>
      </w:r>
      <w:r w:rsidRPr="00D65145">
        <w:rPr>
          <w:rFonts w:cs="Arial"/>
        </w:rPr>
        <w:t>ommissioner.</w:t>
      </w:r>
    </w:p>
    <w:p w14:paraId="4327DF21" w14:textId="6BA7D618" w:rsidR="00476EA0" w:rsidRDefault="00476EA0">
      <w:pPr>
        <w:rPr>
          <w:rFonts w:cs="Arial"/>
        </w:rPr>
      </w:pPr>
      <w:r>
        <w:rPr>
          <w:rFonts w:cs="Arial"/>
        </w:rPr>
        <w:br w:type="page"/>
      </w:r>
    </w:p>
    <w:p w14:paraId="583F8954" w14:textId="19FBB221" w:rsidR="004C4A9F" w:rsidRPr="004C4A9F" w:rsidRDefault="004C4A9F" w:rsidP="00B45FFD">
      <w:pPr>
        <w:pStyle w:val="Heading1"/>
        <w:numPr>
          <w:ilvl w:val="0"/>
          <w:numId w:val="38"/>
        </w:numPr>
        <w:tabs>
          <w:tab w:val="left" w:pos="709"/>
        </w:tabs>
        <w:rPr>
          <w:rFonts w:eastAsia="Calibri Light"/>
        </w:rPr>
      </w:pPr>
      <w:bookmarkStart w:id="38" w:name="_Toc184198013"/>
      <w:bookmarkStart w:id="39" w:name="_Toc488160260"/>
      <w:bookmarkStart w:id="40" w:name="_Toc192694881"/>
      <w:r w:rsidRPr="004C4A9F">
        <w:rPr>
          <w:rFonts w:eastAsia="Calibri Light"/>
        </w:rPr>
        <w:lastRenderedPageBreak/>
        <w:t>Building activity by residential aged care service</w:t>
      </w:r>
      <w:bookmarkEnd w:id="38"/>
      <w:r w:rsidRPr="004C4A9F">
        <w:rPr>
          <w:rFonts w:eastAsia="Calibri Light"/>
        </w:rPr>
        <w:t xml:space="preserve"> </w:t>
      </w:r>
      <w:bookmarkEnd w:id="39"/>
      <w:bookmarkEnd w:id="40"/>
    </w:p>
    <w:p w14:paraId="18845175" w14:textId="7B12289C" w:rsidR="004C4A9F" w:rsidRPr="00B37979" w:rsidRDefault="004C4A9F" w:rsidP="00B37979">
      <w:pPr>
        <w:pStyle w:val="Heading3"/>
        <w:spacing w:before="240" w:after="240"/>
        <w:ind w:left="0" w:firstLine="0"/>
        <w:rPr>
          <w:color w:val="1F848B" w:themeColor="accent1" w:themeShade="BF"/>
          <w:sz w:val="28"/>
          <w:lang w:val="en-US"/>
        </w:rPr>
      </w:pPr>
      <w:bookmarkStart w:id="41" w:name="_Toc488160261"/>
      <w:r w:rsidRPr="00B37979">
        <w:rPr>
          <w:color w:val="1F848B" w:themeColor="accent1" w:themeShade="BF"/>
          <w:sz w:val="28"/>
          <w:lang w:val="en-US"/>
        </w:rPr>
        <w:t xml:space="preserve">Part A: Completed </w:t>
      </w:r>
      <w:bookmarkEnd w:id="41"/>
      <w:r w:rsidRPr="00B37979">
        <w:rPr>
          <w:color w:val="1F848B" w:themeColor="accent1" w:themeShade="BF"/>
          <w:sz w:val="28"/>
          <w:lang w:val="en-US"/>
        </w:rPr>
        <w:t>building activity</w:t>
      </w:r>
    </w:p>
    <w:p w14:paraId="2735A53C" w14:textId="77579215" w:rsidR="004C4A9F" w:rsidRPr="00B37979" w:rsidRDefault="004C4A9F" w:rsidP="00B37979">
      <w:pPr>
        <w:rPr>
          <w:rFonts w:cs="Arial"/>
        </w:rPr>
      </w:pPr>
      <w:r w:rsidRPr="00B37979">
        <w:rPr>
          <w:rFonts w:cs="Arial"/>
        </w:rPr>
        <w:t xml:space="preserve">Complete this part of the ACFR for any service for which any building or </w:t>
      </w:r>
      <w:r w:rsidR="00882E0C" w:rsidRPr="00B37979">
        <w:rPr>
          <w:rFonts w:cs="Arial"/>
        </w:rPr>
        <w:t>upgrad</w:t>
      </w:r>
      <w:r w:rsidR="00882E0C">
        <w:rPr>
          <w:rFonts w:cs="Arial"/>
        </w:rPr>
        <w:t>e</w:t>
      </w:r>
      <w:r w:rsidR="00882E0C" w:rsidRPr="00B37979">
        <w:rPr>
          <w:rFonts w:cs="Arial"/>
        </w:rPr>
        <w:t xml:space="preserve"> </w:t>
      </w:r>
      <w:r w:rsidRPr="00B37979">
        <w:rPr>
          <w:rFonts w:cs="Arial"/>
        </w:rPr>
        <w:t>work was completed in the year ending 30 June 202</w:t>
      </w:r>
      <w:r w:rsidR="00B37979">
        <w:rPr>
          <w:rFonts w:cs="Arial"/>
        </w:rPr>
        <w:t>5</w:t>
      </w:r>
      <w:r w:rsidRPr="00B37979">
        <w:rPr>
          <w:rFonts w:cs="Arial"/>
        </w:rPr>
        <w:t>.</w:t>
      </w:r>
    </w:p>
    <w:p w14:paraId="5010BD52" w14:textId="77777777" w:rsidR="004C4A9F" w:rsidRPr="00B37979" w:rsidRDefault="004C4A9F" w:rsidP="00B37979">
      <w:pPr>
        <w:pStyle w:val="Heading3"/>
        <w:spacing w:before="240" w:after="240"/>
        <w:ind w:left="0" w:firstLine="0"/>
        <w:rPr>
          <w:color w:val="1F848B" w:themeColor="accent1" w:themeShade="BF"/>
          <w:sz w:val="28"/>
          <w:lang w:val="en-US"/>
        </w:rPr>
      </w:pPr>
      <w:bookmarkStart w:id="42" w:name="_Toc488160262"/>
      <w:r w:rsidRPr="00B37979">
        <w:rPr>
          <w:color w:val="1F848B" w:themeColor="accent1" w:themeShade="BF"/>
          <w:sz w:val="28"/>
          <w:lang w:val="en-US"/>
        </w:rPr>
        <w:t xml:space="preserve">Part B: Building activity in </w:t>
      </w:r>
      <w:bookmarkEnd w:id="42"/>
      <w:r w:rsidRPr="00B37979">
        <w:rPr>
          <w:color w:val="1F848B" w:themeColor="accent1" w:themeShade="BF"/>
          <w:sz w:val="28"/>
          <w:lang w:val="en-US"/>
        </w:rPr>
        <w:t>progress</w:t>
      </w:r>
    </w:p>
    <w:p w14:paraId="2D3BDA6B" w14:textId="3C8A5B84" w:rsidR="004C4A9F" w:rsidRPr="00B37979" w:rsidRDefault="004C4A9F" w:rsidP="00B37979">
      <w:pPr>
        <w:rPr>
          <w:rFonts w:cs="Arial"/>
        </w:rPr>
      </w:pPr>
      <w:r w:rsidRPr="00B37979">
        <w:rPr>
          <w:rFonts w:cs="Arial"/>
        </w:rPr>
        <w:t>Complete this part of the ACFR for any service for which building or upgrading work was in progress at 30 June 202</w:t>
      </w:r>
      <w:r w:rsidR="00B37979">
        <w:rPr>
          <w:rFonts w:cs="Arial"/>
        </w:rPr>
        <w:t>5</w:t>
      </w:r>
      <w:r w:rsidRPr="00B37979">
        <w:rPr>
          <w:rFonts w:cs="Arial"/>
        </w:rPr>
        <w:t xml:space="preserve">. </w:t>
      </w:r>
    </w:p>
    <w:p w14:paraId="6C36F65D" w14:textId="77777777" w:rsidR="004C4A9F" w:rsidRPr="00A262D7" w:rsidRDefault="004C4A9F" w:rsidP="00A262D7">
      <w:pPr>
        <w:pStyle w:val="Heading3"/>
        <w:spacing w:before="240" w:after="240"/>
        <w:ind w:left="0" w:firstLine="0"/>
        <w:rPr>
          <w:color w:val="1F848B" w:themeColor="accent1" w:themeShade="BF"/>
          <w:sz w:val="28"/>
          <w:lang w:val="en-US"/>
        </w:rPr>
      </w:pPr>
      <w:bookmarkStart w:id="43" w:name="_Toc488160263"/>
      <w:r w:rsidRPr="00A262D7">
        <w:rPr>
          <w:color w:val="1F848B" w:themeColor="accent1" w:themeShade="BF"/>
          <w:sz w:val="28"/>
          <w:lang w:val="en-US"/>
        </w:rPr>
        <w:t xml:space="preserve">Part C: Planned </w:t>
      </w:r>
      <w:bookmarkEnd w:id="43"/>
      <w:r w:rsidRPr="00A262D7">
        <w:rPr>
          <w:color w:val="1F848B" w:themeColor="accent1" w:themeShade="BF"/>
          <w:sz w:val="28"/>
          <w:lang w:val="en-US"/>
        </w:rPr>
        <w:t>building activity</w:t>
      </w:r>
    </w:p>
    <w:p w14:paraId="1A2A7425" w14:textId="77777777" w:rsidR="000F3B41" w:rsidRDefault="004C4A9F" w:rsidP="00B37979">
      <w:pPr>
        <w:rPr>
          <w:rFonts w:cs="Arial"/>
        </w:rPr>
      </w:pPr>
      <w:r w:rsidRPr="00B37979">
        <w:rPr>
          <w:rFonts w:cs="Arial"/>
        </w:rPr>
        <w:t>Complete this part of the ACFR for any service for which building or upgrading work was planned at 30 June 202</w:t>
      </w:r>
      <w:r w:rsidR="00B37979">
        <w:rPr>
          <w:rFonts w:cs="Arial"/>
        </w:rPr>
        <w:t>5</w:t>
      </w:r>
      <w:r w:rsidRPr="00B37979">
        <w:rPr>
          <w:rFonts w:cs="Arial"/>
        </w:rPr>
        <w:t xml:space="preserve">. </w:t>
      </w:r>
    </w:p>
    <w:bookmarkEnd w:id="4"/>
    <w:bookmarkEnd w:id="5"/>
    <w:bookmarkEnd w:id="8"/>
    <w:p w14:paraId="0F62D343" w14:textId="78C7F652" w:rsidR="006303E1" w:rsidRDefault="006303E1" w:rsidP="006303E1">
      <w:pPr>
        <w:pStyle w:val="PullOut"/>
        <w:rPr>
          <w:lang w:val="en-US"/>
        </w:rPr>
      </w:pPr>
      <w:r w:rsidRPr="006303E1">
        <w:rPr>
          <w:lang w:val="en-US"/>
        </w:rPr>
        <w:t>Building activity by residential aged care service FAQs</w:t>
      </w:r>
    </w:p>
    <w:p w14:paraId="2572C8A9" w14:textId="6D1FA051" w:rsidR="006303E1" w:rsidRPr="006303E1" w:rsidRDefault="009428A9" w:rsidP="009428A9">
      <w:pPr>
        <w:pStyle w:val="Caption"/>
        <w:rPr>
          <w:noProof/>
          <w:lang w:val="en-US"/>
        </w:rPr>
      </w:pPr>
      <w:r>
        <w:rPr>
          <w:noProof/>
          <w:lang w:val="en-US"/>
        </w:rPr>
        <w:fldChar w:fldCharType="begin"/>
      </w:r>
      <w:r>
        <w:rPr>
          <w:noProof/>
          <w:lang w:val="en-US"/>
        </w:rPr>
        <w:instrText xml:space="preserve"> STYLEREF 1 \s </w:instrText>
      </w:r>
      <w:r>
        <w:rPr>
          <w:noProof/>
          <w:lang w:val="en-US"/>
        </w:rPr>
        <w:fldChar w:fldCharType="separate"/>
      </w:r>
      <w:r w:rsidR="00250BBC">
        <w:rPr>
          <w:noProof/>
          <w:lang w:val="en-US"/>
        </w:rPr>
        <w:t>11</w:t>
      </w:r>
      <w:r>
        <w:rPr>
          <w:noProof/>
          <w:lang w:val="en-US"/>
        </w:rPr>
        <w:fldChar w:fldCharType="end"/>
      </w:r>
      <w:r>
        <w:rPr>
          <w:noProof/>
          <w:lang w:val="en-US"/>
        </w:rPr>
        <w:t>.</w:t>
      </w:r>
      <w:r>
        <w:rPr>
          <w:noProof/>
          <w:lang w:val="en-US"/>
        </w:rPr>
        <w:fldChar w:fldCharType="begin"/>
      </w:r>
      <w:r>
        <w:rPr>
          <w:noProof/>
          <w:lang w:val="en-US"/>
        </w:rPr>
        <w:instrText xml:space="preserve"> SEQ Figure \* ARABIC \s 1 </w:instrText>
      </w:r>
      <w:r>
        <w:rPr>
          <w:noProof/>
          <w:lang w:val="en-US"/>
        </w:rPr>
        <w:fldChar w:fldCharType="separate"/>
      </w:r>
      <w:r w:rsidR="00250BBC">
        <w:rPr>
          <w:noProof/>
          <w:lang w:val="en-US"/>
        </w:rPr>
        <w:t>1</w:t>
      </w:r>
      <w:r>
        <w:rPr>
          <w:noProof/>
          <w:lang w:val="en-US"/>
        </w:rPr>
        <w:fldChar w:fldCharType="end"/>
      </w:r>
      <w:r>
        <w:rPr>
          <w:noProof/>
          <w:lang w:val="en-US"/>
        </w:rPr>
        <w:t xml:space="preserve"> </w:t>
      </w:r>
      <w:r w:rsidR="005E0E40">
        <w:rPr>
          <w:noProof/>
          <w:lang w:val="en-US"/>
        </w:rPr>
        <w:t xml:space="preserve">What is the </w:t>
      </w:r>
      <w:r w:rsidR="00405D41">
        <w:rPr>
          <w:noProof/>
          <w:lang w:val="en-US"/>
        </w:rPr>
        <w:t xml:space="preserve">definition of the </w:t>
      </w:r>
      <w:r w:rsidR="001D6C72">
        <w:rPr>
          <w:noProof/>
          <w:lang w:val="en-US"/>
        </w:rPr>
        <w:t>‘Structural Renovation or Ref</w:t>
      </w:r>
      <w:r w:rsidR="008F3D4B">
        <w:rPr>
          <w:noProof/>
          <w:lang w:val="en-US"/>
        </w:rPr>
        <w:t xml:space="preserve">urbishment’? </w:t>
      </w:r>
    </w:p>
    <w:p w14:paraId="396FD86A" w14:textId="68A8F322" w:rsidR="00782DC8" w:rsidRDefault="00782DC8" w:rsidP="00782DC8">
      <w:pPr>
        <w:rPr>
          <w:rFonts w:cs="Arial"/>
        </w:rPr>
      </w:pPr>
      <w:r w:rsidRPr="00782DC8">
        <w:rPr>
          <w:rFonts w:cs="Arial"/>
        </w:rPr>
        <w:t>Upgrading (Structural renovation or refurbishment) in </w:t>
      </w:r>
      <w:r w:rsidR="00A12968">
        <w:rPr>
          <w:rFonts w:cs="Arial"/>
        </w:rPr>
        <w:t xml:space="preserve">the </w:t>
      </w:r>
      <w:r w:rsidRPr="00782DC8">
        <w:rPr>
          <w:rFonts w:cs="Arial"/>
        </w:rPr>
        <w:t xml:space="preserve">ACFR is the renovation or refurbishment of an existing facility, including extensions to an existing building or reconstruction of part of a building. Those work are capital in nature and potentially result in an increase </w:t>
      </w:r>
      <w:r w:rsidR="00882E0C">
        <w:rPr>
          <w:rFonts w:cs="Arial"/>
        </w:rPr>
        <w:t xml:space="preserve">to </w:t>
      </w:r>
      <w:r>
        <w:rPr>
          <w:rFonts w:cs="Arial"/>
        </w:rPr>
        <w:t xml:space="preserve">the </w:t>
      </w:r>
      <w:r w:rsidRPr="00782DC8">
        <w:rPr>
          <w:rFonts w:cs="Arial"/>
        </w:rPr>
        <w:t>facility</w:t>
      </w:r>
      <w:r w:rsidR="00882E0C">
        <w:rPr>
          <w:rFonts w:cs="Arial"/>
        </w:rPr>
        <w:t>’s</w:t>
      </w:r>
      <w:r w:rsidRPr="00782DC8">
        <w:rPr>
          <w:rFonts w:cs="Arial"/>
        </w:rPr>
        <w:t xml:space="preserve"> value. </w:t>
      </w:r>
    </w:p>
    <w:p w14:paraId="4B6AA8C5" w14:textId="12CE36F9" w:rsidR="008F3D4B" w:rsidRPr="00782DC8" w:rsidRDefault="00782DC8" w:rsidP="00782DC8">
      <w:pPr>
        <w:rPr>
          <w:rFonts w:cs="Arial"/>
        </w:rPr>
        <w:sectPr w:rsidR="008F3D4B" w:rsidRPr="00782DC8" w:rsidSect="00D0690C">
          <w:headerReference w:type="default" r:id="rId38"/>
          <w:footerReference w:type="default" r:id="rId39"/>
          <w:pgSz w:w="11906" w:h="16838"/>
          <w:pgMar w:top="1701" w:right="1418" w:bottom="1418" w:left="1418" w:header="709" w:footer="709" w:gutter="0"/>
          <w:cols w:space="708"/>
          <w:docGrid w:linePitch="360"/>
        </w:sectPr>
      </w:pPr>
      <w:r>
        <w:rPr>
          <w:rFonts w:cs="Arial"/>
        </w:rPr>
        <w:t xml:space="preserve">This section </w:t>
      </w:r>
      <w:r w:rsidRPr="00782DC8">
        <w:rPr>
          <w:rFonts w:cs="Arial"/>
        </w:rPr>
        <w:t>does not include routine repairs and the maintenance of premises such as painting, plumbing, electrical work or gardening. </w:t>
      </w:r>
    </w:p>
    <w:p w14:paraId="65273874" w14:textId="77777777" w:rsidR="00D72BF2" w:rsidRPr="003D1C90" w:rsidRDefault="00D72BF2" w:rsidP="00D30DE4"/>
    <w:sectPr w:rsidR="00D72BF2" w:rsidRPr="003D1C90" w:rsidSect="00D0690C">
      <w:footerReference w:type="default" r:id="rId40"/>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3F3434" w14:textId="77777777" w:rsidR="004E326C" w:rsidRDefault="004E326C" w:rsidP="00934368">
      <w:r>
        <w:separator/>
      </w:r>
    </w:p>
    <w:p w14:paraId="4FC29CBC" w14:textId="77777777" w:rsidR="004E326C" w:rsidRDefault="004E326C" w:rsidP="00934368"/>
  </w:endnote>
  <w:endnote w:type="continuationSeparator" w:id="0">
    <w:p w14:paraId="427F273F" w14:textId="77777777" w:rsidR="004E326C" w:rsidRDefault="004E326C" w:rsidP="00934368">
      <w:r>
        <w:continuationSeparator/>
      </w:r>
    </w:p>
    <w:p w14:paraId="23117953" w14:textId="77777777" w:rsidR="004E326C" w:rsidRDefault="004E326C" w:rsidP="00934368"/>
  </w:endnote>
  <w:endnote w:type="continuationNotice" w:id="1">
    <w:p w14:paraId="676E28AA" w14:textId="77777777" w:rsidR="004E326C" w:rsidRDefault="004E326C"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Helvetica">
    <w:panose1 w:val="020B0604020202020204"/>
    <w:charset w:val="00"/>
    <w:family w:val="swiss"/>
    <w:pitch w:val="variable"/>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05EE0" w14:textId="7A7CFD5A"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2A124D">
      <w:rPr>
        <w:sz w:val="21"/>
        <w:szCs w:val="21"/>
      </w:rPr>
      <w:t>Quarterly Financial Report FAQs</w:t>
    </w:r>
    <w:r w:rsidRPr="009B5601">
      <w:rPr>
        <w:color w:val="1E1545" w:themeColor="text1"/>
        <w:sz w:val="21"/>
        <w:szCs w:val="21"/>
      </w:rPr>
      <w:t xml:space="preserve"> | </w:t>
    </w:r>
    <w:r w:rsidR="002A124D">
      <w:rPr>
        <w:sz w:val="21"/>
        <w:szCs w:val="21"/>
      </w:rPr>
      <w:t>Contents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0362C74" w14:paraId="7BA10174" w14:textId="77777777" w:rsidTr="70362C74">
      <w:trPr>
        <w:trHeight w:val="300"/>
      </w:trPr>
      <w:tc>
        <w:tcPr>
          <w:tcW w:w="3020" w:type="dxa"/>
        </w:tcPr>
        <w:p w14:paraId="5047A831" w14:textId="0FBB6049" w:rsidR="70362C74" w:rsidRDefault="70362C74" w:rsidP="70362C74">
          <w:pPr>
            <w:pStyle w:val="Header"/>
            <w:ind w:left="-115"/>
          </w:pPr>
        </w:p>
      </w:tc>
      <w:tc>
        <w:tcPr>
          <w:tcW w:w="3020" w:type="dxa"/>
        </w:tcPr>
        <w:p w14:paraId="471AD9DD" w14:textId="011640C1" w:rsidR="70362C74" w:rsidRDefault="70362C74" w:rsidP="70362C74">
          <w:pPr>
            <w:pStyle w:val="Header"/>
            <w:jc w:val="center"/>
          </w:pPr>
        </w:p>
      </w:tc>
      <w:tc>
        <w:tcPr>
          <w:tcW w:w="3020" w:type="dxa"/>
        </w:tcPr>
        <w:p w14:paraId="73F9957A" w14:textId="3130DD1B" w:rsidR="70362C74" w:rsidRDefault="70362C74" w:rsidP="70362C74">
          <w:pPr>
            <w:pStyle w:val="Header"/>
            <w:ind w:right="-115"/>
            <w:jc w:val="right"/>
          </w:pPr>
        </w:p>
      </w:tc>
    </w:tr>
  </w:tbl>
  <w:p w14:paraId="5646E36F" w14:textId="3EE54B71" w:rsidR="00F4053C" w:rsidRDefault="00F405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0BA13" w14:textId="2F848ED0" w:rsidR="00627385" w:rsidRDefault="00627385" w:rsidP="00627385">
    <w:pPr>
      <w:tabs>
        <w:tab w:val="right" w:pos="9072"/>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DE3B4" w14:textId="010C0634" w:rsidR="002A124D" w:rsidRPr="00386805" w:rsidRDefault="002A124D"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Pr>
        <w:sz w:val="21"/>
        <w:szCs w:val="21"/>
      </w:rPr>
      <w:t>Quarterly Financial Report FAQs</w:t>
    </w:r>
    <w:r w:rsidRPr="009B5601">
      <w:rPr>
        <w:color w:val="1E1545" w:themeColor="text1"/>
        <w:sz w:val="21"/>
        <w:szCs w:val="21"/>
      </w:rPr>
      <w:t xml:space="preserve"> | </w:t>
    </w:r>
    <w:r w:rsidR="00B2504C">
      <w:rPr>
        <w:sz w:val="21"/>
        <w:szCs w:val="21"/>
      </w:rPr>
      <w:t>Viability and Prudential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11E8E" w14:textId="0574AC3C" w:rsidR="007D5506" w:rsidRPr="007D5506" w:rsidRDefault="007D5506" w:rsidP="007D5506">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4</w:t>
    </w:r>
    <w:r w:rsidRPr="00386805">
      <w:rPr>
        <w:b/>
        <w:bCs/>
        <w:noProof/>
        <w:sz w:val="21"/>
        <w:szCs w:val="21"/>
      </w:rPr>
      <w:fldChar w:fldCharType="end"/>
    </w:r>
    <w:r>
      <w:rPr>
        <w:b/>
        <w:bCs/>
        <w:noProof/>
        <w:sz w:val="21"/>
        <w:szCs w:val="21"/>
      </w:rPr>
      <w:t xml:space="preserve">  </w:t>
    </w:r>
    <w:r w:rsidR="004259F4">
      <w:rPr>
        <w:sz w:val="21"/>
        <w:szCs w:val="21"/>
      </w:rPr>
      <w:t>Aged Care Financial Report</w:t>
    </w:r>
    <w:r w:rsidR="00BF6FD7">
      <w:rPr>
        <w:sz w:val="21"/>
        <w:szCs w:val="21"/>
      </w:rPr>
      <w:t xml:space="preserve"> User Guide and </w:t>
    </w:r>
    <w:r w:rsidR="00B10E7A">
      <w:rPr>
        <w:sz w:val="21"/>
        <w:szCs w:val="21"/>
      </w:rPr>
      <w:t>Frequently Asked Questions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2A6C9" w14:textId="6896FCD9" w:rsidR="00D94088" w:rsidRPr="007D5506" w:rsidRDefault="00D94088" w:rsidP="00D94088">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r>
      <w:rPr>
        <w:b/>
        <w:bCs/>
        <w:noProof/>
        <w:sz w:val="21"/>
        <w:szCs w:val="21"/>
      </w:rPr>
      <w:t xml:space="preserve">  </w:t>
    </w:r>
    <w:r>
      <w:rPr>
        <w:sz w:val="21"/>
        <w:szCs w:val="21"/>
      </w:rPr>
      <w:t xml:space="preserve">Aged Care Financial Report </w:t>
    </w:r>
    <w:r w:rsidR="00DB2188">
      <w:rPr>
        <w:sz w:val="21"/>
        <w:szCs w:val="21"/>
      </w:rPr>
      <w:t>User Guide and Frequent</w:t>
    </w:r>
    <w:r w:rsidR="00F816ED">
      <w:rPr>
        <w:sz w:val="21"/>
        <w:szCs w:val="21"/>
      </w:rPr>
      <w:t>ly Asked Questions</w:t>
    </w:r>
  </w:p>
  <w:p w14:paraId="0BD0811C" w14:textId="4965C95C" w:rsidR="000F4CA9" w:rsidRPr="004F32B9" w:rsidRDefault="000F4CA9" w:rsidP="004F32B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C33DC7" w:rsidRPr="00C33DC7" w14:paraId="3D5AD1E5" w14:textId="77777777" w:rsidTr="00BA2373">
      <w:tc>
        <w:tcPr>
          <w:tcW w:w="704" w:type="dxa"/>
          <w:tcMar>
            <w:top w:w="113" w:type="dxa"/>
            <w:bottom w:w="113" w:type="dxa"/>
          </w:tcMar>
          <w:vAlign w:val="center"/>
        </w:tcPr>
        <w:p w14:paraId="6A27B5A4" w14:textId="77777777" w:rsidR="00C33DC7" w:rsidRPr="00C33DC7" w:rsidRDefault="00C33DC7" w:rsidP="00C33DC7">
          <w:r w:rsidRPr="00C33DC7">
            <w:rPr>
              <w:noProof/>
              <w:color w:val="2B579A"/>
              <w:shd w:val="clear" w:color="auto" w:fill="E6E6E6"/>
            </w:rPr>
            <w:drawing>
              <wp:inline distT="0" distB="0" distL="0" distR="0" wp14:anchorId="11F5FBCE" wp14:editId="24C9D399">
                <wp:extent cx="279400" cy="279400"/>
                <wp:effectExtent l="0" t="0" r="0" b="0"/>
                <wp:docPr id="3"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1070402E" w14:textId="77777777" w:rsidR="00C33DC7" w:rsidRPr="00C33DC7" w:rsidRDefault="00C33DC7" w:rsidP="00C33DC7">
          <w:r w:rsidRPr="00C33DC7">
            <w:t xml:space="preserve">Phone </w:t>
          </w:r>
          <w:r w:rsidRPr="00C33DC7">
            <w:rPr>
              <w:b/>
              <w:bCs/>
            </w:rPr>
            <w:t xml:space="preserve">1800 200 422 </w:t>
          </w:r>
          <w:r w:rsidRPr="00C33DC7">
            <w:rPr>
              <w:b/>
              <w:bCs/>
            </w:rPr>
            <w:br/>
          </w:r>
          <w:r w:rsidRPr="00C33DC7">
            <w:t>(My Aged Care’s freecall phone line)</w:t>
          </w:r>
        </w:p>
      </w:tc>
    </w:tr>
    <w:tr w:rsidR="00C33DC7" w:rsidRPr="00C33DC7" w14:paraId="5C5EA381" w14:textId="77777777" w:rsidTr="00BA2373">
      <w:tc>
        <w:tcPr>
          <w:tcW w:w="704" w:type="dxa"/>
          <w:tcMar>
            <w:top w:w="113" w:type="dxa"/>
            <w:bottom w:w="113" w:type="dxa"/>
          </w:tcMar>
          <w:vAlign w:val="center"/>
        </w:tcPr>
        <w:p w14:paraId="603305F9" w14:textId="77777777" w:rsidR="00C33DC7" w:rsidRPr="00C33DC7" w:rsidRDefault="00C33DC7" w:rsidP="00C33DC7">
          <w:pPr>
            <w:rPr>
              <w:noProof/>
            </w:rPr>
          </w:pPr>
          <w:r w:rsidRPr="00C33DC7">
            <w:rPr>
              <w:noProof/>
              <w:color w:val="2B579A"/>
              <w:shd w:val="clear" w:color="auto" w:fill="E6E6E6"/>
            </w:rPr>
            <w:drawing>
              <wp:inline distT="0" distB="0" distL="0" distR="0" wp14:anchorId="6DC74C2D" wp14:editId="11C25203">
                <wp:extent cx="279400" cy="279400"/>
                <wp:effectExtent l="0" t="0" r="0" b="0"/>
                <wp:docPr id="683985548" name="Picture 683985548"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2078FBBF" w14:textId="77777777" w:rsidR="00C33DC7" w:rsidRPr="00C33DC7" w:rsidRDefault="00C33DC7" w:rsidP="00C33DC7">
          <w:r w:rsidRPr="00C33DC7">
            <w:t xml:space="preserve">Visit </w:t>
          </w:r>
          <w:r w:rsidRPr="00C33DC7">
            <w:rPr>
              <w:b/>
              <w:bCs/>
            </w:rPr>
            <w:t>agedcareengagement.health.gov.au</w:t>
          </w:r>
        </w:p>
      </w:tc>
    </w:tr>
  </w:tbl>
  <w:p w14:paraId="0A664B96" w14:textId="64A67AC2" w:rsidR="00694C01" w:rsidRDefault="00694C01" w:rsidP="00C33DC7">
    <w:r>
      <w:t xml:space="preserve">A helpdesk function managed by Forms Administration on behalf of the department is available to providers </w:t>
    </w:r>
    <w:r w:rsidR="008F4B10">
      <w:t>f</w:t>
    </w:r>
    <w:r w:rsidR="008F4B10" w:rsidRPr="008F4B10">
      <w:t>or any questions relating to the completion of the ACFR including the audited GPFS or APCS</w:t>
    </w:r>
    <w:r w:rsidR="00BD7BED">
      <w:t xml:space="preserve"> via phone on</w:t>
    </w:r>
    <w:r w:rsidR="008F4B10" w:rsidRPr="008F4B10">
      <w:t xml:space="preserve"> </w:t>
    </w:r>
    <w:r w:rsidRPr="00694C01">
      <w:rPr>
        <w:b/>
        <w:bCs/>
      </w:rPr>
      <w:t>(02) 4403 0640</w:t>
    </w:r>
    <w:r>
      <w:rPr>
        <w:b/>
        <w:bCs/>
      </w:rPr>
      <w:t xml:space="preserve"> </w:t>
    </w:r>
    <w:r w:rsidR="00BD7BED">
      <w:t xml:space="preserve">or via </w:t>
    </w:r>
    <w:r w:rsidRPr="00694C01">
      <w:t>email</w:t>
    </w:r>
    <w:r>
      <w:rPr>
        <w:b/>
        <w:bCs/>
      </w:rPr>
      <w:t xml:space="preserve"> </w:t>
    </w:r>
    <w:hyperlink r:id="rId3" w:history="1">
      <w:r w:rsidRPr="00694C01">
        <w:rPr>
          <w:rStyle w:val="Hyperlink"/>
        </w:rPr>
        <w:t>health@formsadministation.com.au</w:t>
      </w:r>
    </w:hyperlink>
    <w:r w:rsidR="00BD7BED">
      <w:t>.</w:t>
    </w:r>
    <w:r>
      <w:rPr>
        <w:b/>
        <w:bCs/>
      </w:rPr>
      <w:tab/>
    </w:r>
  </w:p>
  <w:p w14:paraId="35B372E4" w14:textId="1C7311EE" w:rsidR="00C33DC7" w:rsidRDefault="00C33DC7" w:rsidP="00C33DC7">
    <w:pPr>
      <w:rPr>
        <w:color w:val="2AB1BB" w:themeColor="hyperlink"/>
        <w:u w:val="single"/>
      </w:rPr>
    </w:pPr>
    <w:r w:rsidRPr="00C33DC7">
      <w:t xml:space="preserve">For </w:t>
    </w:r>
    <w:r w:rsidR="00B2076B">
      <w:t>help reporting residential care or home care expenses data in the ACFR</w:t>
    </w:r>
    <w:r w:rsidRPr="00C33DC7">
      <w:t xml:space="preserve">, please contact the QFR &amp; ACFR Helpdesk via </w:t>
    </w:r>
    <w:hyperlink r:id="rId4" w:history="1">
      <w:r w:rsidRPr="00C33DC7">
        <w:rPr>
          <w:color w:val="2AB1BB" w:themeColor="hyperlink"/>
          <w:u w:val="single"/>
        </w:rPr>
        <w:t>QFRACFRHelp@health.gov.au</w:t>
      </w:r>
    </w:hyperlink>
  </w:p>
  <w:p w14:paraId="2735D428" w14:textId="5DA33D3B" w:rsidR="00B2076B" w:rsidRPr="00C33DC7" w:rsidRDefault="00DC0D3A" w:rsidP="00C33DC7">
    <w:r w:rsidRPr="00DC0D3A">
      <w:t xml:space="preserve">To provide feedback to the department on the financial reporting arrangements, please email </w:t>
    </w:r>
    <w:hyperlink r:id="rId5" w:history="1">
      <w:r w:rsidRPr="00DC0D3A">
        <w:rPr>
          <w:rStyle w:val="Hyperlink"/>
        </w:rPr>
        <w:t>ACFRQFRQueries@health.gov.au</w:t>
      </w:r>
    </w:hyperlink>
    <w:r>
      <w:t>.</w:t>
    </w:r>
  </w:p>
  <w:p w14:paraId="404B654D" w14:textId="77777777" w:rsidR="00C33DC7" w:rsidRPr="00C33DC7" w:rsidRDefault="00C33DC7" w:rsidP="00C33DC7">
    <w:r w:rsidRPr="00C33DC7">
      <w:t xml:space="preserve">For translating and interpreting services, call </w:t>
    </w:r>
    <w:r w:rsidRPr="00C33DC7">
      <w:rPr>
        <w:b/>
        <w:bCs/>
      </w:rPr>
      <w:t>131 450</w:t>
    </w:r>
    <w:r w:rsidRPr="00C33DC7">
      <w:t xml:space="preserve"> and </w:t>
    </w:r>
    <w:r w:rsidRPr="00C33DC7">
      <w:br/>
      <w:t xml:space="preserve">ask for My Aged Care on </w:t>
    </w:r>
    <w:r w:rsidRPr="00C33DC7">
      <w:rPr>
        <w:b/>
        <w:bCs/>
      </w:rPr>
      <w:t>1800 200 422</w:t>
    </w:r>
    <w:r w:rsidRPr="00C33DC7">
      <w:t>.</w:t>
    </w:r>
  </w:p>
  <w:p w14:paraId="6DD2CD67" w14:textId="6F601E0A" w:rsidR="00C33DC7" w:rsidRPr="007D5506" w:rsidRDefault="00C33DC7" w:rsidP="00C33DC7">
    <w:r w:rsidRPr="00C33DC7">
      <w:t xml:space="preserve">To use the National Relay Service, visit </w:t>
    </w:r>
    <w:r w:rsidRPr="00C33DC7">
      <w:rPr>
        <w:b/>
        <w:bCs/>
      </w:rPr>
      <w:t>nrschat.nrscall.gov.au/nrs</w:t>
    </w:r>
    <w:r w:rsidRPr="00C33DC7">
      <w:t xml:space="preserve"> </w:t>
    </w:r>
    <w:r w:rsidRPr="00C33DC7">
      <w:br/>
      <w:t xml:space="preserve">or call </w:t>
    </w:r>
    <w:r w:rsidRPr="00C33DC7">
      <w:rPr>
        <w:b/>
        <w:bCs/>
      </w:rPr>
      <w:t>1800 555 660</w:t>
    </w:r>
    <w:r w:rsidRPr="00C33DC7">
      <w:t>.</w:t>
    </w:r>
  </w:p>
  <w:p w14:paraId="4B1EE5D9" w14:textId="77777777" w:rsidR="00C33DC7" w:rsidRPr="004F32B9" w:rsidRDefault="00C33DC7" w:rsidP="004F32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3A1FF2" w14:textId="77777777" w:rsidR="004E326C" w:rsidRDefault="004E326C" w:rsidP="00934368">
      <w:r>
        <w:separator/>
      </w:r>
    </w:p>
    <w:p w14:paraId="07E85CA3" w14:textId="77777777" w:rsidR="004E326C" w:rsidRDefault="004E326C" w:rsidP="00934368"/>
  </w:footnote>
  <w:footnote w:type="continuationSeparator" w:id="0">
    <w:p w14:paraId="5E95416C" w14:textId="77777777" w:rsidR="004E326C" w:rsidRDefault="004E326C" w:rsidP="00934368">
      <w:r>
        <w:continuationSeparator/>
      </w:r>
    </w:p>
    <w:p w14:paraId="1EFBAC5F" w14:textId="77777777" w:rsidR="004E326C" w:rsidRDefault="004E326C" w:rsidP="00934368"/>
  </w:footnote>
  <w:footnote w:type="continuationNotice" w:id="1">
    <w:p w14:paraId="694DB79B" w14:textId="77777777" w:rsidR="004E326C" w:rsidRDefault="004E326C"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0362C74" w14:paraId="3333A209" w14:textId="77777777" w:rsidTr="70362C74">
      <w:trPr>
        <w:trHeight w:val="300"/>
      </w:trPr>
      <w:tc>
        <w:tcPr>
          <w:tcW w:w="3020" w:type="dxa"/>
        </w:tcPr>
        <w:p w14:paraId="2AB152EC" w14:textId="12A17B17" w:rsidR="70362C74" w:rsidRDefault="70362C74" w:rsidP="70362C74">
          <w:pPr>
            <w:pStyle w:val="Header"/>
            <w:ind w:left="-115"/>
          </w:pPr>
        </w:p>
      </w:tc>
      <w:tc>
        <w:tcPr>
          <w:tcW w:w="3020" w:type="dxa"/>
        </w:tcPr>
        <w:p w14:paraId="6046F0B3" w14:textId="0B66AC81" w:rsidR="70362C74" w:rsidRDefault="70362C74" w:rsidP="70362C74">
          <w:pPr>
            <w:pStyle w:val="Header"/>
            <w:jc w:val="center"/>
          </w:pPr>
        </w:p>
      </w:tc>
      <w:tc>
        <w:tcPr>
          <w:tcW w:w="3020" w:type="dxa"/>
        </w:tcPr>
        <w:p w14:paraId="3A859F2C" w14:textId="589EA98C" w:rsidR="70362C74" w:rsidRDefault="70362C74" w:rsidP="70362C74">
          <w:pPr>
            <w:pStyle w:val="Header"/>
            <w:ind w:right="-115"/>
            <w:jc w:val="right"/>
          </w:pPr>
        </w:p>
      </w:tc>
    </w:tr>
  </w:tbl>
  <w:p w14:paraId="1338D3D4" w14:textId="72924DEF" w:rsidR="00F4053C" w:rsidRDefault="00F405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12F8E" w14:textId="328E1522" w:rsidR="003B1273" w:rsidRDefault="0058793E" w:rsidP="006249DC">
    <w:pPr>
      <w:pStyle w:val="Header"/>
      <w:ind w:firstLine="720"/>
      <w:rPr>
        <w:noProof/>
        <w:lang w:eastAsia="en-AU"/>
      </w:rPr>
    </w:pPr>
    <w:r>
      <w:rPr>
        <w:noProof/>
        <w:lang w:eastAsia="en-AU"/>
      </w:rPr>
      <w:drawing>
        <wp:anchor distT="0" distB="0" distL="114300" distR="114300" simplePos="0" relativeHeight="251658243" behindDoc="1" locked="0" layoutInCell="1" allowOverlap="1" wp14:anchorId="174A5D9A" wp14:editId="48C4BA59">
          <wp:simplePos x="0" y="0"/>
          <wp:positionH relativeFrom="page">
            <wp:align>left</wp:align>
          </wp:positionH>
          <wp:positionV relativeFrom="page">
            <wp:posOffset>-635</wp:posOffset>
          </wp:positionV>
          <wp:extent cx="7577455" cy="10720705"/>
          <wp:effectExtent l="0" t="0" r="4445" b="0"/>
          <wp:wrapNone/>
          <wp:docPr id="428399030" name="Picture 4283990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99030" name="Picture 4283990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7455" cy="10720705"/>
                  </a:xfrm>
                  <a:prstGeom prst="rect">
                    <a:avLst/>
                  </a:prstGeom>
                </pic:spPr>
              </pic:pic>
            </a:graphicData>
          </a:graphic>
          <wp14:sizeRelH relativeFrom="margin">
            <wp14:pctWidth>0</wp14:pctWidth>
          </wp14:sizeRelH>
          <wp14:sizeRelV relativeFrom="margin">
            <wp14:pctHeight>0</wp14:pctHeight>
          </wp14:sizeRelV>
        </wp:anchor>
      </w:drawing>
    </w:r>
    <w:r w:rsidR="00006618">
      <w:rPr>
        <w:noProof/>
        <w:lang w:eastAsia="en-AU"/>
      </w:rPr>
      <w:drawing>
        <wp:anchor distT="0" distB="0" distL="114300" distR="114300" simplePos="0" relativeHeight="251658240" behindDoc="1" locked="0" layoutInCell="1" allowOverlap="1" wp14:anchorId="263E63C1" wp14:editId="369CE6A1">
          <wp:simplePos x="0" y="0"/>
          <wp:positionH relativeFrom="column">
            <wp:posOffset>-928139</wp:posOffset>
          </wp:positionH>
          <wp:positionV relativeFrom="paragraph">
            <wp:posOffset>-1149350</wp:posOffset>
          </wp:positionV>
          <wp:extent cx="7658735" cy="5355590"/>
          <wp:effectExtent l="0" t="0" r="0" b="0"/>
          <wp:wrapNone/>
          <wp:docPr id="754329799" name="Picture 1" descr="A person sitting on a chair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29799" name="Picture 1" descr="A person sitting on a chair in front of a window&#10;&#10;Description automatically generated"/>
                  <pic:cNvPicPr/>
                </pic:nvPicPr>
                <pic:blipFill rotWithShape="1">
                  <a:blip r:embed="rId2">
                    <a:extLst>
                      <a:ext uri="{28A0092B-C50C-407E-A947-70E740481C1C}">
                        <a14:useLocalDpi xmlns:a14="http://schemas.microsoft.com/office/drawing/2010/main" val="0"/>
                      </a:ext>
                    </a:extLst>
                  </a:blip>
                  <a:srcRect r="4653"/>
                  <a:stretch/>
                </pic:blipFill>
                <pic:spPr bwMode="auto">
                  <a:xfrm>
                    <a:off x="0" y="0"/>
                    <a:ext cx="7658735" cy="5355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2A0825" w14:textId="582C322F" w:rsidR="00751A23" w:rsidRDefault="00627385" w:rsidP="00934368">
    <w:pPr>
      <w:pStyle w:val="Header"/>
    </w:pPr>
    <w:r>
      <w:rPr>
        <w:noProof/>
      </w:rPr>
      <mc:AlternateContent>
        <mc:Choice Requires="wps">
          <w:drawing>
            <wp:anchor distT="0" distB="0" distL="114300" distR="114300" simplePos="0" relativeHeight="251658241" behindDoc="1" locked="0" layoutInCell="1" allowOverlap="1" wp14:anchorId="597033E1" wp14:editId="40832A30">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3AA4769E">
            <v:rect id="Rectangle 23" style="position:absolute;margin-left:-69.4pt;margin-top:314.6pt;width:599.25pt;height:491.2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2pt" w14:anchorId="6433FC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0362C74" w14:paraId="34EFA74E" w14:textId="77777777" w:rsidTr="70362C74">
      <w:trPr>
        <w:trHeight w:val="300"/>
      </w:trPr>
      <w:tc>
        <w:tcPr>
          <w:tcW w:w="3020" w:type="dxa"/>
        </w:tcPr>
        <w:p w14:paraId="7826D3C0" w14:textId="367C28F5" w:rsidR="70362C74" w:rsidRDefault="70362C74" w:rsidP="70362C74">
          <w:pPr>
            <w:pStyle w:val="Header"/>
            <w:ind w:left="-115"/>
          </w:pPr>
        </w:p>
      </w:tc>
      <w:tc>
        <w:tcPr>
          <w:tcW w:w="3020" w:type="dxa"/>
        </w:tcPr>
        <w:p w14:paraId="01B4DB88" w14:textId="43AE836C" w:rsidR="70362C74" w:rsidRDefault="70362C74" w:rsidP="70362C74">
          <w:pPr>
            <w:pStyle w:val="Header"/>
            <w:jc w:val="center"/>
          </w:pPr>
        </w:p>
      </w:tc>
      <w:tc>
        <w:tcPr>
          <w:tcW w:w="3020" w:type="dxa"/>
        </w:tcPr>
        <w:p w14:paraId="4B7DBCF3" w14:textId="5B0330C4" w:rsidR="70362C74" w:rsidRDefault="70362C74" w:rsidP="70362C74">
          <w:pPr>
            <w:pStyle w:val="Header"/>
            <w:ind w:right="-115"/>
            <w:jc w:val="right"/>
          </w:pPr>
        </w:p>
      </w:tc>
    </w:tr>
  </w:tbl>
  <w:p w14:paraId="0CD0D972" w14:textId="0EDFE3DB" w:rsidR="00F4053C" w:rsidRDefault="00F405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98C7C" w14:textId="77777777" w:rsidR="000F4CA9" w:rsidRDefault="000F4CA9" w:rsidP="00934368">
    <w:pPr>
      <w:pStyle w:val="Headertext"/>
    </w:pPr>
    <w:r w:rsidRPr="00CC09BC">
      <w:rPr>
        <w:noProof/>
      </w:rPr>
      <mc:AlternateContent>
        <mc:Choice Requires="wps">
          <w:drawing>
            <wp:anchor distT="0" distB="0" distL="114300" distR="114300" simplePos="0" relativeHeight="251658242" behindDoc="1" locked="0" layoutInCell="1" allowOverlap="1" wp14:anchorId="3B7F33A9" wp14:editId="35763751">
              <wp:simplePos x="0" y="0"/>
              <wp:positionH relativeFrom="page">
                <wp:align>right</wp:align>
              </wp:positionH>
              <wp:positionV relativeFrom="page">
                <wp:align>bottom</wp:align>
              </wp:positionV>
              <wp:extent cx="7580120" cy="10912979"/>
              <wp:effectExtent l="0" t="0" r="1905" b="3175"/>
              <wp:wrapNone/>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0120" cy="10912979"/>
                      </a:xfrm>
                      <a:prstGeom prst="rect">
                        <a:avLst/>
                      </a:prstGeom>
                      <a:solidFill>
                        <a:srgbClr val="F1F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32210582">
            <v:rect id="Rectangle 33" style="position:absolute;margin-left:545.65pt;margin-top:0;width:596.85pt;height:859.3pt;z-index:-25165823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alt="&quot;&quot;" o:spid="_x0000_s1026" fillcolor="#f1f2f2" stroked="f" strokeweight="2pt" w14:anchorId="7054AF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1CA9ED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7165C0"/>
    <w:multiLevelType w:val="hybridMultilevel"/>
    <w:tmpl w:val="6E18E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B337EC"/>
    <w:multiLevelType w:val="multilevel"/>
    <w:tmpl w:val="F500CD32"/>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4" w15:restartNumberingAfterBreak="0">
    <w:nsid w:val="086B2792"/>
    <w:multiLevelType w:val="multilevel"/>
    <w:tmpl w:val="38C67D00"/>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0E1C6B43"/>
    <w:multiLevelType w:val="hybridMultilevel"/>
    <w:tmpl w:val="953E098E"/>
    <w:lvl w:ilvl="0" w:tplc="D4602700">
      <w:start w:val="1"/>
      <w:numFmt w:val="decimal"/>
      <w:lvlText w:val="%1."/>
      <w:lvlJc w:val="left"/>
      <w:pPr>
        <w:ind w:left="1020" w:hanging="360"/>
      </w:pPr>
    </w:lvl>
    <w:lvl w:ilvl="1" w:tplc="AC3E4A5A">
      <w:start w:val="1"/>
      <w:numFmt w:val="decimal"/>
      <w:lvlText w:val="%2."/>
      <w:lvlJc w:val="left"/>
      <w:pPr>
        <w:ind w:left="1020" w:hanging="360"/>
      </w:pPr>
    </w:lvl>
    <w:lvl w:ilvl="2" w:tplc="EA6E3B02">
      <w:start w:val="1"/>
      <w:numFmt w:val="decimal"/>
      <w:lvlText w:val="%3."/>
      <w:lvlJc w:val="left"/>
      <w:pPr>
        <w:ind w:left="1020" w:hanging="360"/>
      </w:pPr>
    </w:lvl>
    <w:lvl w:ilvl="3" w:tplc="1D5EE9B2">
      <w:start w:val="1"/>
      <w:numFmt w:val="decimal"/>
      <w:lvlText w:val="%4."/>
      <w:lvlJc w:val="left"/>
      <w:pPr>
        <w:ind w:left="1020" w:hanging="360"/>
      </w:pPr>
    </w:lvl>
    <w:lvl w:ilvl="4" w:tplc="F58A38C0">
      <w:start w:val="1"/>
      <w:numFmt w:val="decimal"/>
      <w:lvlText w:val="%5."/>
      <w:lvlJc w:val="left"/>
      <w:pPr>
        <w:ind w:left="1020" w:hanging="360"/>
      </w:pPr>
    </w:lvl>
    <w:lvl w:ilvl="5" w:tplc="8F3EB7AE">
      <w:start w:val="1"/>
      <w:numFmt w:val="decimal"/>
      <w:lvlText w:val="%6."/>
      <w:lvlJc w:val="left"/>
      <w:pPr>
        <w:ind w:left="1020" w:hanging="360"/>
      </w:pPr>
    </w:lvl>
    <w:lvl w:ilvl="6" w:tplc="160E60A8">
      <w:start w:val="1"/>
      <w:numFmt w:val="decimal"/>
      <w:lvlText w:val="%7."/>
      <w:lvlJc w:val="left"/>
      <w:pPr>
        <w:ind w:left="1020" w:hanging="360"/>
      </w:pPr>
    </w:lvl>
    <w:lvl w:ilvl="7" w:tplc="8340CD12">
      <w:start w:val="1"/>
      <w:numFmt w:val="decimal"/>
      <w:lvlText w:val="%8."/>
      <w:lvlJc w:val="left"/>
      <w:pPr>
        <w:ind w:left="1020" w:hanging="360"/>
      </w:pPr>
    </w:lvl>
    <w:lvl w:ilvl="8" w:tplc="D5C0A0B6">
      <w:start w:val="1"/>
      <w:numFmt w:val="decimal"/>
      <w:lvlText w:val="%9."/>
      <w:lvlJc w:val="left"/>
      <w:pPr>
        <w:ind w:left="1020" w:hanging="360"/>
      </w:pPr>
    </w:lvl>
  </w:abstractNum>
  <w:abstractNum w:abstractNumId="7" w15:restartNumberingAfterBreak="0">
    <w:nsid w:val="0F8C6DCF"/>
    <w:multiLevelType w:val="hybridMultilevel"/>
    <w:tmpl w:val="379A6F8A"/>
    <w:lvl w:ilvl="0" w:tplc="986E2C42">
      <w:start w:val="1"/>
      <w:numFmt w:val="bullet"/>
      <w:lvlText w:val=""/>
      <w:lvlJc w:val="left"/>
      <w:pPr>
        <w:ind w:left="720" w:hanging="360"/>
      </w:pPr>
      <w:rPr>
        <w:rFonts w:ascii="Symbol" w:hAnsi="Symbol" w:hint="default"/>
      </w:rPr>
    </w:lvl>
    <w:lvl w:ilvl="1" w:tplc="2A7C4094">
      <w:start w:val="1"/>
      <w:numFmt w:val="bullet"/>
      <w:lvlText w:val="o"/>
      <w:lvlJc w:val="left"/>
      <w:pPr>
        <w:ind w:left="1440" w:hanging="360"/>
      </w:pPr>
      <w:rPr>
        <w:rFonts w:ascii="Courier New" w:hAnsi="Courier New" w:hint="default"/>
      </w:rPr>
    </w:lvl>
    <w:lvl w:ilvl="2" w:tplc="FC8E5798">
      <w:start w:val="1"/>
      <w:numFmt w:val="bullet"/>
      <w:lvlText w:val=""/>
      <w:lvlJc w:val="left"/>
      <w:pPr>
        <w:ind w:left="2160" w:hanging="360"/>
      </w:pPr>
      <w:rPr>
        <w:rFonts w:ascii="Wingdings" w:hAnsi="Wingdings" w:hint="default"/>
      </w:rPr>
    </w:lvl>
    <w:lvl w:ilvl="3" w:tplc="ED94EBAE">
      <w:start w:val="1"/>
      <w:numFmt w:val="bullet"/>
      <w:lvlText w:val=""/>
      <w:lvlJc w:val="left"/>
      <w:pPr>
        <w:ind w:left="2880" w:hanging="360"/>
      </w:pPr>
      <w:rPr>
        <w:rFonts w:ascii="Symbol" w:hAnsi="Symbol" w:hint="default"/>
      </w:rPr>
    </w:lvl>
    <w:lvl w:ilvl="4" w:tplc="34F06268">
      <w:start w:val="1"/>
      <w:numFmt w:val="bullet"/>
      <w:lvlText w:val="o"/>
      <w:lvlJc w:val="left"/>
      <w:pPr>
        <w:ind w:left="3600" w:hanging="360"/>
      </w:pPr>
      <w:rPr>
        <w:rFonts w:ascii="Courier New" w:hAnsi="Courier New" w:hint="default"/>
      </w:rPr>
    </w:lvl>
    <w:lvl w:ilvl="5" w:tplc="A8D230F4">
      <w:start w:val="1"/>
      <w:numFmt w:val="bullet"/>
      <w:lvlText w:val=""/>
      <w:lvlJc w:val="left"/>
      <w:pPr>
        <w:ind w:left="4320" w:hanging="360"/>
      </w:pPr>
      <w:rPr>
        <w:rFonts w:ascii="Wingdings" w:hAnsi="Wingdings" w:hint="default"/>
      </w:rPr>
    </w:lvl>
    <w:lvl w:ilvl="6" w:tplc="68D2DBC8">
      <w:start w:val="1"/>
      <w:numFmt w:val="bullet"/>
      <w:lvlText w:val=""/>
      <w:lvlJc w:val="left"/>
      <w:pPr>
        <w:ind w:left="5040" w:hanging="360"/>
      </w:pPr>
      <w:rPr>
        <w:rFonts w:ascii="Symbol" w:hAnsi="Symbol" w:hint="default"/>
      </w:rPr>
    </w:lvl>
    <w:lvl w:ilvl="7" w:tplc="36BC474C">
      <w:start w:val="1"/>
      <w:numFmt w:val="bullet"/>
      <w:lvlText w:val="o"/>
      <w:lvlJc w:val="left"/>
      <w:pPr>
        <w:ind w:left="5760" w:hanging="360"/>
      </w:pPr>
      <w:rPr>
        <w:rFonts w:ascii="Courier New" w:hAnsi="Courier New" w:hint="default"/>
      </w:rPr>
    </w:lvl>
    <w:lvl w:ilvl="8" w:tplc="93349A94">
      <w:start w:val="1"/>
      <w:numFmt w:val="bullet"/>
      <w:lvlText w:val=""/>
      <w:lvlJc w:val="left"/>
      <w:pPr>
        <w:ind w:left="6480" w:hanging="360"/>
      </w:pPr>
      <w:rPr>
        <w:rFonts w:ascii="Wingdings" w:hAnsi="Wingdings" w:hint="default"/>
      </w:rPr>
    </w:lvl>
  </w:abstractNum>
  <w:abstractNum w:abstractNumId="8" w15:restartNumberingAfterBreak="0">
    <w:nsid w:val="1486165A"/>
    <w:multiLevelType w:val="multilevel"/>
    <w:tmpl w:val="4AAE5A22"/>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 w15:restartNumberingAfterBreak="0">
    <w:nsid w:val="17955F62"/>
    <w:multiLevelType w:val="multilevel"/>
    <w:tmpl w:val="C2F0F7E8"/>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 w15:restartNumberingAfterBreak="0">
    <w:nsid w:val="1920192C"/>
    <w:multiLevelType w:val="hybridMultilevel"/>
    <w:tmpl w:val="C944E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3228A7"/>
    <w:multiLevelType w:val="hybridMultilevel"/>
    <w:tmpl w:val="6F220884"/>
    <w:lvl w:ilvl="0" w:tplc="AA643BEE">
      <w:start w:val="1"/>
      <w:numFmt w:val="decimal"/>
      <w:lvlText w:val="%1."/>
      <w:lvlJc w:val="left"/>
      <w:pPr>
        <w:ind w:left="830" w:hanging="4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9111F84"/>
    <w:multiLevelType w:val="hybridMultilevel"/>
    <w:tmpl w:val="43241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7A311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D5A0AD2"/>
    <w:multiLevelType w:val="multilevel"/>
    <w:tmpl w:val="E5929588"/>
    <w:styleLink w:val="Style3"/>
    <w:lvl w:ilvl="0">
      <w:start w:val="1"/>
      <w:numFmt w:val="decimal"/>
      <w:lvlText w:val="%1."/>
      <w:lvlJc w:val="left"/>
      <w:pPr>
        <w:ind w:left="360" w:hanging="20"/>
      </w:pPr>
      <w:rPr>
        <w:rFonts w:hint="default"/>
        <w:b/>
        <w:bCs/>
        <w:sz w:val="24"/>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6"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35844145"/>
    <w:multiLevelType w:val="multilevel"/>
    <w:tmpl w:val="E3E8BE34"/>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8584E90"/>
    <w:multiLevelType w:val="hybridMultilevel"/>
    <w:tmpl w:val="23F021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A7463C"/>
    <w:multiLevelType w:val="hybridMultilevel"/>
    <w:tmpl w:val="6A42D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4D148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2" w15:restartNumberingAfterBreak="0">
    <w:nsid w:val="4B333ADB"/>
    <w:multiLevelType w:val="hybridMultilevel"/>
    <w:tmpl w:val="C2060D32"/>
    <w:lvl w:ilvl="0" w:tplc="FFFFFFFF">
      <w:start w:val="1"/>
      <w:numFmt w:val="decimal"/>
      <w:lvlText w:val="•"/>
      <w:lvlJc w:val="left"/>
      <w:pPr>
        <w:ind w:left="720" w:hanging="360"/>
      </w:pPr>
    </w:lvl>
    <w:lvl w:ilvl="1" w:tplc="0C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4BAD02A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CDD0905"/>
    <w:multiLevelType w:val="hybridMultilevel"/>
    <w:tmpl w:val="8C9CAB7E"/>
    <w:styleLink w:val="NumberedCheckmarkBulletsNumbers"/>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1B5697"/>
    <w:multiLevelType w:val="hybridMultilevel"/>
    <w:tmpl w:val="3CA4C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A6788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08B369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13B17B7"/>
    <w:multiLevelType w:val="hybridMultilevel"/>
    <w:tmpl w:val="E7400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6A67283"/>
    <w:multiLevelType w:val="hybridMultilevel"/>
    <w:tmpl w:val="D5EEACFC"/>
    <w:lvl w:ilvl="0" w:tplc="ED824F22">
      <w:start w:val="1"/>
      <w:numFmt w:val="decimal"/>
      <w:lvlText w:val="%1)"/>
      <w:lvlJc w:val="left"/>
      <w:pPr>
        <w:ind w:left="1440" w:hanging="360"/>
      </w:pPr>
    </w:lvl>
    <w:lvl w:ilvl="1" w:tplc="5A12D800">
      <w:start w:val="1"/>
      <w:numFmt w:val="decimal"/>
      <w:lvlText w:val="%2)"/>
      <w:lvlJc w:val="left"/>
      <w:pPr>
        <w:ind w:left="1440" w:hanging="360"/>
      </w:pPr>
    </w:lvl>
    <w:lvl w:ilvl="2" w:tplc="35B4A7BC">
      <w:start w:val="1"/>
      <w:numFmt w:val="decimal"/>
      <w:lvlText w:val="%3)"/>
      <w:lvlJc w:val="left"/>
      <w:pPr>
        <w:ind w:left="1440" w:hanging="360"/>
      </w:pPr>
    </w:lvl>
    <w:lvl w:ilvl="3" w:tplc="81FAE814">
      <w:start w:val="1"/>
      <w:numFmt w:val="decimal"/>
      <w:lvlText w:val="%4)"/>
      <w:lvlJc w:val="left"/>
      <w:pPr>
        <w:ind w:left="1440" w:hanging="360"/>
      </w:pPr>
    </w:lvl>
    <w:lvl w:ilvl="4" w:tplc="F59E67D8">
      <w:start w:val="1"/>
      <w:numFmt w:val="decimal"/>
      <w:lvlText w:val="%5)"/>
      <w:lvlJc w:val="left"/>
      <w:pPr>
        <w:ind w:left="1440" w:hanging="360"/>
      </w:pPr>
    </w:lvl>
    <w:lvl w:ilvl="5" w:tplc="60867768">
      <w:start w:val="1"/>
      <w:numFmt w:val="decimal"/>
      <w:lvlText w:val="%6)"/>
      <w:lvlJc w:val="left"/>
      <w:pPr>
        <w:ind w:left="1440" w:hanging="360"/>
      </w:pPr>
    </w:lvl>
    <w:lvl w:ilvl="6" w:tplc="4346493A">
      <w:start w:val="1"/>
      <w:numFmt w:val="decimal"/>
      <w:lvlText w:val="%7)"/>
      <w:lvlJc w:val="left"/>
      <w:pPr>
        <w:ind w:left="1440" w:hanging="360"/>
      </w:pPr>
    </w:lvl>
    <w:lvl w:ilvl="7" w:tplc="93304170">
      <w:start w:val="1"/>
      <w:numFmt w:val="decimal"/>
      <w:lvlText w:val="%8)"/>
      <w:lvlJc w:val="left"/>
      <w:pPr>
        <w:ind w:left="1440" w:hanging="360"/>
      </w:pPr>
    </w:lvl>
    <w:lvl w:ilvl="8" w:tplc="BB0C56D8">
      <w:start w:val="1"/>
      <w:numFmt w:val="decimal"/>
      <w:lvlText w:val="%9)"/>
      <w:lvlJc w:val="left"/>
      <w:pPr>
        <w:ind w:left="1440" w:hanging="360"/>
      </w:pPr>
    </w:lvl>
  </w:abstractNum>
  <w:abstractNum w:abstractNumId="31"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CBD147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EC152A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4391B21"/>
    <w:multiLevelType w:val="hybridMultilevel"/>
    <w:tmpl w:val="F4526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4FE315E"/>
    <w:multiLevelType w:val="hybridMultilevel"/>
    <w:tmpl w:val="36C0CF7C"/>
    <w:lvl w:ilvl="0" w:tplc="5A000BAE">
      <w:start w:val="1"/>
      <w:numFmt w:val="decimal"/>
      <w:lvlText w:val="%1)"/>
      <w:lvlJc w:val="left"/>
      <w:pPr>
        <w:ind w:left="1440" w:hanging="360"/>
      </w:pPr>
    </w:lvl>
    <w:lvl w:ilvl="1" w:tplc="5E38EB94">
      <w:start w:val="1"/>
      <w:numFmt w:val="decimal"/>
      <w:lvlText w:val="%2)"/>
      <w:lvlJc w:val="left"/>
      <w:pPr>
        <w:ind w:left="1440" w:hanging="360"/>
      </w:pPr>
    </w:lvl>
    <w:lvl w:ilvl="2" w:tplc="45681CA4">
      <w:start w:val="1"/>
      <w:numFmt w:val="decimal"/>
      <w:lvlText w:val="%3)"/>
      <w:lvlJc w:val="left"/>
      <w:pPr>
        <w:ind w:left="1440" w:hanging="360"/>
      </w:pPr>
    </w:lvl>
    <w:lvl w:ilvl="3" w:tplc="442A8208">
      <w:start w:val="1"/>
      <w:numFmt w:val="decimal"/>
      <w:lvlText w:val="%4)"/>
      <w:lvlJc w:val="left"/>
      <w:pPr>
        <w:ind w:left="1440" w:hanging="360"/>
      </w:pPr>
    </w:lvl>
    <w:lvl w:ilvl="4" w:tplc="FC4EE098">
      <w:start w:val="1"/>
      <w:numFmt w:val="decimal"/>
      <w:lvlText w:val="%5)"/>
      <w:lvlJc w:val="left"/>
      <w:pPr>
        <w:ind w:left="1440" w:hanging="360"/>
      </w:pPr>
    </w:lvl>
    <w:lvl w:ilvl="5" w:tplc="C770A53A">
      <w:start w:val="1"/>
      <w:numFmt w:val="decimal"/>
      <w:lvlText w:val="%6)"/>
      <w:lvlJc w:val="left"/>
      <w:pPr>
        <w:ind w:left="1440" w:hanging="360"/>
      </w:pPr>
    </w:lvl>
    <w:lvl w:ilvl="6" w:tplc="40A4406C">
      <w:start w:val="1"/>
      <w:numFmt w:val="decimal"/>
      <w:lvlText w:val="%7)"/>
      <w:lvlJc w:val="left"/>
      <w:pPr>
        <w:ind w:left="1440" w:hanging="360"/>
      </w:pPr>
    </w:lvl>
    <w:lvl w:ilvl="7" w:tplc="CB76ED4E">
      <w:start w:val="1"/>
      <w:numFmt w:val="decimal"/>
      <w:lvlText w:val="%8)"/>
      <w:lvlJc w:val="left"/>
      <w:pPr>
        <w:ind w:left="1440" w:hanging="360"/>
      </w:pPr>
    </w:lvl>
    <w:lvl w:ilvl="8" w:tplc="4AB0C4E6">
      <w:start w:val="1"/>
      <w:numFmt w:val="decimal"/>
      <w:lvlText w:val="%9)"/>
      <w:lvlJc w:val="left"/>
      <w:pPr>
        <w:ind w:left="1440" w:hanging="360"/>
      </w:pPr>
    </w:lvl>
  </w:abstractNum>
  <w:abstractNum w:abstractNumId="36" w15:restartNumberingAfterBreak="0">
    <w:nsid w:val="6ABE44B7"/>
    <w:multiLevelType w:val="multilevel"/>
    <w:tmpl w:val="7C4285AC"/>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AFB6EE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9" w15:restartNumberingAfterBreak="0">
    <w:nsid w:val="713C637E"/>
    <w:multiLevelType w:val="hybridMultilevel"/>
    <w:tmpl w:val="29D66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DC1316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865214931">
    <w:abstractNumId w:val="7"/>
  </w:num>
  <w:num w:numId="2" w16cid:durableId="434907658">
    <w:abstractNumId w:val="16"/>
  </w:num>
  <w:num w:numId="3" w16cid:durableId="1539734796">
    <w:abstractNumId w:val="41"/>
  </w:num>
  <w:num w:numId="4" w16cid:durableId="1714497014">
    <w:abstractNumId w:val="29"/>
  </w:num>
  <w:num w:numId="5" w16cid:durableId="1598446853">
    <w:abstractNumId w:val="38"/>
  </w:num>
  <w:num w:numId="6" w16cid:durableId="1102919233">
    <w:abstractNumId w:val="3"/>
  </w:num>
  <w:num w:numId="7" w16cid:durableId="447891373">
    <w:abstractNumId w:val="21"/>
  </w:num>
  <w:num w:numId="8" w16cid:durableId="2016564803">
    <w:abstractNumId w:val="31"/>
  </w:num>
  <w:num w:numId="9" w16cid:durableId="1135832104">
    <w:abstractNumId w:val="5"/>
  </w:num>
  <w:num w:numId="10" w16cid:durableId="148444791">
    <w:abstractNumId w:val="15"/>
  </w:num>
  <w:num w:numId="11" w16cid:durableId="229922575">
    <w:abstractNumId w:val="24"/>
  </w:num>
  <w:num w:numId="12" w16cid:durableId="1153596025">
    <w:abstractNumId w:val="14"/>
  </w:num>
  <w:num w:numId="13" w16cid:durableId="692922025">
    <w:abstractNumId w:val="26"/>
  </w:num>
  <w:num w:numId="14" w16cid:durableId="2068801250">
    <w:abstractNumId w:val="0"/>
  </w:num>
  <w:num w:numId="15" w16cid:durableId="1074201340">
    <w:abstractNumId w:val="8"/>
  </w:num>
  <w:num w:numId="16" w16cid:durableId="50467412">
    <w:abstractNumId w:val="9"/>
  </w:num>
  <w:num w:numId="17" w16cid:durableId="532891051">
    <w:abstractNumId w:val="1"/>
  </w:num>
  <w:num w:numId="18" w16cid:durableId="540436098">
    <w:abstractNumId w:val="22"/>
  </w:num>
  <w:num w:numId="19" w16cid:durableId="423455252">
    <w:abstractNumId w:val="11"/>
  </w:num>
  <w:num w:numId="20" w16cid:durableId="164901081">
    <w:abstractNumId w:val="12"/>
  </w:num>
  <w:num w:numId="21" w16cid:durableId="1852184228">
    <w:abstractNumId w:val="19"/>
  </w:num>
  <w:num w:numId="22" w16cid:durableId="1638759597">
    <w:abstractNumId w:val="25"/>
  </w:num>
  <w:num w:numId="23" w16cid:durableId="355926731">
    <w:abstractNumId w:val="28"/>
  </w:num>
  <w:num w:numId="24" w16cid:durableId="1110079280">
    <w:abstractNumId w:val="18"/>
  </w:num>
  <w:num w:numId="25" w16cid:durableId="897210251">
    <w:abstractNumId w:val="13"/>
  </w:num>
  <w:num w:numId="26" w16cid:durableId="842821132">
    <w:abstractNumId w:val="10"/>
  </w:num>
  <w:num w:numId="27" w16cid:durableId="1303541342">
    <w:abstractNumId w:val="32"/>
  </w:num>
  <w:num w:numId="28" w16cid:durableId="1653753659">
    <w:abstractNumId w:val="33"/>
  </w:num>
  <w:num w:numId="29" w16cid:durableId="189338844">
    <w:abstractNumId w:val="34"/>
  </w:num>
  <w:num w:numId="30" w16cid:durableId="1933126678">
    <w:abstractNumId w:val="4"/>
  </w:num>
  <w:num w:numId="31" w16cid:durableId="690569388">
    <w:abstractNumId w:val="20"/>
  </w:num>
  <w:num w:numId="32" w16cid:durableId="1133211254">
    <w:abstractNumId w:val="36"/>
  </w:num>
  <w:num w:numId="33" w16cid:durableId="1500076343">
    <w:abstractNumId w:val="23"/>
  </w:num>
  <w:num w:numId="34" w16cid:durableId="1005471544">
    <w:abstractNumId w:val="2"/>
  </w:num>
  <w:num w:numId="35" w16cid:durableId="1091395181">
    <w:abstractNumId w:val="17"/>
  </w:num>
  <w:num w:numId="36" w16cid:durableId="1975982467">
    <w:abstractNumId w:val="37"/>
  </w:num>
  <w:num w:numId="37" w16cid:durableId="1053457915">
    <w:abstractNumId w:val="27"/>
  </w:num>
  <w:num w:numId="38" w16cid:durableId="34743517">
    <w:abstractNumId w:val="40"/>
  </w:num>
  <w:num w:numId="39" w16cid:durableId="2007661052">
    <w:abstractNumId w:val="30"/>
  </w:num>
  <w:num w:numId="40" w16cid:durableId="853957434">
    <w:abstractNumId w:val="35"/>
  </w:num>
  <w:num w:numId="41" w16cid:durableId="947082094">
    <w:abstractNumId w:val="39"/>
  </w:num>
  <w:num w:numId="42" w16cid:durableId="188688229">
    <w:abstractNumId w:val="6"/>
  </w:num>
  <w:num w:numId="43" w16cid:durableId="931667305">
    <w:abstractNumId w:val="0"/>
  </w:num>
  <w:num w:numId="44" w16cid:durableId="2064982256">
    <w:abstractNumId w:val="0"/>
  </w:num>
  <w:num w:numId="45" w16cid:durableId="221867577">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A04" w:allStyles="0" w:customStyles="0" w:latentStyles="1" w:stylesInUse="0" w:headingStyles="0" w:numberingStyles="0" w:tableStyles="0" w:directFormattingOnRuns="0" w:directFormattingOnParagraphs="1" w:directFormattingOnNumbering="0" w:directFormattingOnTables="1" w:clearFormatting="1" w:top3HeadingStyles="0" w:visibleStyles="0" w:alternateStyleNames="0"/>
  <w:stylePaneSortMethod w:val="0000"/>
  <w:trackRevisions/>
  <w:documentProtection w:formatting="1" w:enforcement="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24D"/>
    <w:rsid w:val="00001F41"/>
    <w:rsid w:val="00002751"/>
    <w:rsid w:val="00003267"/>
    <w:rsid w:val="0000340C"/>
    <w:rsid w:val="00003743"/>
    <w:rsid w:val="000047B4"/>
    <w:rsid w:val="00005712"/>
    <w:rsid w:val="00006618"/>
    <w:rsid w:val="00006676"/>
    <w:rsid w:val="0000676A"/>
    <w:rsid w:val="00006D86"/>
    <w:rsid w:val="000073E3"/>
    <w:rsid w:val="00007D9A"/>
    <w:rsid w:val="00007E51"/>
    <w:rsid w:val="00007FD8"/>
    <w:rsid w:val="000108C8"/>
    <w:rsid w:val="000117F8"/>
    <w:rsid w:val="000120C9"/>
    <w:rsid w:val="0001295C"/>
    <w:rsid w:val="00012EB3"/>
    <w:rsid w:val="00014BA6"/>
    <w:rsid w:val="000158DA"/>
    <w:rsid w:val="00016823"/>
    <w:rsid w:val="00017069"/>
    <w:rsid w:val="00017107"/>
    <w:rsid w:val="000171B7"/>
    <w:rsid w:val="00017A20"/>
    <w:rsid w:val="00020D18"/>
    <w:rsid w:val="00022840"/>
    <w:rsid w:val="0002611A"/>
    <w:rsid w:val="00026139"/>
    <w:rsid w:val="00026628"/>
    <w:rsid w:val="00026AA4"/>
    <w:rsid w:val="00026E91"/>
    <w:rsid w:val="00027071"/>
    <w:rsid w:val="00027601"/>
    <w:rsid w:val="00027CBF"/>
    <w:rsid w:val="00030040"/>
    <w:rsid w:val="000317FE"/>
    <w:rsid w:val="00031895"/>
    <w:rsid w:val="00033321"/>
    <w:rsid w:val="000338E5"/>
    <w:rsid w:val="00033942"/>
    <w:rsid w:val="00033C21"/>
    <w:rsid w:val="00033ECC"/>
    <w:rsid w:val="00033F8E"/>
    <w:rsid w:val="0003422F"/>
    <w:rsid w:val="0003437F"/>
    <w:rsid w:val="00036AFE"/>
    <w:rsid w:val="0004022D"/>
    <w:rsid w:val="00040B94"/>
    <w:rsid w:val="000414D1"/>
    <w:rsid w:val="000438ED"/>
    <w:rsid w:val="00044ED8"/>
    <w:rsid w:val="00046FF0"/>
    <w:rsid w:val="00050176"/>
    <w:rsid w:val="00051316"/>
    <w:rsid w:val="00051654"/>
    <w:rsid w:val="00054E70"/>
    <w:rsid w:val="00056347"/>
    <w:rsid w:val="00057099"/>
    <w:rsid w:val="0006074D"/>
    <w:rsid w:val="0006247D"/>
    <w:rsid w:val="00062B30"/>
    <w:rsid w:val="00062B65"/>
    <w:rsid w:val="00063195"/>
    <w:rsid w:val="0006333D"/>
    <w:rsid w:val="00064599"/>
    <w:rsid w:val="00064AA5"/>
    <w:rsid w:val="0006530D"/>
    <w:rsid w:val="00067456"/>
    <w:rsid w:val="00070C22"/>
    <w:rsid w:val="00071506"/>
    <w:rsid w:val="0007154F"/>
    <w:rsid w:val="000716EF"/>
    <w:rsid w:val="00071E54"/>
    <w:rsid w:val="00072E78"/>
    <w:rsid w:val="000759E7"/>
    <w:rsid w:val="000763CB"/>
    <w:rsid w:val="00077173"/>
    <w:rsid w:val="00077852"/>
    <w:rsid w:val="00077871"/>
    <w:rsid w:val="000803A3"/>
    <w:rsid w:val="000807AC"/>
    <w:rsid w:val="00081AB1"/>
    <w:rsid w:val="00082852"/>
    <w:rsid w:val="00082AE2"/>
    <w:rsid w:val="00083C45"/>
    <w:rsid w:val="00084650"/>
    <w:rsid w:val="00084FD8"/>
    <w:rsid w:val="0008742F"/>
    <w:rsid w:val="00087AC4"/>
    <w:rsid w:val="00090316"/>
    <w:rsid w:val="00090327"/>
    <w:rsid w:val="00090D1F"/>
    <w:rsid w:val="00090DD3"/>
    <w:rsid w:val="000910CB"/>
    <w:rsid w:val="00091966"/>
    <w:rsid w:val="00091D8F"/>
    <w:rsid w:val="00092978"/>
    <w:rsid w:val="00093981"/>
    <w:rsid w:val="00093A7C"/>
    <w:rsid w:val="00093CD9"/>
    <w:rsid w:val="00094F44"/>
    <w:rsid w:val="00096324"/>
    <w:rsid w:val="00096C94"/>
    <w:rsid w:val="000A0267"/>
    <w:rsid w:val="000A191E"/>
    <w:rsid w:val="000A19F0"/>
    <w:rsid w:val="000A3315"/>
    <w:rsid w:val="000A3A91"/>
    <w:rsid w:val="000A3AF1"/>
    <w:rsid w:val="000A401D"/>
    <w:rsid w:val="000A4A1F"/>
    <w:rsid w:val="000A53E5"/>
    <w:rsid w:val="000A69E6"/>
    <w:rsid w:val="000A7760"/>
    <w:rsid w:val="000B0275"/>
    <w:rsid w:val="000B067A"/>
    <w:rsid w:val="000B1540"/>
    <w:rsid w:val="000B2549"/>
    <w:rsid w:val="000B28D6"/>
    <w:rsid w:val="000B33FD"/>
    <w:rsid w:val="000B48BE"/>
    <w:rsid w:val="000B4ABA"/>
    <w:rsid w:val="000B536C"/>
    <w:rsid w:val="000B6341"/>
    <w:rsid w:val="000C13AA"/>
    <w:rsid w:val="000C1D89"/>
    <w:rsid w:val="000C3274"/>
    <w:rsid w:val="000C3D16"/>
    <w:rsid w:val="000C4B16"/>
    <w:rsid w:val="000C50C3"/>
    <w:rsid w:val="000C557F"/>
    <w:rsid w:val="000C5601"/>
    <w:rsid w:val="000C60D6"/>
    <w:rsid w:val="000C624C"/>
    <w:rsid w:val="000C7304"/>
    <w:rsid w:val="000C764F"/>
    <w:rsid w:val="000C77DB"/>
    <w:rsid w:val="000C7A57"/>
    <w:rsid w:val="000D11F4"/>
    <w:rsid w:val="000D18F9"/>
    <w:rsid w:val="000D21F6"/>
    <w:rsid w:val="000D22BB"/>
    <w:rsid w:val="000D42C3"/>
    <w:rsid w:val="000D4492"/>
    <w:rsid w:val="000D4500"/>
    <w:rsid w:val="000D48DB"/>
    <w:rsid w:val="000D555E"/>
    <w:rsid w:val="000D6A0A"/>
    <w:rsid w:val="000D77C7"/>
    <w:rsid w:val="000D782D"/>
    <w:rsid w:val="000D78BF"/>
    <w:rsid w:val="000D7AEA"/>
    <w:rsid w:val="000E01A9"/>
    <w:rsid w:val="000E0D13"/>
    <w:rsid w:val="000E2C66"/>
    <w:rsid w:val="000E324C"/>
    <w:rsid w:val="000E3964"/>
    <w:rsid w:val="000E3D89"/>
    <w:rsid w:val="000E49C9"/>
    <w:rsid w:val="000E6E7D"/>
    <w:rsid w:val="000E7DDD"/>
    <w:rsid w:val="000F0CE7"/>
    <w:rsid w:val="000F123C"/>
    <w:rsid w:val="000F166B"/>
    <w:rsid w:val="000F1F00"/>
    <w:rsid w:val="000F20CC"/>
    <w:rsid w:val="000F29B5"/>
    <w:rsid w:val="000F2FED"/>
    <w:rsid w:val="000F3B41"/>
    <w:rsid w:val="000F49F5"/>
    <w:rsid w:val="000F4CA9"/>
    <w:rsid w:val="000F50EB"/>
    <w:rsid w:val="000F55A6"/>
    <w:rsid w:val="00101599"/>
    <w:rsid w:val="00101662"/>
    <w:rsid w:val="001045EC"/>
    <w:rsid w:val="00105AEA"/>
    <w:rsid w:val="0010616D"/>
    <w:rsid w:val="00107651"/>
    <w:rsid w:val="00110478"/>
    <w:rsid w:val="0011096E"/>
    <w:rsid w:val="001116A5"/>
    <w:rsid w:val="001118CA"/>
    <w:rsid w:val="00112E25"/>
    <w:rsid w:val="00114B6E"/>
    <w:rsid w:val="00114F48"/>
    <w:rsid w:val="00115070"/>
    <w:rsid w:val="0011518A"/>
    <w:rsid w:val="001151C6"/>
    <w:rsid w:val="00116233"/>
    <w:rsid w:val="0011711B"/>
    <w:rsid w:val="0011742E"/>
    <w:rsid w:val="00117F8A"/>
    <w:rsid w:val="00120448"/>
    <w:rsid w:val="0012066C"/>
    <w:rsid w:val="00121633"/>
    <w:rsid w:val="0012181A"/>
    <w:rsid w:val="00121B9B"/>
    <w:rsid w:val="0012206B"/>
    <w:rsid w:val="00122ADC"/>
    <w:rsid w:val="001240EA"/>
    <w:rsid w:val="00125EC7"/>
    <w:rsid w:val="0012695B"/>
    <w:rsid w:val="00126F24"/>
    <w:rsid w:val="00127288"/>
    <w:rsid w:val="00127695"/>
    <w:rsid w:val="00130F59"/>
    <w:rsid w:val="00131192"/>
    <w:rsid w:val="001312C8"/>
    <w:rsid w:val="00132F76"/>
    <w:rsid w:val="001334EF"/>
    <w:rsid w:val="0013356C"/>
    <w:rsid w:val="00133707"/>
    <w:rsid w:val="00133851"/>
    <w:rsid w:val="00133EC0"/>
    <w:rsid w:val="001343FA"/>
    <w:rsid w:val="0013549F"/>
    <w:rsid w:val="001355CB"/>
    <w:rsid w:val="00136ACE"/>
    <w:rsid w:val="00136E8F"/>
    <w:rsid w:val="00141787"/>
    <w:rsid w:val="00141935"/>
    <w:rsid w:val="00141CE5"/>
    <w:rsid w:val="00142DF0"/>
    <w:rsid w:val="00144908"/>
    <w:rsid w:val="00144EBC"/>
    <w:rsid w:val="0014531C"/>
    <w:rsid w:val="00145D59"/>
    <w:rsid w:val="00146147"/>
    <w:rsid w:val="001464BE"/>
    <w:rsid w:val="00146661"/>
    <w:rsid w:val="00147473"/>
    <w:rsid w:val="00147D2B"/>
    <w:rsid w:val="00150A55"/>
    <w:rsid w:val="00151036"/>
    <w:rsid w:val="00151A2B"/>
    <w:rsid w:val="0015355A"/>
    <w:rsid w:val="001536AE"/>
    <w:rsid w:val="00153E03"/>
    <w:rsid w:val="001545ED"/>
    <w:rsid w:val="00155B8F"/>
    <w:rsid w:val="00156A44"/>
    <w:rsid w:val="001571C7"/>
    <w:rsid w:val="0016091F"/>
    <w:rsid w:val="00160A5F"/>
    <w:rsid w:val="00161094"/>
    <w:rsid w:val="0016188E"/>
    <w:rsid w:val="00162CEA"/>
    <w:rsid w:val="00162FF3"/>
    <w:rsid w:val="00164564"/>
    <w:rsid w:val="001655C0"/>
    <w:rsid w:val="00165C1A"/>
    <w:rsid w:val="0016664B"/>
    <w:rsid w:val="001669F0"/>
    <w:rsid w:val="001677E6"/>
    <w:rsid w:val="00167B2F"/>
    <w:rsid w:val="00167F0E"/>
    <w:rsid w:val="00172A55"/>
    <w:rsid w:val="001735F3"/>
    <w:rsid w:val="00173823"/>
    <w:rsid w:val="00174EE1"/>
    <w:rsid w:val="001758CD"/>
    <w:rsid w:val="001760C4"/>
    <w:rsid w:val="0017665C"/>
    <w:rsid w:val="001772B0"/>
    <w:rsid w:val="00177AD2"/>
    <w:rsid w:val="00177D15"/>
    <w:rsid w:val="001800C3"/>
    <w:rsid w:val="001800F3"/>
    <w:rsid w:val="001815A8"/>
    <w:rsid w:val="00182F62"/>
    <w:rsid w:val="00183BBE"/>
    <w:rsid w:val="001840FA"/>
    <w:rsid w:val="001841F4"/>
    <w:rsid w:val="00185A28"/>
    <w:rsid w:val="00185F06"/>
    <w:rsid w:val="00185F9E"/>
    <w:rsid w:val="00190079"/>
    <w:rsid w:val="00190DCC"/>
    <w:rsid w:val="00191407"/>
    <w:rsid w:val="001916FC"/>
    <w:rsid w:val="001918AD"/>
    <w:rsid w:val="0019197C"/>
    <w:rsid w:val="00191B83"/>
    <w:rsid w:val="00193C9F"/>
    <w:rsid w:val="0019486B"/>
    <w:rsid w:val="00194CFB"/>
    <w:rsid w:val="001959B4"/>
    <w:rsid w:val="00195C9C"/>
    <w:rsid w:val="0019622E"/>
    <w:rsid w:val="001966A7"/>
    <w:rsid w:val="00196776"/>
    <w:rsid w:val="001A082F"/>
    <w:rsid w:val="001A28B3"/>
    <w:rsid w:val="001A2A2E"/>
    <w:rsid w:val="001A2AA0"/>
    <w:rsid w:val="001A3CB7"/>
    <w:rsid w:val="001A4627"/>
    <w:rsid w:val="001A4979"/>
    <w:rsid w:val="001A4B9B"/>
    <w:rsid w:val="001A753F"/>
    <w:rsid w:val="001A7B14"/>
    <w:rsid w:val="001B15D3"/>
    <w:rsid w:val="001B16D4"/>
    <w:rsid w:val="001B3443"/>
    <w:rsid w:val="001B3581"/>
    <w:rsid w:val="001B3F5F"/>
    <w:rsid w:val="001B6F0A"/>
    <w:rsid w:val="001B74A9"/>
    <w:rsid w:val="001B79CB"/>
    <w:rsid w:val="001B79FF"/>
    <w:rsid w:val="001B7C8D"/>
    <w:rsid w:val="001B7F7C"/>
    <w:rsid w:val="001C0326"/>
    <w:rsid w:val="001C1011"/>
    <w:rsid w:val="001C192F"/>
    <w:rsid w:val="001C1FE2"/>
    <w:rsid w:val="001C26AA"/>
    <w:rsid w:val="001C3967"/>
    <w:rsid w:val="001C3C42"/>
    <w:rsid w:val="001C3E57"/>
    <w:rsid w:val="001C4C14"/>
    <w:rsid w:val="001C4C1B"/>
    <w:rsid w:val="001D0E2F"/>
    <w:rsid w:val="001D215F"/>
    <w:rsid w:val="001D28AA"/>
    <w:rsid w:val="001D3392"/>
    <w:rsid w:val="001D3FA3"/>
    <w:rsid w:val="001D4058"/>
    <w:rsid w:val="001D4A1D"/>
    <w:rsid w:val="001D4D5A"/>
    <w:rsid w:val="001D5181"/>
    <w:rsid w:val="001D6C72"/>
    <w:rsid w:val="001D718A"/>
    <w:rsid w:val="001D73CD"/>
    <w:rsid w:val="001D761F"/>
    <w:rsid w:val="001D7869"/>
    <w:rsid w:val="001D79CA"/>
    <w:rsid w:val="001D7DFE"/>
    <w:rsid w:val="001D7EBD"/>
    <w:rsid w:val="001E37FF"/>
    <w:rsid w:val="001E4E6E"/>
    <w:rsid w:val="001F0A5B"/>
    <w:rsid w:val="001F110A"/>
    <w:rsid w:val="001F2F78"/>
    <w:rsid w:val="001F54AF"/>
    <w:rsid w:val="001F57B3"/>
    <w:rsid w:val="001F5821"/>
    <w:rsid w:val="001F6BFA"/>
    <w:rsid w:val="00200AB9"/>
    <w:rsid w:val="002026CD"/>
    <w:rsid w:val="00202B52"/>
    <w:rsid w:val="00202E4D"/>
    <w:rsid w:val="00202F05"/>
    <w:rsid w:val="002033FC"/>
    <w:rsid w:val="002044BB"/>
    <w:rsid w:val="00204577"/>
    <w:rsid w:val="002062EF"/>
    <w:rsid w:val="00207F76"/>
    <w:rsid w:val="00210B09"/>
    <w:rsid w:val="00210C54"/>
    <w:rsid w:val="00210C9E"/>
    <w:rsid w:val="00211840"/>
    <w:rsid w:val="002118E8"/>
    <w:rsid w:val="0021225E"/>
    <w:rsid w:val="00212500"/>
    <w:rsid w:val="00212756"/>
    <w:rsid w:val="002127EE"/>
    <w:rsid w:val="002135D2"/>
    <w:rsid w:val="00213D02"/>
    <w:rsid w:val="00213ED9"/>
    <w:rsid w:val="00214212"/>
    <w:rsid w:val="002142E6"/>
    <w:rsid w:val="002175DB"/>
    <w:rsid w:val="00220E5F"/>
    <w:rsid w:val="002212B5"/>
    <w:rsid w:val="002214DF"/>
    <w:rsid w:val="00222833"/>
    <w:rsid w:val="0022478B"/>
    <w:rsid w:val="002257DC"/>
    <w:rsid w:val="00225850"/>
    <w:rsid w:val="00225F45"/>
    <w:rsid w:val="00226668"/>
    <w:rsid w:val="00226FA4"/>
    <w:rsid w:val="00227271"/>
    <w:rsid w:val="0023191A"/>
    <w:rsid w:val="00231972"/>
    <w:rsid w:val="00233809"/>
    <w:rsid w:val="0023494B"/>
    <w:rsid w:val="00235948"/>
    <w:rsid w:val="00235A06"/>
    <w:rsid w:val="00240046"/>
    <w:rsid w:val="00241471"/>
    <w:rsid w:val="00241B57"/>
    <w:rsid w:val="00243A77"/>
    <w:rsid w:val="00244DDE"/>
    <w:rsid w:val="0024584F"/>
    <w:rsid w:val="0024797F"/>
    <w:rsid w:val="00250A7D"/>
    <w:rsid w:val="00250BBC"/>
    <w:rsid w:val="0025119E"/>
    <w:rsid w:val="00251269"/>
    <w:rsid w:val="002514B0"/>
    <w:rsid w:val="0025198C"/>
    <w:rsid w:val="00251F1F"/>
    <w:rsid w:val="002522AC"/>
    <w:rsid w:val="0025231C"/>
    <w:rsid w:val="002535C0"/>
    <w:rsid w:val="0025374A"/>
    <w:rsid w:val="00253FB3"/>
    <w:rsid w:val="0025410B"/>
    <w:rsid w:val="00254941"/>
    <w:rsid w:val="0025593B"/>
    <w:rsid w:val="002579FE"/>
    <w:rsid w:val="00257AC4"/>
    <w:rsid w:val="00261B7A"/>
    <w:rsid w:val="00262768"/>
    <w:rsid w:val="00262BF4"/>
    <w:rsid w:val="0026311C"/>
    <w:rsid w:val="00263DA3"/>
    <w:rsid w:val="0026465E"/>
    <w:rsid w:val="00264AD3"/>
    <w:rsid w:val="0026526E"/>
    <w:rsid w:val="0026668C"/>
    <w:rsid w:val="00266AC1"/>
    <w:rsid w:val="00270559"/>
    <w:rsid w:val="002709C2"/>
    <w:rsid w:val="002710E6"/>
    <w:rsid w:val="0027178C"/>
    <w:rsid w:val="002719FA"/>
    <w:rsid w:val="00272668"/>
    <w:rsid w:val="0027330B"/>
    <w:rsid w:val="0027376C"/>
    <w:rsid w:val="00275B3E"/>
    <w:rsid w:val="00276256"/>
    <w:rsid w:val="002803AD"/>
    <w:rsid w:val="0028182D"/>
    <w:rsid w:val="00282052"/>
    <w:rsid w:val="00282264"/>
    <w:rsid w:val="0028277C"/>
    <w:rsid w:val="00282981"/>
    <w:rsid w:val="00283074"/>
    <w:rsid w:val="00283DF1"/>
    <w:rsid w:val="00283EDD"/>
    <w:rsid w:val="00284BD2"/>
    <w:rsid w:val="0028519E"/>
    <w:rsid w:val="002855A4"/>
    <w:rsid w:val="002856A5"/>
    <w:rsid w:val="0028632F"/>
    <w:rsid w:val="002872ED"/>
    <w:rsid w:val="00287CA0"/>
    <w:rsid w:val="002904DC"/>
    <w:rsid w:val="002905C2"/>
    <w:rsid w:val="00290FBE"/>
    <w:rsid w:val="002916D1"/>
    <w:rsid w:val="00292B4C"/>
    <w:rsid w:val="002935BA"/>
    <w:rsid w:val="00293759"/>
    <w:rsid w:val="00294A8F"/>
    <w:rsid w:val="00295AF2"/>
    <w:rsid w:val="00295C91"/>
    <w:rsid w:val="002969D8"/>
    <w:rsid w:val="002970D8"/>
    <w:rsid w:val="00297151"/>
    <w:rsid w:val="0029727B"/>
    <w:rsid w:val="00297B22"/>
    <w:rsid w:val="002A0165"/>
    <w:rsid w:val="002A017F"/>
    <w:rsid w:val="002A02A6"/>
    <w:rsid w:val="002A0910"/>
    <w:rsid w:val="002A124D"/>
    <w:rsid w:val="002A32E5"/>
    <w:rsid w:val="002A38E2"/>
    <w:rsid w:val="002A4B4E"/>
    <w:rsid w:val="002A5D76"/>
    <w:rsid w:val="002B12BB"/>
    <w:rsid w:val="002B20E6"/>
    <w:rsid w:val="002B3028"/>
    <w:rsid w:val="002B3849"/>
    <w:rsid w:val="002B42A3"/>
    <w:rsid w:val="002B4B03"/>
    <w:rsid w:val="002B5148"/>
    <w:rsid w:val="002B581A"/>
    <w:rsid w:val="002B6D16"/>
    <w:rsid w:val="002B78BD"/>
    <w:rsid w:val="002B7A50"/>
    <w:rsid w:val="002B7CE8"/>
    <w:rsid w:val="002C0CDD"/>
    <w:rsid w:val="002C23A5"/>
    <w:rsid w:val="002C2E0C"/>
    <w:rsid w:val="002C3707"/>
    <w:rsid w:val="002C41B3"/>
    <w:rsid w:val="002C5E08"/>
    <w:rsid w:val="002C67F1"/>
    <w:rsid w:val="002D03DC"/>
    <w:rsid w:val="002D0935"/>
    <w:rsid w:val="002D2CF8"/>
    <w:rsid w:val="002D2E1E"/>
    <w:rsid w:val="002D3A2A"/>
    <w:rsid w:val="002D4D87"/>
    <w:rsid w:val="002E15CD"/>
    <w:rsid w:val="002E16CF"/>
    <w:rsid w:val="002E1A1D"/>
    <w:rsid w:val="002E1C93"/>
    <w:rsid w:val="002E4081"/>
    <w:rsid w:val="002E56B7"/>
    <w:rsid w:val="002E5B78"/>
    <w:rsid w:val="002E79D5"/>
    <w:rsid w:val="002F091A"/>
    <w:rsid w:val="002F376E"/>
    <w:rsid w:val="002F3AE3"/>
    <w:rsid w:val="002F3D09"/>
    <w:rsid w:val="002F488E"/>
    <w:rsid w:val="002F5E4D"/>
    <w:rsid w:val="002F70A8"/>
    <w:rsid w:val="002F73B3"/>
    <w:rsid w:val="002F7536"/>
    <w:rsid w:val="0030274D"/>
    <w:rsid w:val="0030464B"/>
    <w:rsid w:val="003049C1"/>
    <w:rsid w:val="0030650A"/>
    <w:rsid w:val="00306DD3"/>
    <w:rsid w:val="0030786C"/>
    <w:rsid w:val="003078F4"/>
    <w:rsid w:val="00310ADE"/>
    <w:rsid w:val="00311584"/>
    <w:rsid w:val="00312749"/>
    <w:rsid w:val="00312A58"/>
    <w:rsid w:val="0031502C"/>
    <w:rsid w:val="00315FA6"/>
    <w:rsid w:val="00316B9E"/>
    <w:rsid w:val="0031796C"/>
    <w:rsid w:val="00322FB5"/>
    <w:rsid w:val="003233DE"/>
    <w:rsid w:val="00323814"/>
    <w:rsid w:val="00323F2B"/>
    <w:rsid w:val="0032466B"/>
    <w:rsid w:val="0032774B"/>
    <w:rsid w:val="00327B44"/>
    <w:rsid w:val="00330398"/>
    <w:rsid w:val="003318E9"/>
    <w:rsid w:val="003330EB"/>
    <w:rsid w:val="00333381"/>
    <w:rsid w:val="0033368D"/>
    <w:rsid w:val="003339CE"/>
    <w:rsid w:val="00333CC2"/>
    <w:rsid w:val="00335187"/>
    <w:rsid w:val="00336020"/>
    <w:rsid w:val="003365B7"/>
    <w:rsid w:val="00336605"/>
    <w:rsid w:val="00340696"/>
    <w:rsid w:val="003415FD"/>
    <w:rsid w:val="003429F0"/>
    <w:rsid w:val="00342C18"/>
    <w:rsid w:val="00345914"/>
    <w:rsid w:val="0034602A"/>
    <w:rsid w:val="0034611C"/>
    <w:rsid w:val="00346951"/>
    <w:rsid w:val="00346F9E"/>
    <w:rsid w:val="0035097A"/>
    <w:rsid w:val="00350B76"/>
    <w:rsid w:val="00351B72"/>
    <w:rsid w:val="00353691"/>
    <w:rsid w:val="00353697"/>
    <w:rsid w:val="00353913"/>
    <w:rsid w:val="00353B4E"/>
    <w:rsid w:val="003540A4"/>
    <w:rsid w:val="003540B8"/>
    <w:rsid w:val="00354C82"/>
    <w:rsid w:val="00360083"/>
    <w:rsid w:val="003600F7"/>
    <w:rsid w:val="00360248"/>
    <w:rsid w:val="0036074D"/>
    <w:rsid w:val="00360E4E"/>
    <w:rsid w:val="003620AD"/>
    <w:rsid w:val="00363EA7"/>
    <w:rsid w:val="00364CBB"/>
    <w:rsid w:val="00364E2F"/>
    <w:rsid w:val="003669FE"/>
    <w:rsid w:val="00367A0F"/>
    <w:rsid w:val="00370AAA"/>
    <w:rsid w:val="00374AC3"/>
    <w:rsid w:val="00375518"/>
    <w:rsid w:val="00375F77"/>
    <w:rsid w:val="00376078"/>
    <w:rsid w:val="00376D30"/>
    <w:rsid w:val="00376D57"/>
    <w:rsid w:val="00376F47"/>
    <w:rsid w:val="00377206"/>
    <w:rsid w:val="00377A78"/>
    <w:rsid w:val="00381BBE"/>
    <w:rsid w:val="0038274C"/>
    <w:rsid w:val="00382903"/>
    <w:rsid w:val="0038434D"/>
    <w:rsid w:val="003846FF"/>
    <w:rsid w:val="00384D01"/>
    <w:rsid w:val="00385AD4"/>
    <w:rsid w:val="00386805"/>
    <w:rsid w:val="00386BF7"/>
    <w:rsid w:val="00387483"/>
    <w:rsid w:val="003874D5"/>
    <w:rsid w:val="00387549"/>
    <w:rsid w:val="00387924"/>
    <w:rsid w:val="00390029"/>
    <w:rsid w:val="00390090"/>
    <w:rsid w:val="00391486"/>
    <w:rsid w:val="00391902"/>
    <w:rsid w:val="0039384D"/>
    <w:rsid w:val="00393A35"/>
    <w:rsid w:val="00394820"/>
    <w:rsid w:val="00395C23"/>
    <w:rsid w:val="00396F63"/>
    <w:rsid w:val="003A0288"/>
    <w:rsid w:val="003A13C1"/>
    <w:rsid w:val="003A24C4"/>
    <w:rsid w:val="003A252A"/>
    <w:rsid w:val="003A2E4F"/>
    <w:rsid w:val="003A2FFA"/>
    <w:rsid w:val="003A3D61"/>
    <w:rsid w:val="003A4438"/>
    <w:rsid w:val="003A5013"/>
    <w:rsid w:val="003A5078"/>
    <w:rsid w:val="003A59FB"/>
    <w:rsid w:val="003A5A1F"/>
    <w:rsid w:val="003A62DD"/>
    <w:rsid w:val="003A6716"/>
    <w:rsid w:val="003A7494"/>
    <w:rsid w:val="003A775A"/>
    <w:rsid w:val="003A7C07"/>
    <w:rsid w:val="003A7EB7"/>
    <w:rsid w:val="003B0DAB"/>
    <w:rsid w:val="003B1273"/>
    <w:rsid w:val="003B1342"/>
    <w:rsid w:val="003B213A"/>
    <w:rsid w:val="003B3FC9"/>
    <w:rsid w:val="003B43AD"/>
    <w:rsid w:val="003B4DB4"/>
    <w:rsid w:val="003C0639"/>
    <w:rsid w:val="003C097A"/>
    <w:rsid w:val="003C0DA9"/>
    <w:rsid w:val="003C0FEC"/>
    <w:rsid w:val="003C15B8"/>
    <w:rsid w:val="003C2AC8"/>
    <w:rsid w:val="003C46A6"/>
    <w:rsid w:val="003C47E4"/>
    <w:rsid w:val="003C55F7"/>
    <w:rsid w:val="003D17F9"/>
    <w:rsid w:val="003D1C90"/>
    <w:rsid w:val="003D2D88"/>
    <w:rsid w:val="003D324E"/>
    <w:rsid w:val="003D3529"/>
    <w:rsid w:val="003D41EA"/>
    <w:rsid w:val="003D4850"/>
    <w:rsid w:val="003D4C41"/>
    <w:rsid w:val="003D4FD6"/>
    <w:rsid w:val="003D5277"/>
    <w:rsid w:val="003D535A"/>
    <w:rsid w:val="003D54C5"/>
    <w:rsid w:val="003D5E4C"/>
    <w:rsid w:val="003D5EDA"/>
    <w:rsid w:val="003D6162"/>
    <w:rsid w:val="003D6FBB"/>
    <w:rsid w:val="003D7713"/>
    <w:rsid w:val="003E05EF"/>
    <w:rsid w:val="003E09BF"/>
    <w:rsid w:val="003E2F04"/>
    <w:rsid w:val="003E3EAC"/>
    <w:rsid w:val="003E5265"/>
    <w:rsid w:val="003E6204"/>
    <w:rsid w:val="003E6EAC"/>
    <w:rsid w:val="003E7355"/>
    <w:rsid w:val="003E7DC9"/>
    <w:rsid w:val="003F0326"/>
    <w:rsid w:val="003F0955"/>
    <w:rsid w:val="003F1751"/>
    <w:rsid w:val="003F1D5D"/>
    <w:rsid w:val="003F3E10"/>
    <w:rsid w:val="003F487B"/>
    <w:rsid w:val="003F5826"/>
    <w:rsid w:val="003F62BE"/>
    <w:rsid w:val="003F6A4D"/>
    <w:rsid w:val="003F6FE1"/>
    <w:rsid w:val="00400F00"/>
    <w:rsid w:val="00401538"/>
    <w:rsid w:val="00401AD7"/>
    <w:rsid w:val="00401B96"/>
    <w:rsid w:val="0040421D"/>
    <w:rsid w:val="00404290"/>
    <w:rsid w:val="00404F8B"/>
    <w:rsid w:val="00405256"/>
    <w:rsid w:val="00405846"/>
    <w:rsid w:val="00405D41"/>
    <w:rsid w:val="00406A6F"/>
    <w:rsid w:val="00406DFC"/>
    <w:rsid w:val="004071E2"/>
    <w:rsid w:val="00407BEF"/>
    <w:rsid w:val="00410031"/>
    <w:rsid w:val="004115A2"/>
    <w:rsid w:val="004115F8"/>
    <w:rsid w:val="00411840"/>
    <w:rsid w:val="00411985"/>
    <w:rsid w:val="004131BE"/>
    <w:rsid w:val="00413DAB"/>
    <w:rsid w:val="00413EA1"/>
    <w:rsid w:val="0041499C"/>
    <w:rsid w:val="004157C3"/>
    <w:rsid w:val="00415B66"/>
    <w:rsid w:val="00415C81"/>
    <w:rsid w:val="00416028"/>
    <w:rsid w:val="00416731"/>
    <w:rsid w:val="0042097A"/>
    <w:rsid w:val="00420C6B"/>
    <w:rsid w:val="00421444"/>
    <w:rsid w:val="00422545"/>
    <w:rsid w:val="004240CB"/>
    <w:rsid w:val="00425836"/>
    <w:rsid w:val="004259F4"/>
    <w:rsid w:val="00425E0E"/>
    <w:rsid w:val="0042748E"/>
    <w:rsid w:val="00427822"/>
    <w:rsid w:val="00430605"/>
    <w:rsid w:val="0043090A"/>
    <w:rsid w:val="004316F9"/>
    <w:rsid w:val="00432378"/>
    <w:rsid w:val="00433083"/>
    <w:rsid w:val="00434CA5"/>
    <w:rsid w:val="00435B56"/>
    <w:rsid w:val="00435D72"/>
    <w:rsid w:val="004363BC"/>
    <w:rsid w:val="0043692E"/>
    <w:rsid w:val="00440D65"/>
    <w:rsid w:val="004413FF"/>
    <w:rsid w:val="004435E6"/>
    <w:rsid w:val="00443BA8"/>
    <w:rsid w:val="00443EF6"/>
    <w:rsid w:val="00444D1C"/>
    <w:rsid w:val="00444EC6"/>
    <w:rsid w:val="0044552A"/>
    <w:rsid w:val="00446D87"/>
    <w:rsid w:val="004479A2"/>
    <w:rsid w:val="00447E31"/>
    <w:rsid w:val="00450B89"/>
    <w:rsid w:val="00451927"/>
    <w:rsid w:val="004526C8"/>
    <w:rsid w:val="00452883"/>
    <w:rsid w:val="00452AA9"/>
    <w:rsid w:val="00452B54"/>
    <w:rsid w:val="00453923"/>
    <w:rsid w:val="00454B9B"/>
    <w:rsid w:val="0045526A"/>
    <w:rsid w:val="004570A7"/>
    <w:rsid w:val="00457858"/>
    <w:rsid w:val="00460A09"/>
    <w:rsid w:val="00460B0B"/>
    <w:rsid w:val="00461023"/>
    <w:rsid w:val="00462FAC"/>
    <w:rsid w:val="00463617"/>
    <w:rsid w:val="00464631"/>
    <w:rsid w:val="00464B79"/>
    <w:rsid w:val="004652C3"/>
    <w:rsid w:val="0046559C"/>
    <w:rsid w:val="00465E95"/>
    <w:rsid w:val="00466218"/>
    <w:rsid w:val="004678A0"/>
    <w:rsid w:val="00467BBF"/>
    <w:rsid w:val="004701F4"/>
    <w:rsid w:val="00470AFB"/>
    <w:rsid w:val="0047111D"/>
    <w:rsid w:val="00471ED7"/>
    <w:rsid w:val="004727F9"/>
    <w:rsid w:val="004730D6"/>
    <w:rsid w:val="00473255"/>
    <w:rsid w:val="00475990"/>
    <w:rsid w:val="004766D9"/>
    <w:rsid w:val="00476EA0"/>
    <w:rsid w:val="00480256"/>
    <w:rsid w:val="004802FB"/>
    <w:rsid w:val="00480361"/>
    <w:rsid w:val="00480DE3"/>
    <w:rsid w:val="00481BA4"/>
    <w:rsid w:val="004821A4"/>
    <w:rsid w:val="00482EAF"/>
    <w:rsid w:val="004832B3"/>
    <w:rsid w:val="004834C9"/>
    <w:rsid w:val="004836C8"/>
    <w:rsid w:val="004837C6"/>
    <w:rsid w:val="00484B87"/>
    <w:rsid w:val="00485063"/>
    <w:rsid w:val="00485E9E"/>
    <w:rsid w:val="004867E2"/>
    <w:rsid w:val="004869FC"/>
    <w:rsid w:val="00487045"/>
    <w:rsid w:val="00487439"/>
    <w:rsid w:val="00491180"/>
    <w:rsid w:val="00491B72"/>
    <w:rsid w:val="004929A9"/>
    <w:rsid w:val="0049365D"/>
    <w:rsid w:val="00494B84"/>
    <w:rsid w:val="004955B3"/>
    <w:rsid w:val="00496A4E"/>
    <w:rsid w:val="00496B9A"/>
    <w:rsid w:val="004970A8"/>
    <w:rsid w:val="004978BE"/>
    <w:rsid w:val="004A01AB"/>
    <w:rsid w:val="004A4AA8"/>
    <w:rsid w:val="004A4BC0"/>
    <w:rsid w:val="004A4F11"/>
    <w:rsid w:val="004A524E"/>
    <w:rsid w:val="004B1316"/>
    <w:rsid w:val="004B15C8"/>
    <w:rsid w:val="004B1CBB"/>
    <w:rsid w:val="004B1CC3"/>
    <w:rsid w:val="004B4FBC"/>
    <w:rsid w:val="004B7D3B"/>
    <w:rsid w:val="004C1149"/>
    <w:rsid w:val="004C2FEC"/>
    <w:rsid w:val="004C373C"/>
    <w:rsid w:val="004C4929"/>
    <w:rsid w:val="004C4A9F"/>
    <w:rsid w:val="004C4F29"/>
    <w:rsid w:val="004C507A"/>
    <w:rsid w:val="004C6396"/>
    <w:rsid w:val="004C6BCF"/>
    <w:rsid w:val="004D05CB"/>
    <w:rsid w:val="004D3637"/>
    <w:rsid w:val="004D4027"/>
    <w:rsid w:val="004D5852"/>
    <w:rsid w:val="004D58BF"/>
    <w:rsid w:val="004D5EFE"/>
    <w:rsid w:val="004D69B3"/>
    <w:rsid w:val="004E102A"/>
    <w:rsid w:val="004E29A5"/>
    <w:rsid w:val="004E326C"/>
    <w:rsid w:val="004E3F99"/>
    <w:rsid w:val="004E4335"/>
    <w:rsid w:val="004E4FE5"/>
    <w:rsid w:val="004E58EE"/>
    <w:rsid w:val="004E5ACF"/>
    <w:rsid w:val="004E648B"/>
    <w:rsid w:val="004F016B"/>
    <w:rsid w:val="004F01B6"/>
    <w:rsid w:val="004F061C"/>
    <w:rsid w:val="004F075D"/>
    <w:rsid w:val="004F13EE"/>
    <w:rsid w:val="004F173D"/>
    <w:rsid w:val="004F2022"/>
    <w:rsid w:val="004F2162"/>
    <w:rsid w:val="004F32B9"/>
    <w:rsid w:val="004F39CA"/>
    <w:rsid w:val="004F3F00"/>
    <w:rsid w:val="004F4162"/>
    <w:rsid w:val="004F4178"/>
    <w:rsid w:val="004F6353"/>
    <w:rsid w:val="004F7C05"/>
    <w:rsid w:val="004F7E3C"/>
    <w:rsid w:val="00500CB2"/>
    <w:rsid w:val="0050178F"/>
    <w:rsid w:val="00501C94"/>
    <w:rsid w:val="00501ECB"/>
    <w:rsid w:val="00502EAB"/>
    <w:rsid w:val="00503E83"/>
    <w:rsid w:val="005040CF"/>
    <w:rsid w:val="00504560"/>
    <w:rsid w:val="00504C0C"/>
    <w:rsid w:val="00504F1F"/>
    <w:rsid w:val="00505E8D"/>
    <w:rsid w:val="00506432"/>
    <w:rsid w:val="00507D1D"/>
    <w:rsid w:val="0051242B"/>
    <w:rsid w:val="0051326D"/>
    <w:rsid w:val="005132CD"/>
    <w:rsid w:val="00513486"/>
    <w:rsid w:val="00513BDE"/>
    <w:rsid w:val="00514DB6"/>
    <w:rsid w:val="00514E5F"/>
    <w:rsid w:val="005150E9"/>
    <w:rsid w:val="005154ED"/>
    <w:rsid w:val="00515ACA"/>
    <w:rsid w:val="00515EA9"/>
    <w:rsid w:val="00516AC4"/>
    <w:rsid w:val="0052051D"/>
    <w:rsid w:val="00520640"/>
    <w:rsid w:val="0052077F"/>
    <w:rsid w:val="00522C78"/>
    <w:rsid w:val="00523001"/>
    <w:rsid w:val="005232C3"/>
    <w:rsid w:val="005238DD"/>
    <w:rsid w:val="00525A06"/>
    <w:rsid w:val="00525FCD"/>
    <w:rsid w:val="00526679"/>
    <w:rsid w:val="0052753A"/>
    <w:rsid w:val="00527AAD"/>
    <w:rsid w:val="00531969"/>
    <w:rsid w:val="005332E5"/>
    <w:rsid w:val="005350E9"/>
    <w:rsid w:val="0053548F"/>
    <w:rsid w:val="0053663E"/>
    <w:rsid w:val="00543849"/>
    <w:rsid w:val="0054399E"/>
    <w:rsid w:val="00545EE6"/>
    <w:rsid w:val="005470DE"/>
    <w:rsid w:val="00547452"/>
    <w:rsid w:val="00547BCF"/>
    <w:rsid w:val="0055051B"/>
    <w:rsid w:val="00551559"/>
    <w:rsid w:val="00552F84"/>
    <w:rsid w:val="005530B1"/>
    <w:rsid w:val="005534DB"/>
    <w:rsid w:val="005549A8"/>
    <w:rsid w:val="005550E7"/>
    <w:rsid w:val="005564FB"/>
    <w:rsid w:val="0055652E"/>
    <w:rsid w:val="00556DDB"/>
    <w:rsid w:val="005572C7"/>
    <w:rsid w:val="00557303"/>
    <w:rsid w:val="005615C5"/>
    <w:rsid w:val="005641BA"/>
    <w:rsid w:val="005642BC"/>
    <w:rsid w:val="005650ED"/>
    <w:rsid w:val="00565FE3"/>
    <w:rsid w:val="005663C8"/>
    <w:rsid w:val="005663D4"/>
    <w:rsid w:val="0056704B"/>
    <w:rsid w:val="00571C53"/>
    <w:rsid w:val="00574AC5"/>
    <w:rsid w:val="00575754"/>
    <w:rsid w:val="005758E4"/>
    <w:rsid w:val="005776B3"/>
    <w:rsid w:val="00580147"/>
    <w:rsid w:val="00580231"/>
    <w:rsid w:val="00581314"/>
    <w:rsid w:val="0058155B"/>
    <w:rsid w:val="00581E8A"/>
    <w:rsid w:val="005827DE"/>
    <w:rsid w:val="00584731"/>
    <w:rsid w:val="00584CBF"/>
    <w:rsid w:val="00586B73"/>
    <w:rsid w:val="0058715C"/>
    <w:rsid w:val="00587250"/>
    <w:rsid w:val="0058793E"/>
    <w:rsid w:val="00590A41"/>
    <w:rsid w:val="00590DBA"/>
    <w:rsid w:val="005918FD"/>
    <w:rsid w:val="00591E20"/>
    <w:rsid w:val="005934B2"/>
    <w:rsid w:val="005935D0"/>
    <w:rsid w:val="00593678"/>
    <w:rsid w:val="00593D91"/>
    <w:rsid w:val="00595408"/>
    <w:rsid w:val="00595445"/>
    <w:rsid w:val="00595554"/>
    <w:rsid w:val="00595E84"/>
    <w:rsid w:val="00597564"/>
    <w:rsid w:val="00597A4B"/>
    <w:rsid w:val="00597D79"/>
    <w:rsid w:val="005A0652"/>
    <w:rsid w:val="005A0C59"/>
    <w:rsid w:val="005A0DA6"/>
    <w:rsid w:val="005A3F99"/>
    <w:rsid w:val="005A48EB"/>
    <w:rsid w:val="005A5C4D"/>
    <w:rsid w:val="005A67FF"/>
    <w:rsid w:val="005A6CFB"/>
    <w:rsid w:val="005A7625"/>
    <w:rsid w:val="005A7BC3"/>
    <w:rsid w:val="005B0E1E"/>
    <w:rsid w:val="005B1C60"/>
    <w:rsid w:val="005B20B3"/>
    <w:rsid w:val="005B2BA5"/>
    <w:rsid w:val="005B3A9C"/>
    <w:rsid w:val="005B7140"/>
    <w:rsid w:val="005C14AB"/>
    <w:rsid w:val="005C1D55"/>
    <w:rsid w:val="005C2302"/>
    <w:rsid w:val="005C3682"/>
    <w:rsid w:val="005C5AEB"/>
    <w:rsid w:val="005C6782"/>
    <w:rsid w:val="005C7E2A"/>
    <w:rsid w:val="005D0A56"/>
    <w:rsid w:val="005D21B3"/>
    <w:rsid w:val="005D21CD"/>
    <w:rsid w:val="005D2E5C"/>
    <w:rsid w:val="005D4512"/>
    <w:rsid w:val="005D4A3F"/>
    <w:rsid w:val="005D7FFB"/>
    <w:rsid w:val="005E031C"/>
    <w:rsid w:val="005E04C9"/>
    <w:rsid w:val="005E0534"/>
    <w:rsid w:val="005E0A3F"/>
    <w:rsid w:val="005E0CBE"/>
    <w:rsid w:val="005E0E40"/>
    <w:rsid w:val="005E1762"/>
    <w:rsid w:val="005E57C5"/>
    <w:rsid w:val="005E59D5"/>
    <w:rsid w:val="005E6883"/>
    <w:rsid w:val="005E6901"/>
    <w:rsid w:val="005E6F3A"/>
    <w:rsid w:val="005E72C2"/>
    <w:rsid w:val="005E772F"/>
    <w:rsid w:val="005F099C"/>
    <w:rsid w:val="005F2C3A"/>
    <w:rsid w:val="005F36EB"/>
    <w:rsid w:val="005F4474"/>
    <w:rsid w:val="005F4ECA"/>
    <w:rsid w:val="005F61A9"/>
    <w:rsid w:val="00600076"/>
    <w:rsid w:val="0060145E"/>
    <w:rsid w:val="00602E3C"/>
    <w:rsid w:val="00602F52"/>
    <w:rsid w:val="00603E85"/>
    <w:rsid w:val="006041BE"/>
    <w:rsid w:val="0060431C"/>
    <w:rsid w:val="006043C7"/>
    <w:rsid w:val="00605BDF"/>
    <w:rsid w:val="00606964"/>
    <w:rsid w:val="00606D0F"/>
    <w:rsid w:val="00607147"/>
    <w:rsid w:val="006074CA"/>
    <w:rsid w:val="0060757D"/>
    <w:rsid w:val="00610B8A"/>
    <w:rsid w:val="006138AC"/>
    <w:rsid w:val="006156C1"/>
    <w:rsid w:val="006166CD"/>
    <w:rsid w:val="00616DD1"/>
    <w:rsid w:val="0061711E"/>
    <w:rsid w:val="006171D9"/>
    <w:rsid w:val="00621536"/>
    <w:rsid w:val="00622A2C"/>
    <w:rsid w:val="00622DB4"/>
    <w:rsid w:val="00624430"/>
    <w:rsid w:val="00624438"/>
    <w:rsid w:val="006249DC"/>
    <w:rsid w:val="00624B52"/>
    <w:rsid w:val="00626D09"/>
    <w:rsid w:val="00627105"/>
    <w:rsid w:val="006271D8"/>
    <w:rsid w:val="00627385"/>
    <w:rsid w:val="006278C7"/>
    <w:rsid w:val="006303E1"/>
    <w:rsid w:val="00631DF4"/>
    <w:rsid w:val="00631E54"/>
    <w:rsid w:val="00631FD2"/>
    <w:rsid w:val="00632482"/>
    <w:rsid w:val="00634175"/>
    <w:rsid w:val="00634869"/>
    <w:rsid w:val="00634F4B"/>
    <w:rsid w:val="0063744B"/>
    <w:rsid w:val="006408AC"/>
    <w:rsid w:val="00640FDD"/>
    <w:rsid w:val="0064240A"/>
    <w:rsid w:val="0064470C"/>
    <w:rsid w:val="006465BC"/>
    <w:rsid w:val="00646CE0"/>
    <w:rsid w:val="006476B1"/>
    <w:rsid w:val="00647F3A"/>
    <w:rsid w:val="006511B6"/>
    <w:rsid w:val="00651A61"/>
    <w:rsid w:val="006525D5"/>
    <w:rsid w:val="00652742"/>
    <w:rsid w:val="00653224"/>
    <w:rsid w:val="0065422B"/>
    <w:rsid w:val="006550F0"/>
    <w:rsid w:val="006570B2"/>
    <w:rsid w:val="00657CEA"/>
    <w:rsid w:val="00657FF8"/>
    <w:rsid w:val="00660B25"/>
    <w:rsid w:val="00662460"/>
    <w:rsid w:val="00662A66"/>
    <w:rsid w:val="00664C63"/>
    <w:rsid w:val="006652A7"/>
    <w:rsid w:val="006652C6"/>
    <w:rsid w:val="0066531E"/>
    <w:rsid w:val="00665F2C"/>
    <w:rsid w:val="0066714F"/>
    <w:rsid w:val="0066768B"/>
    <w:rsid w:val="00667B91"/>
    <w:rsid w:val="00670785"/>
    <w:rsid w:val="00670D99"/>
    <w:rsid w:val="00670E2B"/>
    <w:rsid w:val="00670E9F"/>
    <w:rsid w:val="00672743"/>
    <w:rsid w:val="006734BB"/>
    <w:rsid w:val="00674F90"/>
    <w:rsid w:val="006750FB"/>
    <w:rsid w:val="00675727"/>
    <w:rsid w:val="006761DB"/>
    <w:rsid w:val="0067679A"/>
    <w:rsid w:val="00676F4D"/>
    <w:rsid w:val="006770DC"/>
    <w:rsid w:val="00677F79"/>
    <w:rsid w:val="00680031"/>
    <w:rsid w:val="00680311"/>
    <w:rsid w:val="00680CC5"/>
    <w:rsid w:val="00681A34"/>
    <w:rsid w:val="00681DFB"/>
    <w:rsid w:val="006821EB"/>
    <w:rsid w:val="006823D1"/>
    <w:rsid w:val="00682CC9"/>
    <w:rsid w:val="00682E41"/>
    <w:rsid w:val="00683BA0"/>
    <w:rsid w:val="00684325"/>
    <w:rsid w:val="00685A79"/>
    <w:rsid w:val="00686B83"/>
    <w:rsid w:val="00686F11"/>
    <w:rsid w:val="006877F4"/>
    <w:rsid w:val="00691F3D"/>
    <w:rsid w:val="00694C01"/>
    <w:rsid w:val="00694D22"/>
    <w:rsid w:val="00696712"/>
    <w:rsid w:val="00696982"/>
    <w:rsid w:val="00696EAB"/>
    <w:rsid w:val="00697260"/>
    <w:rsid w:val="00697C3A"/>
    <w:rsid w:val="006A0337"/>
    <w:rsid w:val="006A2781"/>
    <w:rsid w:val="006A53A9"/>
    <w:rsid w:val="006A6CD5"/>
    <w:rsid w:val="006A74CA"/>
    <w:rsid w:val="006A7C04"/>
    <w:rsid w:val="006A7F00"/>
    <w:rsid w:val="006B025E"/>
    <w:rsid w:val="006B04F9"/>
    <w:rsid w:val="006B0930"/>
    <w:rsid w:val="006B0A4A"/>
    <w:rsid w:val="006B2286"/>
    <w:rsid w:val="006B417A"/>
    <w:rsid w:val="006B45D6"/>
    <w:rsid w:val="006B56BB"/>
    <w:rsid w:val="006B5800"/>
    <w:rsid w:val="006B5A34"/>
    <w:rsid w:val="006B6462"/>
    <w:rsid w:val="006B6836"/>
    <w:rsid w:val="006B7290"/>
    <w:rsid w:val="006C03FA"/>
    <w:rsid w:val="006C082B"/>
    <w:rsid w:val="006C0B6E"/>
    <w:rsid w:val="006C16CA"/>
    <w:rsid w:val="006C1828"/>
    <w:rsid w:val="006C4B99"/>
    <w:rsid w:val="006C4E9C"/>
    <w:rsid w:val="006C53A2"/>
    <w:rsid w:val="006C5BF6"/>
    <w:rsid w:val="006C6BFA"/>
    <w:rsid w:val="006C71AC"/>
    <w:rsid w:val="006C77A8"/>
    <w:rsid w:val="006C79E8"/>
    <w:rsid w:val="006D1380"/>
    <w:rsid w:val="006D146A"/>
    <w:rsid w:val="006D29CC"/>
    <w:rsid w:val="006D3C3C"/>
    <w:rsid w:val="006D3E42"/>
    <w:rsid w:val="006D4098"/>
    <w:rsid w:val="006D48FC"/>
    <w:rsid w:val="006D4F87"/>
    <w:rsid w:val="006D55B7"/>
    <w:rsid w:val="006D5D7C"/>
    <w:rsid w:val="006D7681"/>
    <w:rsid w:val="006D7B2E"/>
    <w:rsid w:val="006D7CEE"/>
    <w:rsid w:val="006D7D7B"/>
    <w:rsid w:val="006E02EA"/>
    <w:rsid w:val="006E0968"/>
    <w:rsid w:val="006E2AF6"/>
    <w:rsid w:val="006E3823"/>
    <w:rsid w:val="006E3FED"/>
    <w:rsid w:val="006E4475"/>
    <w:rsid w:val="006E4FE6"/>
    <w:rsid w:val="006E591D"/>
    <w:rsid w:val="006E6603"/>
    <w:rsid w:val="006E6DD4"/>
    <w:rsid w:val="006E715F"/>
    <w:rsid w:val="006F07BB"/>
    <w:rsid w:val="006F18FD"/>
    <w:rsid w:val="006F2453"/>
    <w:rsid w:val="006F2701"/>
    <w:rsid w:val="006F4AA2"/>
    <w:rsid w:val="006F6060"/>
    <w:rsid w:val="00700341"/>
    <w:rsid w:val="00700DAC"/>
    <w:rsid w:val="00701159"/>
    <w:rsid w:val="00701275"/>
    <w:rsid w:val="00702645"/>
    <w:rsid w:val="007026CF"/>
    <w:rsid w:val="00704132"/>
    <w:rsid w:val="0070581B"/>
    <w:rsid w:val="00705DE7"/>
    <w:rsid w:val="00707F56"/>
    <w:rsid w:val="007101BE"/>
    <w:rsid w:val="007107EE"/>
    <w:rsid w:val="007129E8"/>
    <w:rsid w:val="00713558"/>
    <w:rsid w:val="007139AD"/>
    <w:rsid w:val="0071403C"/>
    <w:rsid w:val="00714695"/>
    <w:rsid w:val="007150DA"/>
    <w:rsid w:val="00715204"/>
    <w:rsid w:val="00715244"/>
    <w:rsid w:val="007153B0"/>
    <w:rsid w:val="00715424"/>
    <w:rsid w:val="00715B3D"/>
    <w:rsid w:val="00716E6D"/>
    <w:rsid w:val="00716F08"/>
    <w:rsid w:val="007170A0"/>
    <w:rsid w:val="00717596"/>
    <w:rsid w:val="0071796F"/>
    <w:rsid w:val="00717BA0"/>
    <w:rsid w:val="00717F23"/>
    <w:rsid w:val="00720B90"/>
    <w:rsid w:val="00720D08"/>
    <w:rsid w:val="0072131E"/>
    <w:rsid w:val="00722C95"/>
    <w:rsid w:val="007240A0"/>
    <w:rsid w:val="00724841"/>
    <w:rsid w:val="0072573A"/>
    <w:rsid w:val="00725F36"/>
    <w:rsid w:val="007263B9"/>
    <w:rsid w:val="0072654E"/>
    <w:rsid w:val="00726E7A"/>
    <w:rsid w:val="0072777B"/>
    <w:rsid w:val="00727987"/>
    <w:rsid w:val="00730CBA"/>
    <w:rsid w:val="00731003"/>
    <w:rsid w:val="00731ADF"/>
    <w:rsid w:val="007334F8"/>
    <w:rsid w:val="00733705"/>
    <w:rsid w:val="007339CD"/>
    <w:rsid w:val="00733AA5"/>
    <w:rsid w:val="00733BB9"/>
    <w:rsid w:val="00734119"/>
    <w:rsid w:val="007359D8"/>
    <w:rsid w:val="00736076"/>
    <w:rsid w:val="007362D4"/>
    <w:rsid w:val="0073729C"/>
    <w:rsid w:val="00737CD7"/>
    <w:rsid w:val="00740990"/>
    <w:rsid w:val="00742E0D"/>
    <w:rsid w:val="00743F56"/>
    <w:rsid w:val="00743FF0"/>
    <w:rsid w:val="00744D88"/>
    <w:rsid w:val="00745287"/>
    <w:rsid w:val="007453D7"/>
    <w:rsid w:val="007468C5"/>
    <w:rsid w:val="00746C71"/>
    <w:rsid w:val="00747793"/>
    <w:rsid w:val="0074780C"/>
    <w:rsid w:val="00751391"/>
    <w:rsid w:val="00751455"/>
    <w:rsid w:val="00751A23"/>
    <w:rsid w:val="00753D24"/>
    <w:rsid w:val="00754008"/>
    <w:rsid w:val="007565BD"/>
    <w:rsid w:val="007566F4"/>
    <w:rsid w:val="007570C0"/>
    <w:rsid w:val="007579CA"/>
    <w:rsid w:val="007601E2"/>
    <w:rsid w:val="007609BE"/>
    <w:rsid w:val="007632AA"/>
    <w:rsid w:val="007640CC"/>
    <w:rsid w:val="00764151"/>
    <w:rsid w:val="00764EBB"/>
    <w:rsid w:val="00764F67"/>
    <w:rsid w:val="00765633"/>
    <w:rsid w:val="00766307"/>
    <w:rsid w:val="007665B0"/>
    <w:rsid w:val="0076672A"/>
    <w:rsid w:val="00766782"/>
    <w:rsid w:val="007667F7"/>
    <w:rsid w:val="007669C1"/>
    <w:rsid w:val="00767196"/>
    <w:rsid w:val="00770358"/>
    <w:rsid w:val="00770574"/>
    <w:rsid w:val="00770674"/>
    <w:rsid w:val="00770DCD"/>
    <w:rsid w:val="00771D6B"/>
    <w:rsid w:val="0077220C"/>
    <w:rsid w:val="00775678"/>
    <w:rsid w:val="00775E45"/>
    <w:rsid w:val="00775EF7"/>
    <w:rsid w:val="00776E74"/>
    <w:rsid w:val="007771A8"/>
    <w:rsid w:val="00780A9B"/>
    <w:rsid w:val="007815A8"/>
    <w:rsid w:val="00781E01"/>
    <w:rsid w:val="00782DC8"/>
    <w:rsid w:val="007835D9"/>
    <w:rsid w:val="00784A39"/>
    <w:rsid w:val="00784AA1"/>
    <w:rsid w:val="00785169"/>
    <w:rsid w:val="0078516A"/>
    <w:rsid w:val="00785211"/>
    <w:rsid w:val="00785A5F"/>
    <w:rsid w:val="00786B15"/>
    <w:rsid w:val="00790158"/>
    <w:rsid w:val="0079079F"/>
    <w:rsid w:val="00791C66"/>
    <w:rsid w:val="007930EE"/>
    <w:rsid w:val="007940EF"/>
    <w:rsid w:val="007954AB"/>
    <w:rsid w:val="00796BE5"/>
    <w:rsid w:val="007977DD"/>
    <w:rsid w:val="007A14C5"/>
    <w:rsid w:val="007A152A"/>
    <w:rsid w:val="007A2C09"/>
    <w:rsid w:val="007A36DF"/>
    <w:rsid w:val="007A3DAE"/>
    <w:rsid w:val="007A3E38"/>
    <w:rsid w:val="007A4661"/>
    <w:rsid w:val="007A47EB"/>
    <w:rsid w:val="007A4A10"/>
    <w:rsid w:val="007A4EC7"/>
    <w:rsid w:val="007A5E4C"/>
    <w:rsid w:val="007A633E"/>
    <w:rsid w:val="007A6C7A"/>
    <w:rsid w:val="007A6D83"/>
    <w:rsid w:val="007A7335"/>
    <w:rsid w:val="007A7952"/>
    <w:rsid w:val="007B1658"/>
    <w:rsid w:val="007B1760"/>
    <w:rsid w:val="007B3D03"/>
    <w:rsid w:val="007B3F72"/>
    <w:rsid w:val="007B4000"/>
    <w:rsid w:val="007B602A"/>
    <w:rsid w:val="007B6993"/>
    <w:rsid w:val="007C0391"/>
    <w:rsid w:val="007C06CE"/>
    <w:rsid w:val="007C0A57"/>
    <w:rsid w:val="007C1B2E"/>
    <w:rsid w:val="007C2614"/>
    <w:rsid w:val="007C31C3"/>
    <w:rsid w:val="007C34F1"/>
    <w:rsid w:val="007C35E0"/>
    <w:rsid w:val="007C378C"/>
    <w:rsid w:val="007C466B"/>
    <w:rsid w:val="007C4F17"/>
    <w:rsid w:val="007C511A"/>
    <w:rsid w:val="007C54DE"/>
    <w:rsid w:val="007C6D9C"/>
    <w:rsid w:val="007C7627"/>
    <w:rsid w:val="007C7820"/>
    <w:rsid w:val="007C7DDB"/>
    <w:rsid w:val="007D03B9"/>
    <w:rsid w:val="007D05AA"/>
    <w:rsid w:val="007D06D4"/>
    <w:rsid w:val="007D0C93"/>
    <w:rsid w:val="007D2CC7"/>
    <w:rsid w:val="007D4B06"/>
    <w:rsid w:val="007D4E1D"/>
    <w:rsid w:val="007D5506"/>
    <w:rsid w:val="007D6409"/>
    <w:rsid w:val="007D673D"/>
    <w:rsid w:val="007E3844"/>
    <w:rsid w:val="007E5156"/>
    <w:rsid w:val="007E6FCD"/>
    <w:rsid w:val="007F0A05"/>
    <w:rsid w:val="007F1A5C"/>
    <w:rsid w:val="007F2137"/>
    <w:rsid w:val="007F2220"/>
    <w:rsid w:val="007F28E6"/>
    <w:rsid w:val="007F2C34"/>
    <w:rsid w:val="007F2D1F"/>
    <w:rsid w:val="007F3D56"/>
    <w:rsid w:val="007F4993"/>
    <w:rsid w:val="007F4AFB"/>
    <w:rsid w:val="007F4B3E"/>
    <w:rsid w:val="007F4F90"/>
    <w:rsid w:val="007F588A"/>
    <w:rsid w:val="007F5D70"/>
    <w:rsid w:val="0080057D"/>
    <w:rsid w:val="00800A17"/>
    <w:rsid w:val="00801DB7"/>
    <w:rsid w:val="00802F84"/>
    <w:rsid w:val="008035A9"/>
    <w:rsid w:val="008045FF"/>
    <w:rsid w:val="0080692D"/>
    <w:rsid w:val="00806AFA"/>
    <w:rsid w:val="00807163"/>
    <w:rsid w:val="00807DA1"/>
    <w:rsid w:val="008127AF"/>
    <w:rsid w:val="00812B46"/>
    <w:rsid w:val="00812CDF"/>
    <w:rsid w:val="00813AAB"/>
    <w:rsid w:val="008152A9"/>
    <w:rsid w:val="008153BF"/>
    <w:rsid w:val="00815700"/>
    <w:rsid w:val="00815A28"/>
    <w:rsid w:val="0081798E"/>
    <w:rsid w:val="00817B70"/>
    <w:rsid w:val="008205AE"/>
    <w:rsid w:val="00820924"/>
    <w:rsid w:val="00822892"/>
    <w:rsid w:val="00822E35"/>
    <w:rsid w:val="00823E70"/>
    <w:rsid w:val="008244FF"/>
    <w:rsid w:val="0082603D"/>
    <w:rsid w:val="008264EB"/>
    <w:rsid w:val="00826849"/>
    <w:rsid w:val="00826B8F"/>
    <w:rsid w:val="00827231"/>
    <w:rsid w:val="008310E8"/>
    <w:rsid w:val="00831E8A"/>
    <w:rsid w:val="00831F6F"/>
    <w:rsid w:val="008322AD"/>
    <w:rsid w:val="008327B7"/>
    <w:rsid w:val="00832FEB"/>
    <w:rsid w:val="00834690"/>
    <w:rsid w:val="00834773"/>
    <w:rsid w:val="00835650"/>
    <w:rsid w:val="0083588F"/>
    <w:rsid w:val="00835BD5"/>
    <w:rsid w:val="00835C76"/>
    <w:rsid w:val="00836F28"/>
    <w:rsid w:val="00837970"/>
    <w:rsid w:val="00841070"/>
    <w:rsid w:val="00843049"/>
    <w:rsid w:val="00845A18"/>
    <w:rsid w:val="00845BC8"/>
    <w:rsid w:val="00847A58"/>
    <w:rsid w:val="00850D93"/>
    <w:rsid w:val="00851344"/>
    <w:rsid w:val="008516E0"/>
    <w:rsid w:val="008517BC"/>
    <w:rsid w:val="00851B7C"/>
    <w:rsid w:val="0085209B"/>
    <w:rsid w:val="00854BEF"/>
    <w:rsid w:val="008566F4"/>
    <w:rsid w:val="00856A26"/>
    <w:rsid w:val="00856B66"/>
    <w:rsid w:val="00857013"/>
    <w:rsid w:val="0085714C"/>
    <w:rsid w:val="00861A5F"/>
    <w:rsid w:val="00862050"/>
    <w:rsid w:val="00862779"/>
    <w:rsid w:val="00863D14"/>
    <w:rsid w:val="008644AD"/>
    <w:rsid w:val="0086560F"/>
    <w:rsid w:val="00865735"/>
    <w:rsid w:val="00865DDB"/>
    <w:rsid w:val="0086606B"/>
    <w:rsid w:val="00867538"/>
    <w:rsid w:val="00867A6D"/>
    <w:rsid w:val="0087013D"/>
    <w:rsid w:val="00870A1E"/>
    <w:rsid w:val="00873D90"/>
    <w:rsid w:val="00873FC8"/>
    <w:rsid w:val="00874200"/>
    <w:rsid w:val="0087782F"/>
    <w:rsid w:val="0087793A"/>
    <w:rsid w:val="008803DE"/>
    <w:rsid w:val="00881505"/>
    <w:rsid w:val="00882E0C"/>
    <w:rsid w:val="00883BC0"/>
    <w:rsid w:val="0088469C"/>
    <w:rsid w:val="00884C63"/>
    <w:rsid w:val="00884E73"/>
    <w:rsid w:val="00885908"/>
    <w:rsid w:val="00885948"/>
    <w:rsid w:val="008864B7"/>
    <w:rsid w:val="008864BA"/>
    <w:rsid w:val="00887333"/>
    <w:rsid w:val="00890ECE"/>
    <w:rsid w:val="00891CDD"/>
    <w:rsid w:val="00892156"/>
    <w:rsid w:val="008927B3"/>
    <w:rsid w:val="00893047"/>
    <w:rsid w:val="00894445"/>
    <w:rsid w:val="00894492"/>
    <w:rsid w:val="0089530C"/>
    <w:rsid w:val="0089677E"/>
    <w:rsid w:val="00896E8C"/>
    <w:rsid w:val="008972AE"/>
    <w:rsid w:val="008A01ED"/>
    <w:rsid w:val="008A0BCC"/>
    <w:rsid w:val="008A3CB3"/>
    <w:rsid w:val="008A410E"/>
    <w:rsid w:val="008A5B0F"/>
    <w:rsid w:val="008A66F8"/>
    <w:rsid w:val="008A70E9"/>
    <w:rsid w:val="008A7438"/>
    <w:rsid w:val="008A7B35"/>
    <w:rsid w:val="008B0F40"/>
    <w:rsid w:val="008B1334"/>
    <w:rsid w:val="008B32AB"/>
    <w:rsid w:val="008B3B54"/>
    <w:rsid w:val="008B4737"/>
    <w:rsid w:val="008B5433"/>
    <w:rsid w:val="008B5642"/>
    <w:rsid w:val="008B6798"/>
    <w:rsid w:val="008C0278"/>
    <w:rsid w:val="008C0417"/>
    <w:rsid w:val="008C09E6"/>
    <w:rsid w:val="008C24E9"/>
    <w:rsid w:val="008C2675"/>
    <w:rsid w:val="008C451A"/>
    <w:rsid w:val="008C4CB8"/>
    <w:rsid w:val="008C5716"/>
    <w:rsid w:val="008C57AB"/>
    <w:rsid w:val="008C6918"/>
    <w:rsid w:val="008C764A"/>
    <w:rsid w:val="008C79EE"/>
    <w:rsid w:val="008D0132"/>
    <w:rsid w:val="008D0533"/>
    <w:rsid w:val="008D19F5"/>
    <w:rsid w:val="008D344D"/>
    <w:rsid w:val="008D42CB"/>
    <w:rsid w:val="008D458E"/>
    <w:rsid w:val="008D48C9"/>
    <w:rsid w:val="008D5B79"/>
    <w:rsid w:val="008D602C"/>
    <w:rsid w:val="008D6381"/>
    <w:rsid w:val="008E0C77"/>
    <w:rsid w:val="008E1C31"/>
    <w:rsid w:val="008E5B1B"/>
    <w:rsid w:val="008E5CEB"/>
    <w:rsid w:val="008E625F"/>
    <w:rsid w:val="008E62E5"/>
    <w:rsid w:val="008E6354"/>
    <w:rsid w:val="008E7136"/>
    <w:rsid w:val="008E73DF"/>
    <w:rsid w:val="008E7962"/>
    <w:rsid w:val="008F1E45"/>
    <w:rsid w:val="008F264D"/>
    <w:rsid w:val="008F32BE"/>
    <w:rsid w:val="008F3D4B"/>
    <w:rsid w:val="008F4222"/>
    <w:rsid w:val="008F4B10"/>
    <w:rsid w:val="008F711B"/>
    <w:rsid w:val="008F7A5F"/>
    <w:rsid w:val="008F7AE8"/>
    <w:rsid w:val="008F7EAB"/>
    <w:rsid w:val="009034F3"/>
    <w:rsid w:val="0090488B"/>
    <w:rsid w:val="00904E87"/>
    <w:rsid w:val="0090546A"/>
    <w:rsid w:val="009056CB"/>
    <w:rsid w:val="00905BD8"/>
    <w:rsid w:val="00905CB0"/>
    <w:rsid w:val="00905F2E"/>
    <w:rsid w:val="009074E1"/>
    <w:rsid w:val="0091101D"/>
    <w:rsid w:val="009112F7"/>
    <w:rsid w:val="00911836"/>
    <w:rsid w:val="009122AF"/>
    <w:rsid w:val="009127BC"/>
    <w:rsid w:val="00912D54"/>
    <w:rsid w:val="0091389F"/>
    <w:rsid w:val="00914C05"/>
    <w:rsid w:val="00914E75"/>
    <w:rsid w:val="0091695C"/>
    <w:rsid w:val="009208F7"/>
    <w:rsid w:val="009210D4"/>
    <w:rsid w:val="00921477"/>
    <w:rsid w:val="0092167F"/>
    <w:rsid w:val="00922517"/>
    <w:rsid w:val="00922722"/>
    <w:rsid w:val="00922731"/>
    <w:rsid w:val="009229FA"/>
    <w:rsid w:val="00922CAF"/>
    <w:rsid w:val="00922CE5"/>
    <w:rsid w:val="0092362F"/>
    <w:rsid w:val="00924CC0"/>
    <w:rsid w:val="0092573B"/>
    <w:rsid w:val="00925F33"/>
    <w:rsid w:val="009261E6"/>
    <w:rsid w:val="009268E1"/>
    <w:rsid w:val="009271B7"/>
    <w:rsid w:val="00927449"/>
    <w:rsid w:val="009300FB"/>
    <w:rsid w:val="00930715"/>
    <w:rsid w:val="00930917"/>
    <w:rsid w:val="00930D3F"/>
    <w:rsid w:val="00931F63"/>
    <w:rsid w:val="00934368"/>
    <w:rsid w:val="009355B0"/>
    <w:rsid w:val="0093597F"/>
    <w:rsid w:val="00937DDF"/>
    <w:rsid w:val="00940325"/>
    <w:rsid w:val="00940F91"/>
    <w:rsid w:val="00941343"/>
    <w:rsid w:val="009428A9"/>
    <w:rsid w:val="00943488"/>
    <w:rsid w:val="009434CC"/>
    <w:rsid w:val="00943646"/>
    <w:rsid w:val="00943FF0"/>
    <w:rsid w:val="00944F54"/>
    <w:rsid w:val="00945358"/>
    <w:rsid w:val="00945885"/>
    <w:rsid w:val="00945C24"/>
    <w:rsid w:val="00945E7F"/>
    <w:rsid w:val="0094714B"/>
    <w:rsid w:val="00951348"/>
    <w:rsid w:val="009522A5"/>
    <w:rsid w:val="00952A86"/>
    <w:rsid w:val="00952F4F"/>
    <w:rsid w:val="009536D8"/>
    <w:rsid w:val="009538D0"/>
    <w:rsid w:val="009543B1"/>
    <w:rsid w:val="009557C1"/>
    <w:rsid w:val="00955ADA"/>
    <w:rsid w:val="00956DA3"/>
    <w:rsid w:val="00957834"/>
    <w:rsid w:val="00960D6E"/>
    <w:rsid w:val="00960D7B"/>
    <w:rsid w:val="00964898"/>
    <w:rsid w:val="0096523C"/>
    <w:rsid w:val="0096561E"/>
    <w:rsid w:val="009677F2"/>
    <w:rsid w:val="0097130A"/>
    <w:rsid w:val="00971906"/>
    <w:rsid w:val="00971F5E"/>
    <w:rsid w:val="0097224F"/>
    <w:rsid w:val="00972799"/>
    <w:rsid w:val="00972A18"/>
    <w:rsid w:val="00972BC1"/>
    <w:rsid w:val="00972FE0"/>
    <w:rsid w:val="00973CBE"/>
    <w:rsid w:val="00974B59"/>
    <w:rsid w:val="00974C8F"/>
    <w:rsid w:val="00976DFD"/>
    <w:rsid w:val="00980588"/>
    <w:rsid w:val="009812EB"/>
    <w:rsid w:val="00982145"/>
    <w:rsid w:val="0098340B"/>
    <w:rsid w:val="00986830"/>
    <w:rsid w:val="009874B8"/>
    <w:rsid w:val="009912F0"/>
    <w:rsid w:val="0099181F"/>
    <w:rsid w:val="009921F6"/>
    <w:rsid w:val="009924C3"/>
    <w:rsid w:val="00992612"/>
    <w:rsid w:val="00993102"/>
    <w:rsid w:val="00993A4A"/>
    <w:rsid w:val="009947EA"/>
    <w:rsid w:val="0099593A"/>
    <w:rsid w:val="009959BA"/>
    <w:rsid w:val="00995C85"/>
    <w:rsid w:val="0099660A"/>
    <w:rsid w:val="009969C2"/>
    <w:rsid w:val="00996D06"/>
    <w:rsid w:val="009976A3"/>
    <w:rsid w:val="009A2662"/>
    <w:rsid w:val="009A279B"/>
    <w:rsid w:val="009A3380"/>
    <w:rsid w:val="009A33B7"/>
    <w:rsid w:val="009A3C1C"/>
    <w:rsid w:val="009A3E5E"/>
    <w:rsid w:val="009A3FE7"/>
    <w:rsid w:val="009A591B"/>
    <w:rsid w:val="009A7325"/>
    <w:rsid w:val="009A73B7"/>
    <w:rsid w:val="009B0FA8"/>
    <w:rsid w:val="009B1347"/>
    <w:rsid w:val="009B45AB"/>
    <w:rsid w:val="009B5601"/>
    <w:rsid w:val="009B7E09"/>
    <w:rsid w:val="009C0EFD"/>
    <w:rsid w:val="009C1AC7"/>
    <w:rsid w:val="009C2485"/>
    <w:rsid w:val="009C38C9"/>
    <w:rsid w:val="009C4A29"/>
    <w:rsid w:val="009C4A39"/>
    <w:rsid w:val="009C57A1"/>
    <w:rsid w:val="009C6B8B"/>
    <w:rsid w:val="009C6F10"/>
    <w:rsid w:val="009C7915"/>
    <w:rsid w:val="009D0FD0"/>
    <w:rsid w:val="009D148F"/>
    <w:rsid w:val="009D1726"/>
    <w:rsid w:val="009D2AAF"/>
    <w:rsid w:val="009D2DB8"/>
    <w:rsid w:val="009D3D70"/>
    <w:rsid w:val="009E0943"/>
    <w:rsid w:val="009E312E"/>
    <w:rsid w:val="009E3553"/>
    <w:rsid w:val="009E4365"/>
    <w:rsid w:val="009E4BC3"/>
    <w:rsid w:val="009E6D5D"/>
    <w:rsid w:val="009E6F7E"/>
    <w:rsid w:val="009E722B"/>
    <w:rsid w:val="009E7303"/>
    <w:rsid w:val="009E7A57"/>
    <w:rsid w:val="009E7B83"/>
    <w:rsid w:val="009F0494"/>
    <w:rsid w:val="009F0EC8"/>
    <w:rsid w:val="009F25C5"/>
    <w:rsid w:val="009F3017"/>
    <w:rsid w:val="009F34C3"/>
    <w:rsid w:val="009F4F6A"/>
    <w:rsid w:val="009F634F"/>
    <w:rsid w:val="009F682B"/>
    <w:rsid w:val="00A006E0"/>
    <w:rsid w:val="00A00E31"/>
    <w:rsid w:val="00A017CD"/>
    <w:rsid w:val="00A01EC7"/>
    <w:rsid w:val="00A04084"/>
    <w:rsid w:val="00A05907"/>
    <w:rsid w:val="00A06A38"/>
    <w:rsid w:val="00A06E02"/>
    <w:rsid w:val="00A10D4D"/>
    <w:rsid w:val="00A12968"/>
    <w:rsid w:val="00A13C07"/>
    <w:rsid w:val="00A1618E"/>
    <w:rsid w:val="00A16E36"/>
    <w:rsid w:val="00A17198"/>
    <w:rsid w:val="00A17ACB"/>
    <w:rsid w:val="00A22687"/>
    <w:rsid w:val="00A22F87"/>
    <w:rsid w:val="00A239FB"/>
    <w:rsid w:val="00A24961"/>
    <w:rsid w:val="00A24A29"/>
    <w:rsid w:val="00A24B10"/>
    <w:rsid w:val="00A25765"/>
    <w:rsid w:val="00A25934"/>
    <w:rsid w:val="00A260F6"/>
    <w:rsid w:val="00A262D7"/>
    <w:rsid w:val="00A2656B"/>
    <w:rsid w:val="00A26970"/>
    <w:rsid w:val="00A26F61"/>
    <w:rsid w:val="00A30E9B"/>
    <w:rsid w:val="00A310D9"/>
    <w:rsid w:val="00A31D43"/>
    <w:rsid w:val="00A32477"/>
    <w:rsid w:val="00A3424A"/>
    <w:rsid w:val="00A35762"/>
    <w:rsid w:val="00A35F43"/>
    <w:rsid w:val="00A3756E"/>
    <w:rsid w:val="00A403E5"/>
    <w:rsid w:val="00A41063"/>
    <w:rsid w:val="00A4123B"/>
    <w:rsid w:val="00A4162C"/>
    <w:rsid w:val="00A438F2"/>
    <w:rsid w:val="00A4512D"/>
    <w:rsid w:val="00A46473"/>
    <w:rsid w:val="00A46BC7"/>
    <w:rsid w:val="00A472BA"/>
    <w:rsid w:val="00A501F6"/>
    <w:rsid w:val="00A50244"/>
    <w:rsid w:val="00A50B44"/>
    <w:rsid w:val="00A51229"/>
    <w:rsid w:val="00A52917"/>
    <w:rsid w:val="00A52B4C"/>
    <w:rsid w:val="00A54A0A"/>
    <w:rsid w:val="00A54B17"/>
    <w:rsid w:val="00A54C01"/>
    <w:rsid w:val="00A54DF1"/>
    <w:rsid w:val="00A55509"/>
    <w:rsid w:val="00A563EE"/>
    <w:rsid w:val="00A566F1"/>
    <w:rsid w:val="00A56F17"/>
    <w:rsid w:val="00A578D9"/>
    <w:rsid w:val="00A57A53"/>
    <w:rsid w:val="00A57CF7"/>
    <w:rsid w:val="00A61521"/>
    <w:rsid w:val="00A615EC"/>
    <w:rsid w:val="00A62046"/>
    <w:rsid w:val="00A627D7"/>
    <w:rsid w:val="00A63C8E"/>
    <w:rsid w:val="00A641DC"/>
    <w:rsid w:val="00A650CD"/>
    <w:rsid w:val="00A656C7"/>
    <w:rsid w:val="00A657BA"/>
    <w:rsid w:val="00A66D76"/>
    <w:rsid w:val="00A705AF"/>
    <w:rsid w:val="00A70E66"/>
    <w:rsid w:val="00A72454"/>
    <w:rsid w:val="00A72BDF"/>
    <w:rsid w:val="00A72D10"/>
    <w:rsid w:val="00A73142"/>
    <w:rsid w:val="00A73E0B"/>
    <w:rsid w:val="00A74345"/>
    <w:rsid w:val="00A74CAE"/>
    <w:rsid w:val="00A77696"/>
    <w:rsid w:val="00A77E73"/>
    <w:rsid w:val="00A80557"/>
    <w:rsid w:val="00A811FB"/>
    <w:rsid w:val="00A81D33"/>
    <w:rsid w:val="00A81F99"/>
    <w:rsid w:val="00A82B52"/>
    <w:rsid w:val="00A83A9F"/>
    <w:rsid w:val="00A84031"/>
    <w:rsid w:val="00A84232"/>
    <w:rsid w:val="00A84A34"/>
    <w:rsid w:val="00A8525D"/>
    <w:rsid w:val="00A85873"/>
    <w:rsid w:val="00A85BE1"/>
    <w:rsid w:val="00A86785"/>
    <w:rsid w:val="00A8681B"/>
    <w:rsid w:val="00A86BC3"/>
    <w:rsid w:val="00A86D0E"/>
    <w:rsid w:val="00A86E33"/>
    <w:rsid w:val="00A870A8"/>
    <w:rsid w:val="00A8742E"/>
    <w:rsid w:val="00A90F30"/>
    <w:rsid w:val="00A92139"/>
    <w:rsid w:val="00A930AE"/>
    <w:rsid w:val="00A930B6"/>
    <w:rsid w:val="00A93FAC"/>
    <w:rsid w:val="00A95EF3"/>
    <w:rsid w:val="00A97171"/>
    <w:rsid w:val="00A97470"/>
    <w:rsid w:val="00A975C7"/>
    <w:rsid w:val="00A97D5A"/>
    <w:rsid w:val="00AA004B"/>
    <w:rsid w:val="00AA0ABD"/>
    <w:rsid w:val="00AA1A95"/>
    <w:rsid w:val="00AA1CA3"/>
    <w:rsid w:val="00AA2094"/>
    <w:rsid w:val="00AA260F"/>
    <w:rsid w:val="00AA4E5F"/>
    <w:rsid w:val="00AA5218"/>
    <w:rsid w:val="00AA5747"/>
    <w:rsid w:val="00AA58F2"/>
    <w:rsid w:val="00AA62D2"/>
    <w:rsid w:val="00AA723B"/>
    <w:rsid w:val="00AA749E"/>
    <w:rsid w:val="00AB1EE7"/>
    <w:rsid w:val="00AB4B37"/>
    <w:rsid w:val="00AB4D56"/>
    <w:rsid w:val="00AB5350"/>
    <w:rsid w:val="00AB5762"/>
    <w:rsid w:val="00AB5B0C"/>
    <w:rsid w:val="00AB5B7B"/>
    <w:rsid w:val="00AB6D1A"/>
    <w:rsid w:val="00AB7DD5"/>
    <w:rsid w:val="00AC068C"/>
    <w:rsid w:val="00AC245B"/>
    <w:rsid w:val="00AC2588"/>
    <w:rsid w:val="00AC2679"/>
    <w:rsid w:val="00AC2CBA"/>
    <w:rsid w:val="00AC3CA3"/>
    <w:rsid w:val="00AC4BE4"/>
    <w:rsid w:val="00AC62E3"/>
    <w:rsid w:val="00AC684F"/>
    <w:rsid w:val="00AC6BF9"/>
    <w:rsid w:val="00AC77DC"/>
    <w:rsid w:val="00AD05E6"/>
    <w:rsid w:val="00AD0D3F"/>
    <w:rsid w:val="00AD1B17"/>
    <w:rsid w:val="00AD1C5A"/>
    <w:rsid w:val="00AD2918"/>
    <w:rsid w:val="00AD4DD2"/>
    <w:rsid w:val="00AD53FD"/>
    <w:rsid w:val="00AD6572"/>
    <w:rsid w:val="00AE0408"/>
    <w:rsid w:val="00AE0715"/>
    <w:rsid w:val="00AE1D7D"/>
    <w:rsid w:val="00AE2A8B"/>
    <w:rsid w:val="00AE2CAF"/>
    <w:rsid w:val="00AE3113"/>
    <w:rsid w:val="00AE3389"/>
    <w:rsid w:val="00AE3F64"/>
    <w:rsid w:val="00AE7A90"/>
    <w:rsid w:val="00AE7F25"/>
    <w:rsid w:val="00AF0E12"/>
    <w:rsid w:val="00AF1DF1"/>
    <w:rsid w:val="00AF1FE9"/>
    <w:rsid w:val="00AF2B83"/>
    <w:rsid w:val="00AF3A43"/>
    <w:rsid w:val="00AF3B6B"/>
    <w:rsid w:val="00AF40DD"/>
    <w:rsid w:val="00AF462D"/>
    <w:rsid w:val="00AF4923"/>
    <w:rsid w:val="00AF5D27"/>
    <w:rsid w:val="00AF6754"/>
    <w:rsid w:val="00AF7386"/>
    <w:rsid w:val="00AF7934"/>
    <w:rsid w:val="00B00801"/>
    <w:rsid w:val="00B00B81"/>
    <w:rsid w:val="00B02E1B"/>
    <w:rsid w:val="00B04580"/>
    <w:rsid w:val="00B04B09"/>
    <w:rsid w:val="00B04B4E"/>
    <w:rsid w:val="00B04D95"/>
    <w:rsid w:val="00B054E4"/>
    <w:rsid w:val="00B0598F"/>
    <w:rsid w:val="00B05DA4"/>
    <w:rsid w:val="00B1067B"/>
    <w:rsid w:val="00B10E7A"/>
    <w:rsid w:val="00B116C0"/>
    <w:rsid w:val="00B11941"/>
    <w:rsid w:val="00B12363"/>
    <w:rsid w:val="00B12D4F"/>
    <w:rsid w:val="00B13899"/>
    <w:rsid w:val="00B14252"/>
    <w:rsid w:val="00B143F5"/>
    <w:rsid w:val="00B145E8"/>
    <w:rsid w:val="00B16A51"/>
    <w:rsid w:val="00B17E41"/>
    <w:rsid w:val="00B2076B"/>
    <w:rsid w:val="00B2158E"/>
    <w:rsid w:val="00B216F8"/>
    <w:rsid w:val="00B218CE"/>
    <w:rsid w:val="00B22A97"/>
    <w:rsid w:val="00B242C2"/>
    <w:rsid w:val="00B24DE2"/>
    <w:rsid w:val="00B24F70"/>
    <w:rsid w:val="00B2504C"/>
    <w:rsid w:val="00B25440"/>
    <w:rsid w:val="00B26B45"/>
    <w:rsid w:val="00B30C92"/>
    <w:rsid w:val="00B32222"/>
    <w:rsid w:val="00B3291C"/>
    <w:rsid w:val="00B329E4"/>
    <w:rsid w:val="00B33561"/>
    <w:rsid w:val="00B35162"/>
    <w:rsid w:val="00B3590D"/>
    <w:rsid w:val="00B3618D"/>
    <w:rsid w:val="00B36233"/>
    <w:rsid w:val="00B36A0C"/>
    <w:rsid w:val="00B378C9"/>
    <w:rsid w:val="00B37979"/>
    <w:rsid w:val="00B41C75"/>
    <w:rsid w:val="00B42851"/>
    <w:rsid w:val="00B42B72"/>
    <w:rsid w:val="00B42F8F"/>
    <w:rsid w:val="00B44565"/>
    <w:rsid w:val="00B447D9"/>
    <w:rsid w:val="00B44E5E"/>
    <w:rsid w:val="00B450ED"/>
    <w:rsid w:val="00B4510D"/>
    <w:rsid w:val="00B45A05"/>
    <w:rsid w:val="00B45AC7"/>
    <w:rsid w:val="00B45FFD"/>
    <w:rsid w:val="00B4637B"/>
    <w:rsid w:val="00B47329"/>
    <w:rsid w:val="00B47B67"/>
    <w:rsid w:val="00B529C2"/>
    <w:rsid w:val="00B5372F"/>
    <w:rsid w:val="00B54050"/>
    <w:rsid w:val="00B546C7"/>
    <w:rsid w:val="00B55939"/>
    <w:rsid w:val="00B56F84"/>
    <w:rsid w:val="00B57665"/>
    <w:rsid w:val="00B60003"/>
    <w:rsid w:val="00B61129"/>
    <w:rsid w:val="00B61420"/>
    <w:rsid w:val="00B63FEA"/>
    <w:rsid w:val="00B6427A"/>
    <w:rsid w:val="00B6481C"/>
    <w:rsid w:val="00B65BA7"/>
    <w:rsid w:val="00B678DF"/>
    <w:rsid w:val="00B67E7F"/>
    <w:rsid w:val="00B71A1D"/>
    <w:rsid w:val="00B72316"/>
    <w:rsid w:val="00B72A80"/>
    <w:rsid w:val="00B73FB1"/>
    <w:rsid w:val="00B74452"/>
    <w:rsid w:val="00B746DC"/>
    <w:rsid w:val="00B74B69"/>
    <w:rsid w:val="00B75179"/>
    <w:rsid w:val="00B75664"/>
    <w:rsid w:val="00B75A04"/>
    <w:rsid w:val="00B76985"/>
    <w:rsid w:val="00B839B2"/>
    <w:rsid w:val="00B8411B"/>
    <w:rsid w:val="00B847AF"/>
    <w:rsid w:val="00B85004"/>
    <w:rsid w:val="00B8745D"/>
    <w:rsid w:val="00B87988"/>
    <w:rsid w:val="00B87CCE"/>
    <w:rsid w:val="00B87FE3"/>
    <w:rsid w:val="00B9037B"/>
    <w:rsid w:val="00B91256"/>
    <w:rsid w:val="00B92640"/>
    <w:rsid w:val="00B9299D"/>
    <w:rsid w:val="00B93A8E"/>
    <w:rsid w:val="00B93B9D"/>
    <w:rsid w:val="00B93D2C"/>
    <w:rsid w:val="00B94252"/>
    <w:rsid w:val="00B94ACA"/>
    <w:rsid w:val="00B95521"/>
    <w:rsid w:val="00B96007"/>
    <w:rsid w:val="00B9715A"/>
    <w:rsid w:val="00B9794A"/>
    <w:rsid w:val="00BA097E"/>
    <w:rsid w:val="00BA13C4"/>
    <w:rsid w:val="00BA13FF"/>
    <w:rsid w:val="00BA14BE"/>
    <w:rsid w:val="00BA2373"/>
    <w:rsid w:val="00BA24EF"/>
    <w:rsid w:val="00BA2732"/>
    <w:rsid w:val="00BA293D"/>
    <w:rsid w:val="00BA3556"/>
    <w:rsid w:val="00BA49BC"/>
    <w:rsid w:val="00BA56B7"/>
    <w:rsid w:val="00BA5FE0"/>
    <w:rsid w:val="00BA616F"/>
    <w:rsid w:val="00BA724A"/>
    <w:rsid w:val="00BA79C9"/>
    <w:rsid w:val="00BA7A1E"/>
    <w:rsid w:val="00BA7CA9"/>
    <w:rsid w:val="00BB0E0B"/>
    <w:rsid w:val="00BB1B38"/>
    <w:rsid w:val="00BB25CC"/>
    <w:rsid w:val="00BB2885"/>
    <w:rsid w:val="00BB2F6C"/>
    <w:rsid w:val="00BB3875"/>
    <w:rsid w:val="00BB51F9"/>
    <w:rsid w:val="00BB5860"/>
    <w:rsid w:val="00BB6AAD"/>
    <w:rsid w:val="00BB6CEB"/>
    <w:rsid w:val="00BC07D3"/>
    <w:rsid w:val="00BC1147"/>
    <w:rsid w:val="00BC207B"/>
    <w:rsid w:val="00BC381D"/>
    <w:rsid w:val="00BC4A19"/>
    <w:rsid w:val="00BC4C8A"/>
    <w:rsid w:val="00BC4E6D"/>
    <w:rsid w:val="00BC7F50"/>
    <w:rsid w:val="00BD0617"/>
    <w:rsid w:val="00BD2AB0"/>
    <w:rsid w:val="00BD2E9B"/>
    <w:rsid w:val="00BD2EC4"/>
    <w:rsid w:val="00BD3F69"/>
    <w:rsid w:val="00BD4617"/>
    <w:rsid w:val="00BD7BED"/>
    <w:rsid w:val="00BE16C1"/>
    <w:rsid w:val="00BE379D"/>
    <w:rsid w:val="00BE50FC"/>
    <w:rsid w:val="00BE65AC"/>
    <w:rsid w:val="00BE7AA7"/>
    <w:rsid w:val="00BE7D14"/>
    <w:rsid w:val="00BE7FA9"/>
    <w:rsid w:val="00BF0266"/>
    <w:rsid w:val="00BF1E34"/>
    <w:rsid w:val="00BF1F7D"/>
    <w:rsid w:val="00BF220D"/>
    <w:rsid w:val="00BF2A94"/>
    <w:rsid w:val="00BF2ABB"/>
    <w:rsid w:val="00BF3635"/>
    <w:rsid w:val="00BF4BB8"/>
    <w:rsid w:val="00BF542A"/>
    <w:rsid w:val="00BF66E7"/>
    <w:rsid w:val="00BF6FD7"/>
    <w:rsid w:val="00BF7AD7"/>
    <w:rsid w:val="00C00930"/>
    <w:rsid w:val="00C00E83"/>
    <w:rsid w:val="00C01649"/>
    <w:rsid w:val="00C060AD"/>
    <w:rsid w:val="00C0670D"/>
    <w:rsid w:val="00C06B13"/>
    <w:rsid w:val="00C105A1"/>
    <w:rsid w:val="00C113BF"/>
    <w:rsid w:val="00C121B1"/>
    <w:rsid w:val="00C146C0"/>
    <w:rsid w:val="00C14DFD"/>
    <w:rsid w:val="00C153E0"/>
    <w:rsid w:val="00C1553B"/>
    <w:rsid w:val="00C158A5"/>
    <w:rsid w:val="00C16A57"/>
    <w:rsid w:val="00C2176E"/>
    <w:rsid w:val="00C23430"/>
    <w:rsid w:val="00C23798"/>
    <w:rsid w:val="00C23A8A"/>
    <w:rsid w:val="00C23C15"/>
    <w:rsid w:val="00C23E85"/>
    <w:rsid w:val="00C254D4"/>
    <w:rsid w:val="00C25B9A"/>
    <w:rsid w:val="00C262EC"/>
    <w:rsid w:val="00C27D67"/>
    <w:rsid w:val="00C27E77"/>
    <w:rsid w:val="00C30163"/>
    <w:rsid w:val="00C33DC7"/>
    <w:rsid w:val="00C3544D"/>
    <w:rsid w:val="00C374BF"/>
    <w:rsid w:val="00C40073"/>
    <w:rsid w:val="00C4030F"/>
    <w:rsid w:val="00C40C5E"/>
    <w:rsid w:val="00C41A15"/>
    <w:rsid w:val="00C429B2"/>
    <w:rsid w:val="00C43CCC"/>
    <w:rsid w:val="00C44944"/>
    <w:rsid w:val="00C45A74"/>
    <w:rsid w:val="00C45D72"/>
    <w:rsid w:val="00C46183"/>
    <w:rsid w:val="00C4631F"/>
    <w:rsid w:val="00C473E5"/>
    <w:rsid w:val="00C47E8E"/>
    <w:rsid w:val="00C50D4C"/>
    <w:rsid w:val="00C50E16"/>
    <w:rsid w:val="00C516B9"/>
    <w:rsid w:val="00C5198F"/>
    <w:rsid w:val="00C51BEC"/>
    <w:rsid w:val="00C51C65"/>
    <w:rsid w:val="00C54350"/>
    <w:rsid w:val="00C54B66"/>
    <w:rsid w:val="00C55258"/>
    <w:rsid w:val="00C56487"/>
    <w:rsid w:val="00C572AC"/>
    <w:rsid w:val="00C572DC"/>
    <w:rsid w:val="00C6005F"/>
    <w:rsid w:val="00C601B6"/>
    <w:rsid w:val="00C61260"/>
    <w:rsid w:val="00C6285F"/>
    <w:rsid w:val="00C66BBE"/>
    <w:rsid w:val="00C6747A"/>
    <w:rsid w:val="00C6777E"/>
    <w:rsid w:val="00C70C5B"/>
    <w:rsid w:val="00C72105"/>
    <w:rsid w:val="00C73E3E"/>
    <w:rsid w:val="00C763B0"/>
    <w:rsid w:val="00C80003"/>
    <w:rsid w:val="00C80546"/>
    <w:rsid w:val="00C807D8"/>
    <w:rsid w:val="00C81594"/>
    <w:rsid w:val="00C819EF"/>
    <w:rsid w:val="00C82EEB"/>
    <w:rsid w:val="00C8489A"/>
    <w:rsid w:val="00C84E8C"/>
    <w:rsid w:val="00C85C52"/>
    <w:rsid w:val="00C864A3"/>
    <w:rsid w:val="00C87078"/>
    <w:rsid w:val="00C87402"/>
    <w:rsid w:val="00C878F0"/>
    <w:rsid w:val="00C91B31"/>
    <w:rsid w:val="00C92BE1"/>
    <w:rsid w:val="00C9373E"/>
    <w:rsid w:val="00C93A63"/>
    <w:rsid w:val="00C95AA5"/>
    <w:rsid w:val="00C9652B"/>
    <w:rsid w:val="00C971DC"/>
    <w:rsid w:val="00C974EF"/>
    <w:rsid w:val="00CA04FF"/>
    <w:rsid w:val="00CA16B7"/>
    <w:rsid w:val="00CA2F70"/>
    <w:rsid w:val="00CA2FB1"/>
    <w:rsid w:val="00CA3FEA"/>
    <w:rsid w:val="00CA4A6E"/>
    <w:rsid w:val="00CA4ACB"/>
    <w:rsid w:val="00CA4BE3"/>
    <w:rsid w:val="00CA4D6E"/>
    <w:rsid w:val="00CA5796"/>
    <w:rsid w:val="00CA5EEE"/>
    <w:rsid w:val="00CA62AE"/>
    <w:rsid w:val="00CA7A07"/>
    <w:rsid w:val="00CB000A"/>
    <w:rsid w:val="00CB02E5"/>
    <w:rsid w:val="00CB05FF"/>
    <w:rsid w:val="00CB3297"/>
    <w:rsid w:val="00CB3C33"/>
    <w:rsid w:val="00CB4517"/>
    <w:rsid w:val="00CB4D44"/>
    <w:rsid w:val="00CB59D5"/>
    <w:rsid w:val="00CB5B1A"/>
    <w:rsid w:val="00CB6A33"/>
    <w:rsid w:val="00CC09BC"/>
    <w:rsid w:val="00CC1E9E"/>
    <w:rsid w:val="00CC21AB"/>
    <w:rsid w:val="00CC220B"/>
    <w:rsid w:val="00CC2BD6"/>
    <w:rsid w:val="00CC5C43"/>
    <w:rsid w:val="00CC638C"/>
    <w:rsid w:val="00CC63A7"/>
    <w:rsid w:val="00CC6857"/>
    <w:rsid w:val="00CD02AE"/>
    <w:rsid w:val="00CD13E7"/>
    <w:rsid w:val="00CD1D88"/>
    <w:rsid w:val="00CD2A4F"/>
    <w:rsid w:val="00CD3678"/>
    <w:rsid w:val="00CD396D"/>
    <w:rsid w:val="00CD40FC"/>
    <w:rsid w:val="00CD5E8F"/>
    <w:rsid w:val="00CD6E94"/>
    <w:rsid w:val="00CD7076"/>
    <w:rsid w:val="00CE03CA"/>
    <w:rsid w:val="00CE0635"/>
    <w:rsid w:val="00CE0DE4"/>
    <w:rsid w:val="00CE10F8"/>
    <w:rsid w:val="00CE22F1"/>
    <w:rsid w:val="00CE35DB"/>
    <w:rsid w:val="00CE42C5"/>
    <w:rsid w:val="00CE50F2"/>
    <w:rsid w:val="00CE6502"/>
    <w:rsid w:val="00CE6B1E"/>
    <w:rsid w:val="00CE7AE4"/>
    <w:rsid w:val="00CE7F22"/>
    <w:rsid w:val="00CF0724"/>
    <w:rsid w:val="00CF2CC5"/>
    <w:rsid w:val="00CF2E5E"/>
    <w:rsid w:val="00CF3262"/>
    <w:rsid w:val="00CF4545"/>
    <w:rsid w:val="00CF483F"/>
    <w:rsid w:val="00CF5914"/>
    <w:rsid w:val="00CF66C9"/>
    <w:rsid w:val="00CF6B5F"/>
    <w:rsid w:val="00CF7D3C"/>
    <w:rsid w:val="00D02F1D"/>
    <w:rsid w:val="00D03503"/>
    <w:rsid w:val="00D03933"/>
    <w:rsid w:val="00D04A19"/>
    <w:rsid w:val="00D04A66"/>
    <w:rsid w:val="00D05D73"/>
    <w:rsid w:val="00D0690C"/>
    <w:rsid w:val="00D07A77"/>
    <w:rsid w:val="00D1019C"/>
    <w:rsid w:val="00D10358"/>
    <w:rsid w:val="00D10C38"/>
    <w:rsid w:val="00D117E2"/>
    <w:rsid w:val="00D124D2"/>
    <w:rsid w:val="00D138C0"/>
    <w:rsid w:val="00D14630"/>
    <w:rsid w:val="00D147EB"/>
    <w:rsid w:val="00D14E81"/>
    <w:rsid w:val="00D16E09"/>
    <w:rsid w:val="00D16E7A"/>
    <w:rsid w:val="00D20CD9"/>
    <w:rsid w:val="00D2125A"/>
    <w:rsid w:val="00D2200B"/>
    <w:rsid w:val="00D22D45"/>
    <w:rsid w:val="00D25807"/>
    <w:rsid w:val="00D25AF3"/>
    <w:rsid w:val="00D26B1B"/>
    <w:rsid w:val="00D30DE4"/>
    <w:rsid w:val="00D30FD4"/>
    <w:rsid w:val="00D31009"/>
    <w:rsid w:val="00D31265"/>
    <w:rsid w:val="00D317D2"/>
    <w:rsid w:val="00D3210E"/>
    <w:rsid w:val="00D33663"/>
    <w:rsid w:val="00D34667"/>
    <w:rsid w:val="00D34A8C"/>
    <w:rsid w:val="00D350D3"/>
    <w:rsid w:val="00D363CC"/>
    <w:rsid w:val="00D365DA"/>
    <w:rsid w:val="00D36BC4"/>
    <w:rsid w:val="00D3760F"/>
    <w:rsid w:val="00D401E1"/>
    <w:rsid w:val="00D40207"/>
    <w:rsid w:val="00D407AF"/>
    <w:rsid w:val="00D408B4"/>
    <w:rsid w:val="00D4124E"/>
    <w:rsid w:val="00D41594"/>
    <w:rsid w:val="00D41D08"/>
    <w:rsid w:val="00D41EE7"/>
    <w:rsid w:val="00D423B1"/>
    <w:rsid w:val="00D435E1"/>
    <w:rsid w:val="00D4374A"/>
    <w:rsid w:val="00D44797"/>
    <w:rsid w:val="00D45D94"/>
    <w:rsid w:val="00D4773E"/>
    <w:rsid w:val="00D50218"/>
    <w:rsid w:val="00D524C8"/>
    <w:rsid w:val="00D53CC2"/>
    <w:rsid w:val="00D5423C"/>
    <w:rsid w:val="00D60E25"/>
    <w:rsid w:val="00D61509"/>
    <w:rsid w:val="00D6232D"/>
    <w:rsid w:val="00D630E4"/>
    <w:rsid w:val="00D65145"/>
    <w:rsid w:val="00D65FA5"/>
    <w:rsid w:val="00D66690"/>
    <w:rsid w:val="00D67BA6"/>
    <w:rsid w:val="00D70716"/>
    <w:rsid w:val="00D7086B"/>
    <w:rsid w:val="00D70C1D"/>
    <w:rsid w:val="00D70E24"/>
    <w:rsid w:val="00D71A05"/>
    <w:rsid w:val="00D71ADC"/>
    <w:rsid w:val="00D71C2D"/>
    <w:rsid w:val="00D72028"/>
    <w:rsid w:val="00D72764"/>
    <w:rsid w:val="00D72B61"/>
    <w:rsid w:val="00D72BF2"/>
    <w:rsid w:val="00D73C30"/>
    <w:rsid w:val="00D74435"/>
    <w:rsid w:val="00D755F7"/>
    <w:rsid w:val="00D758AA"/>
    <w:rsid w:val="00D767ED"/>
    <w:rsid w:val="00D76F55"/>
    <w:rsid w:val="00D81273"/>
    <w:rsid w:val="00D8259C"/>
    <w:rsid w:val="00D8380F"/>
    <w:rsid w:val="00D84A5F"/>
    <w:rsid w:val="00D85B11"/>
    <w:rsid w:val="00D86C4A"/>
    <w:rsid w:val="00D86F76"/>
    <w:rsid w:val="00D87695"/>
    <w:rsid w:val="00D87E66"/>
    <w:rsid w:val="00D90BFD"/>
    <w:rsid w:val="00D90F6C"/>
    <w:rsid w:val="00D9104A"/>
    <w:rsid w:val="00D91EC2"/>
    <w:rsid w:val="00D927C6"/>
    <w:rsid w:val="00D9308D"/>
    <w:rsid w:val="00D94088"/>
    <w:rsid w:val="00D944B0"/>
    <w:rsid w:val="00D94512"/>
    <w:rsid w:val="00D9475B"/>
    <w:rsid w:val="00D96559"/>
    <w:rsid w:val="00D96FE8"/>
    <w:rsid w:val="00D976E2"/>
    <w:rsid w:val="00DA0658"/>
    <w:rsid w:val="00DA0F08"/>
    <w:rsid w:val="00DA1AE1"/>
    <w:rsid w:val="00DA34BD"/>
    <w:rsid w:val="00DA3D1D"/>
    <w:rsid w:val="00DA4826"/>
    <w:rsid w:val="00DB0138"/>
    <w:rsid w:val="00DB0EC0"/>
    <w:rsid w:val="00DB2188"/>
    <w:rsid w:val="00DB2D56"/>
    <w:rsid w:val="00DB32C0"/>
    <w:rsid w:val="00DB3904"/>
    <w:rsid w:val="00DB6286"/>
    <w:rsid w:val="00DB645F"/>
    <w:rsid w:val="00DB6DD7"/>
    <w:rsid w:val="00DB7155"/>
    <w:rsid w:val="00DB76E9"/>
    <w:rsid w:val="00DB7845"/>
    <w:rsid w:val="00DC0A67"/>
    <w:rsid w:val="00DC0D3A"/>
    <w:rsid w:val="00DC1D5E"/>
    <w:rsid w:val="00DC1F32"/>
    <w:rsid w:val="00DC2313"/>
    <w:rsid w:val="00DC2AAD"/>
    <w:rsid w:val="00DC4C30"/>
    <w:rsid w:val="00DC5220"/>
    <w:rsid w:val="00DC6A27"/>
    <w:rsid w:val="00DC790C"/>
    <w:rsid w:val="00DC7910"/>
    <w:rsid w:val="00DD108C"/>
    <w:rsid w:val="00DD12CC"/>
    <w:rsid w:val="00DD2061"/>
    <w:rsid w:val="00DD2288"/>
    <w:rsid w:val="00DD4229"/>
    <w:rsid w:val="00DD46C5"/>
    <w:rsid w:val="00DD6605"/>
    <w:rsid w:val="00DD6906"/>
    <w:rsid w:val="00DD6B3F"/>
    <w:rsid w:val="00DD7DAB"/>
    <w:rsid w:val="00DE026E"/>
    <w:rsid w:val="00DE0768"/>
    <w:rsid w:val="00DE0FC9"/>
    <w:rsid w:val="00DE23DF"/>
    <w:rsid w:val="00DE271C"/>
    <w:rsid w:val="00DE3355"/>
    <w:rsid w:val="00DE3884"/>
    <w:rsid w:val="00DE6EDA"/>
    <w:rsid w:val="00DF0744"/>
    <w:rsid w:val="00DF0855"/>
    <w:rsid w:val="00DF0FCD"/>
    <w:rsid w:val="00DF2874"/>
    <w:rsid w:val="00DF45BD"/>
    <w:rsid w:val="00DF486F"/>
    <w:rsid w:val="00DF4878"/>
    <w:rsid w:val="00DF4BAF"/>
    <w:rsid w:val="00DF5B5B"/>
    <w:rsid w:val="00DF6D46"/>
    <w:rsid w:val="00DF726C"/>
    <w:rsid w:val="00DF7619"/>
    <w:rsid w:val="00DF76FA"/>
    <w:rsid w:val="00DF7C7F"/>
    <w:rsid w:val="00E01A79"/>
    <w:rsid w:val="00E01F20"/>
    <w:rsid w:val="00E03FDD"/>
    <w:rsid w:val="00E042D8"/>
    <w:rsid w:val="00E0480F"/>
    <w:rsid w:val="00E04C86"/>
    <w:rsid w:val="00E051DB"/>
    <w:rsid w:val="00E05A80"/>
    <w:rsid w:val="00E06A1F"/>
    <w:rsid w:val="00E07E59"/>
    <w:rsid w:val="00E07EE7"/>
    <w:rsid w:val="00E10239"/>
    <w:rsid w:val="00E103E9"/>
    <w:rsid w:val="00E104BE"/>
    <w:rsid w:val="00E1103B"/>
    <w:rsid w:val="00E12610"/>
    <w:rsid w:val="00E126C0"/>
    <w:rsid w:val="00E13251"/>
    <w:rsid w:val="00E1599A"/>
    <w:rsid w:val="00E15ADE"/>
    <w:rsid w:val="00E15B56"/>
    <w:rsid w:val="00E169D8"/>
    <w:rsid w:val="00E17B44"/>
    <w:rsid w:val="00E20170"/>
    <w:rsid w:val="00E2235A"/>
    <w:rsid w:val="00E225DE"/>
    <w:rsid w:val="00E237D7"/>
    <w:rsid w:val="00E25217"/>
    <w:rsid w:val="00E25FF0"/>
    <w:rsid w:val="00E26A80"/>
    <w:rsid w:val="00E27865"/>
    <w:rsid w:val="00E27D38"/>
    <w:rsid w:val="00E27FEA"/>
    <w:rsid w:val="00E30826"/>
    <w:rsid w:val="00E32822"/>
    <w:rsid w:val="00E32F37"/>
    <w:rsid w:val="00E32F38"/>
    <w:rsid w:val="00E33211"/>
    <w:rsid w:val="00E340D1"/>
    <w:rsid w:val="00E34139"/>
    <w:rsid w:val="00E34762"/>
    <w:rsid w:val="00E35587"/>
    <w:rsid w:val="00E35FCD"/>
    <w:rsid w:val="00E3641C"/>
    <w:rsid w:val="00E36CCA"/>
    <w:rsid w:val="00E37559"/>
    <w:rsid w:val="00E37590"/>
    <w:rsid w:val="00E4086F"/>
    <w:rsid w:val="00E418F6"/>
    <w:rsid w:val="00E41DD0"/>
    <w:rsid w:val="00E4325C"/>
    <w:rsid w:val="00E43356"/>
    <w:rsid w:val="00E43932"/>
    <w:rsid w:val="00E43B3C"/>
    <w:rsid w:val="00E460E9"/>
    <w:rsid w:val="00E46E9B"/>
    <w:rsid w:val="00E50188"/>
    <w:rsid w:val="00E5026F"/>
    <w:rsid w:val="00E505CA"/>
    <w:rsid w:val="00E50C4E"/>
    <w:rsid w:val="00E5109A"/>
    <w:rsid w:val="00E515CB"/>
    <w:rsid w:val="00E51C69"/>
    <w:rsid w:val="00E52260"/>
    <w:rsid w:val="00E52445"/>
    <w:rsid w:val="00E52C7A"/>
    <w:rsid w:val="00E53081"/>
    <w:rsid w:val="00E5414A"/>
    <w:rsid w:val="00E55F32"/>
    <w:rsid w:val="00E56A3A"/>
    <w:rsid w:val="00E60E58"/>
    <w:rsid w:val="00E616F4"/>
    <w:rsid w:val="00E61C3B"/>
    <w:rsid w:val="00E61CA9"/>
    <w:rsid w:val="00E62F76"/>
    <w:rsid w:val="00E6343F"/>
    <w:rsid w:val="00E639B6"/>
    <w:rsid w:val="00E6434B"/>
    <w:rsid w:val="00E6463D"/>
    <w:rsid w:val="00E655F7"/>
    <w:rsid w:val="00E663A0"/>
    <w:rsid w:val="00E67C85"/>
    <w:rsid w:val="00E70EA9"/>
    <w:rsid w:val="00E72E9B"/>
    <w:rsid w:val="00E7401D"/>
    <w:rsid w:val="00E76DCB"/>
    <w:rsid w:val="00E777D8"/>
    <w:rsid w:val="00E80426"/>
    <w:rsid w:val="00E80F10"/>
    <w:rsid w:val="00E81B4F"/>
    <w:rsid w:val="00E8215B"/>
    <w:rsid w:val="00E823D2"/>
    <w:rsid w:val="00E82E97"/>
    <w:rsid w:val="00E83EC6"/>
    <w:rsid w:val="00E849DA"/>
    <w:rsid w:val="00E85501"/>
    <w:rsid w:val="00E85F81"/>
    <w:rsid w:val="00E8612F"/>
    <w:rsid w:val="00E86E95"/>
    <w:rsid w:val="00E8784D"/>
    <w:rsid w:val="00E9118D"/>
    <w:rsid w:val="00E9121C"/>
    <w:rsid w:val="00E91927"/>
    <w:rsid w:val="00E91F8B"/>
    <w:rsid w:val="00E92CB8"/>
    <w:rsid w:val="00E92EB9"/>
    <w:rsid w:val="00E93195"/>
    <w:rsid w:val="00E9462E"/>
    <w:rsid w:val="00E9716B"/>
    <w:rsid w:val="00E9738D"/>
    <w:rsid w:val="00EA06EC"/>
    <w:rsid w:val="00EA0AC2"/>
    <w:rsid w:val="00EA0B15"/>
    <w:rsid w:val="00EA0E53"/>
    <w:rsid w:val="00EA12A0"/>
    <w:rsid w:val="00EA2D1D"/>
    <w:rsid w:val="00EA470E"/>
    <w:rsid w:val="00EA47A7"/>
    <w:rsid w:val="00EA57EB"/>
    <w:rsid w:val="00EA74B0"/>
    <w:rsid w:val="00EB060A"/>
    <w:rsid w:val="00EB0EC9"/>
    <w:rsid w:val="00EB3226"/>
    <w:rsid w:val="00EB3E51"/>
    <w:rsid w:val="00EB4343"/>
    <w:rsid w:val="00EB4638"/>
    <w:rsid w:val="00EB53D6"/>
    <w:rsid w:val="00EB6144"/>
    <w:rsid w:val="00EC13CD"/>
    <w:rsid w:val="00EC1D0B"/>
    <w:rsid w:val="00EC1D8A"/>
    <w:rsid w:val="00EC1DC0"/>
    <w:rsid w:val="00EC213A"/>
    <w:rsid w:val="00EC3081"/>
    <w:rsid w:val="00EC3957"/>
    <w:rsid w:val="00EC6603"/>
    <w:rsid w:val="00EC6830"/>
    <w:rsid w:val="00EC6F53"/>
    <w:rsid w:val="00EC7744"/>
    <w:rsid w:val="00ED0D3E"/>
    <w:rsid w:val="00ED0DAD"/>
    <w:rsid w:val="00ED0E69"/>
    <w:rsid w:val="00ED0F05"/>
    <w:rsid w:val="00ED0F46"/>
    <w:rsid w:val="00ED1DE7"/>
    <w:rsid w:val="00ED2373"/>
    <w:rsid w:val="00ED4015"/>
    <w:rsid w:val="00ED5BED"/>
    <w:rsid w:val="00ED5F0C"/>
    <w:rsid w:val="00ED6D40"/>
    <w:rsid w:val="00ED6D52"/>
    <w:rsid w:val="00EE0683"/>
    <w:rsid w:val="00EE1845"/>
    <w:rsid w:val="00EE2F29"/>
    <w:rsid w:val="00EE3055"/>
    <w:rsid w:val="00EE36BA"/>
    <w:rsid w:val="00EE3E1E"/>
    <w:rsid w:val="00EE3E8A"/>
    <w:rsid w:val="00EE446C"/>
    <w:rsid w:val="00EE70A5"/>
    <w:rsid w:val="00EF09F5"/>
    <w:rsid w:val="00EF1B79"/>
    <w:rsid w:val="00EF2E80"/>
    <w:rsid w:val="00EF2FB2"/>
    <w:rsid w:val="00EF60C5"/>
    <w:rsid w:val="00EF64AC"/>
    <w:rsid w:val="00EF6671"/>
    <w:rsid w:val="00EF6B57"/>
    <w:rsid w:val="00EF6ECA"/>
    <w:rsid w:val="00EF732B"/>
    <w:rsid w:val="00EF7BA9"/>
    <w:rsid w:val="00EF7DF3"/>
    <w:rsid w:val="00F001D6"/>
    <w:rsid w:val="00F0036A"/>
    <w:rsid w:val="00F0151D"/>
    <w:rsid w:val="00F024E1"/>
    <w:rsid w:val="00F02674"/>
    <w:rsid w:val="00F02DB3"/>
    <w:rsid w:val="00F03F49"/>
    <w:rsid w:val="00F0403B"/>
    <w:rsid w:val="00F049F6"/>
    <w:rsid w:val="00F06C10"/>
    <w:rsid w:val="00F07C16"/>
    <w:rsid w:val="00F07D45"/>
    <w:rsid w:val="00F1090E"/>
    <w:rsid w:val="00F1096F"/>
    <w:rsid w:val="00F11926"/>
    <w:rsid w:val="00F12589"/>
    <w:rsid w:val="00F12595"/>
    <w:rsid w:val="00F12659"/>
    <w:rsid w:val="00F12ECF"/>
    <w:rsid w:val="00F134D9"/>
    <w:rsid w:val="00F1403D"/>
    <w:rsid w:val="00F1463F"/>
    <w:rsid w:val="00F163BC"/>
    <w:rsid w:val="00F16A72"/>
    <w:rsid w:val="00F16B51"/>
    <w:rsid w:val="00F16CE8"/>
    <w:rsid w:val="00F16F73"/>
    <w:rsid w:val="00F21302"/>
    <w:rsid w:val="00F21D08"/>
    <w:rsid w:val="00F23B04"/>
    <w:rsid w:val="00F23BE2"/>
    <w:rsid w:val="00F24133"/>
    <w:rsid w:val="00F2456D"/>
    <w:rsid w:val="00F247C7"/>
    <w:rsid w:val="00F254F3"/>
    <w:rsid w:val="00F260B7"/>
    <w:rsid w:val="00F261A2"/>
    <w:rsid w:val="00F27775"/>
    <w:rsid w:val="00F31C88"/>
    <w:rsid w:val="00F321DE"/>
    <w:rsid w:val="00F330C4"/>
    <w:rsid w:val="00F33777"/>
    <w:rsid w:val="00F341BE"/>
    <w:rsid w:val="00F342C5"/>
    <w:rsid w:val="00F34B8D"/>
    <w:rsid w:val="00F3525B"/>
    <w:rsid w:val="00F35629"/>
    <w:rsid w:val="00F35EE9"/>
    <w:rsid w:val="00F36002"/>
    <w:rsid w:val="00F36145"/>
    <w:rsid w:val="00F36D94"/>
    <w:rsid w:val="00F37F17"/>
    <w:rsid w:val="00F40385"/>
    <w:rsid w:val="00F4053C"/>
    <w:rsid w:val="00F40648"/>
    <w:rsid w:val="00F41892"/>
    <w:rsid w:val="00F46812"/>
    <w:rsid w:val="00F47DA2"/>
    <w:rsid w:val="00F51729"/>
    <w:rsid w:val="00F519FC"/>
    <w:rsid w:val="00F555C5"/>
    <w:rsid w:val="00F55910"/>
    <w:rsid w:val="00F57925"/>
    <w:rsid w:val="00F6239D"/>
    <w:rsid w:val="00F63243"/>
    <w:rsid w:val="00F63C76"/>
    <w:rsid w:val="00F63C78"/>
    <w:rsid w:val="00F66383"/>
    <w:rsid w:val="00F66391"/>
    <w:rsid w:val="00F668FC"/>
    <w:rsid w:val="00F66AE7"/>
    <w:rsid w:val="00F67CC2"/>
    <w:rsid w:val="00F701CF"/>
    <w:rsid w:val="00F70AB9"/>
    <w:rsid w:val="00F71385"/>
    <w:rsid w:val="00F715D2"/>
    <w:rsid w:val="00F71992"/>
    <w:rsid w:val="00F71E4C"/>
    <w:rsid w:val="00F7274F"/>
    <w:rsid w:val="00F73D91"/>
    <w:rsid w:val="00F744E4"/>
    <w:rsid w:val="00F7561F"/>
    <w:rsid w:val="00F7610A"/>
    <w:rsid w:val="00F76AD9"/>
    <w:rsid w:val="00F76FA8"/>
    <w:rsid w:val="00F8051A"/>
    <w:rsid w:val="00F80B52"/>
    <w:rsid w:val="00F816ED"/>
    <w:rsid w:val="00F81730"/>
    <w:rsid w:val="00F828EA"/>
    <w:rsid w:val="00F833E3"/>
    <w:rsid w:val="00F842FF"/>
    <w:rsid w:val="00F84946"/>
    <w:rsid w:val="00F84C91"/>
    <w:rsid w:val="00F85812"/>
    <w:rsid w:val="00F85A26"/>
    <w:rsid w:val="00F85F04"/>
    <w:rsid w:val="00F85F7D"/>
    <w:rsid w:val="00F86C41"/>
    <w:rsid w:val="00F86FA4"/>
    <w:rsid w:val="00F90081"/>
    <w:rsid w:val="00F90A6E"/>
    <w:rsid w:val="00F90B4E"/>
    <w:rsid w:val="00F90E42"/>
    <w:rsid w:val="00F91B95"/>
    <w:rsid w:val="00F91BC3"/>
    <w:rsid w:val="00F93F08"/>
    <w:rsid w:val="00F94CED"/>
    <w:rsid w:val="00F954F4"/>
    <w:rsid w:val="00F96155"/>
    <w:rsid w:val="00F970C0"/>
    <w:rsid w:val="00F97445"/>
    <w:rsid w:val="00F978CF"/>
    <w:rsid w:val="00FA1838"/>
    <w:rsid w:val="00FA19EF"/>
    <w:rsid w:val="00FA1DFF"/>
    <w:rsid w:val="00FA2168"/>
    <w:rsid w:val="00FA2CEE"/>
    <w:rsid w:val="00FA2FAB"/>
    <w:rsid w:val="00FA318C"/>
    <w:rsid w:val="00FA7961"/>
    <w:rsid w:val="00FA7C55"/>
    <w:rsid w:val="00FB10B5"/>
    <w:rsid w:val="00FB23E6"/>
    <w:rsid w:val="00FB2B1D"/>
    <w:rsid w:val="00FB2C83"/>
    <w:rsid w:val="00FB406A"/>
    <w:rsid w:val="00FB67A7"/>
    <w:rsid w:val="00FB6C19"/>
    <w:rsid w:val="00FB6F92"/>
    <w:rsid w:val="00FB7BE1"/>
    <w:rsid w:val="00FB7C2A"/>
    <w:rsid w:val="00FC026E"/>
    <w:rsid w:val="00FC3397"/>
    <w:rsid w:val="00FC4D07"/>
    <w:rsid w:val="00FC4D24"/>
    <w:rsid w:val="00FC5124"/>
    <w:rsid w:val="00FC6DE2"/>
    <w:rsid w:val="00FC7484"/>
    <w:rsid w:val="00FC79B7"/>
    <w:rsid w:val="00FD050E"/>
    <w:rsid w:val="00FD200A"/>
    <w:rsid w:val="00FD31A8"/>
    <w:rsid w:val="00FD3E8C"/>
    <w:rsid w:val="00FD3F9A"/>
    <w:rsid w:val="00FD4731"/>
    <w:rsid w:val="00FD5909"/>
    <w:rsid w:val="00FD5E32"/>
    <w:rsid w:val="00FD617B"/>
    <w:rsid w:val="00FD6D03"/>
    <w:rsid w:val="00FE00E5"/>
    <w:rsid w:val="00FE0E2B"/>
    <w:rsid w:val="00FE19D2"/>
    <w:rsid w:val="00FE1EA2"/>
    <w:rsid w:val="00FE216A"/>
    <w:rsid w:val="00FE218E"/>
    <w:rsid w:val="00FE2987"/>
    <w:rsid w:val="00FE375A"/>
    <w:rsid w:val="00FE3D18"/>
    <w:rsid w:val="00FE4014"/>
    <w:rsid w:val="00FE609F"/>
    <w:rsid w:val="00FE6BA6"/>
    <w:rsid w:val="00FE71B2"/>
    <w:rsid w:val="00FE74EC"/>
    <w:rsid w:val="00FE7D92"/>
    <w:rsid w:val="00FE7DA8"/>
    <w:rsid w:val="00FF0A02"/>
    <w:rsid w:val="00FF0AB0"/>
    <w:rsid w:val="00FF11B5"/>
    <w:rsid w:val="00FF2844"/>
    <w:rsid w:val="00FF28AC"/>
    <w:rsid w:val="00FF4C88"/>
    <w:rsid w:val="00FF5923"/>
    <w:rsid w:val="00FF59AB"/>
    <w:rsid w:val="00FF5A85"/>
    <w:rsid w:val="00FF5E0E"/>
    <w:rsid w:val="00FF7DF7"/>
    <w:rsid w:val="00FF7F62"/>
    <w:rsid w:val="0126EA8B"/>
    <w:rsid w:val="02ABF396"/>
    <w:rsid w:val="02ADF0D0"/>
    <w:rsid w:val="037820FB"/>
    <w:rsid w:val="03B9E215"/>
    <w:rsid w:val="0584764B"/>
    <w:rsid w:val="05B1FF43"/>
    <w:rsid w:val="061437AC"/>
    <w:rsid w:val="0637D4A2"/>
    <w:rsid w:val="0692D7B7"/>
    <w:rsid w:val="07285B0C"/>
    <w:rsid w:val="07A51C64"/>
    <w:rsid w:val="08F8DF08"/>
    <w:rsid w:val="0906E2CE"/>
    <w:rsid w:val="0950915D"/>
    <w:rsid w:val="09BE3494"/>
    <w:rsid w:val="0A22CD89"/>
    <w:rsid w:val="0A4DECAA"/>
    <w:rsid w:val="0A9735B0"/>
    <w:rsid w:val="0ABA189C"/>
    <w:rsid w:val="0AF42755"/>
    <w:rsid w:val="0B37D9C0"/>
    <w:rsid w:val="0BB05D42"/>
    <w:rsid w:val="0C3084AD"/>
    <w:rsid w:val="0DEAB631"/>
    <w:rsid w:val="0E7B75D5"/>
    <w:rsid w:val="0F2430EF"/>
    <w:rsid w:val="0F553C52"/>
    <w:rsid w:val="104870FF"/>
    <w:rsid w:val="10613C0D"/>
    <w:rsid w:val="1102A3D4"/>
    <w:rsid w:val="110A0FB5"/>
    <w:rsid w:val="11888D96"/>
    <w:rsid w:val="12DB1414"/>
    <w:rsid w:val="134D7F16"/>
    <w:rsid w:val="1400AD53"/>
    <w:rsid w:val="149E2A12"/>
    <w:rsid w:val="14ACB8B1"/>
    <w:rsid w:val="14DEDBAB"/>
    <w:rsid w:val="14F52DC7"/>
    <w:rsid w:val="151CD2FC"/>
    <w:rsid w:val="15BA4E2D"/>
    <w:rsid w:val="15EAA9F1"/>
    <w:rsid w:val="17283F20"/>
    <w:rsid w:val="18B49C59"/>
    <w:rsid w:val="18E3555A"/>
    <w:rsid w:val="19107199"/>
    <w:rsid w:val="193DC515"/>
    <w:rsid w:val="1A71C622"/>
    <w:rsid w:val="1A782C63"/>
    <w:rsid w:val="1B0AEB6B"/>
    <w:rsid w:val="1BA192D8"/>
    <w:rsid w:val="1BBB45AF"/>
    <w:rsid w:val="1C4E29BE"/>
    <w:rsid w:val="1CBE25D3"/>
    <w:rsid w:val="1DDE8F3E"/>
    <w:rsid w:val="1E1B110B"/>
    <w:rsid w:val="1E56A89D"/>
    <w:rsid w:val="1E65A4B5"/>
    <w:rsid w:val="1F30FE60"/>
    <w:rsid w:val="2016EE7B"/>
    <w:rsid w:val="2157205C"/>
    <w:rsid w:val="218DB05B"/>
    <w:rsid w:val="244B7659"/>
    <w:rsid w:val="24751B56"/>
    <w:rsid w:val="2611ECD6"/>
    <w:rsid w:val="26D295A4"/>
    <w:rsid w:val="275FF1F9"/>
    <w:rsid w:val="277171C2"/>
    <w:rsid w:val="278FE684"/>
    <w:rsid w:val="27B74E68"/>
    <w:rsid w:val="27F8A32E"/>
    <w:rsid w:val="283BEFC2"/>
    <w:rsid w:val="2840C568"/>
    <w:rsid w:val="28A71C88"/>
    <w:rsid w:val="293873F1"/>
    <w:rsid w:val="29AE2BBD"/>
    <w:rsid w:val="29E60E44"/>
    <w:rsid w:val="2B374CDD"/>
    <w:rsid w:val="2BADCAA5"/>
    <w:rsid w:val="2C042083"/>
    <w:rsid w:val="2C791F08"/>
    <w:rsid w:val="2D3BF17D"/>
    <w:rsid w:val="2D6D6FFA"/>
    <w:rsid w:val="2D754C00"/>
    <w:rsid w:val="2DD48230"/>
    <w:rsid w:val="2E096EED"/>
    <w:rsid w:val="2FD4891D"/>
    <w:rsid w:val="304498A5"/>
    <w:rsid w:val="312C6DE6"/>
    <w:rsid w:val="316A9477"/>
    <w:rsid w:val="31C282F2"/>
    <w:rsid w:val="33862627"/>
    <w:rsid w:val="33C13D86"/>
    <w:rsid w:val="33CE914B"/>
    <w:rsid w:val="343D3721"/>
    <w:rsid w:val="34A60413"/>
    <w:rsid w:val="34DA0AEC"/>
    <w:rsid w:val="3524429B"/>
    <w:rsid w:val="359FE07B"/>
    <w:rsid w:val="361E8B98"/>
    <w:rsid w:val="374A01E7"/>
    <w:rsid w:val="376F427C"/>
    <w:rsid w:val="37B8D1EC"/>
    <w:rsid w:val="382B0805"/>
    <w:rsid w:val="3864D6E2"/>
    <w:rsid w:val="38A4E2F0"/>
    <w:rsid w:val="39A73AED"/>
    <w:rsid w:val="39CB6CB8"/>
    <w:rsid w:val="3AC04AA5"/>
    <w:rsid w:val="3B1BF4AC"/>
    <w:rsid w:val="3C7CEAA2"/>
    <w:rsid w:val="3D70DFC8"/>
    <w:rsid w:val="3DC2CAAB"/>
    <w:rsid w:val="3EAFE7BD"/>
    <w:rsid w:val="3FF12CFC"/>
    <w:rsid w:val="407EFD2F"/>
    <w:rsid w:val="40A2675A"/>
    <w:rsid w:val="40C2FC9F"/>
    <w:rsid w:val="42B6A197"/>
    <w:rsid w:val="4330B0D9"/>
    <w:rsid w:val="436D6DA3"/>
    <w:rsid w:val="4370670F"/>
    <w:rsid w:val="43C339B2"/>
    <w:rsid w:val="44F88E0D"/>
    <w:rsid w:val="45C4C94B"/>
    <w:rsid w:val="463FC89E"/>
    <w:rsid w:val="4667DD87"/>
    <w:rsid w:val="467D4436"/>
    <w:rsid w:val="475B7CA3"/>
    <w:rsid w:val="479ABDC3"/>
    <w:rsid w:val="488758C1"/>
    <w:rsid w:val="49AB6018"/>
    <w:rsid w:val="4A18EC52"/>
    <w:rsid w:val="4A2623B9"/>
    <w:rsid w:val="4ACEB04F"/>
    <w:rsid w:val="4B0BE881"/>
    <w:rsid w:val="4B830D50"/>
    <w:rsid w:val="4BBACDC5"/>
    <w:rsid w:val="4BE5CA05"/>
    <w:rsid w:val="4C1E6EBC"/>
    <w:rsid w:val="4D8020AA"/>
    <w:rsid w:val="4DDBDCF9"/>
    <w:rsid w:val="4E66AC52"/>
    <w:rsid w:val="4FDB5727"/>
    <w:rsid w:val="5023AB03"/>
    <w:rsid w:val="50C38516"/>
    <w:rsid w:val="51C86A7C"/>
    <w:rsid w:val="52C1EDCF"/>
    <w:rsid w:val="530FE1DE"/>
    <w:rsid w:val="54C46A5D"/>
    <w:rsid w:val="555E180B"/>
    <w:rsid w:val="5635AE34"/>
    <w:rsid w:val="56E58962"/>
    <w:rsid w:val="574A97F6"/>
    <w:rsid w:val="574BE4A3"/>
    <w:rsid w:val="57554036"/>
    <w:rsid w:val="58745D2D"/>
    <w:rsid w:val="595BC701"/>
    <w:rsid w:val="59E59A3D"/>
    <w:rsid w:val="5A4EDC87"/>
    <w:rsid w:val="5A76620C"/>
    <w:rsid w:val="5AA2422B"/>
    <w:rsid w:val="5B50AC16"/>
    <w:rsid w:val="5B768D24"/>
    <w:rsid w:val="5B882B9C"/>
    <w:rsid w:val="5C06891D"/>
    <w:rsid w:val="5CE6A65A"/>
    <w:rsid w:val="5CE71FDF"/>
    <w:rsid w:val="5D3940A9"/>
    <w:rsid w:val="5D462EA4"/>
    <w:rsid w:val="5E1D9CED"/>
    <w:rsid w:val="5E8EDB4F"/>
    <w:rsid w:val="5E95C12F"/>
    <w:rsid w:val="5EC6323D"/>
    <w:rsid w:val="5F404439"/>
    <w:rsid w:val="5FDA5337"/>
    <w:rsid w:val="616DDEEA"/>
    <w:rsid w:val="617704BF"/>
    <w:rsid w:val="619C2C0A"/>
    <w:rsid w:val="6368E941"/>
    <w:rsid w:val="639276D5"/>
    <w:rsid w:val="63D3E6CC"/>
    <w:rsid w:val="63D5E846"/>
    <w:rsid w:val="64900F9C"/>
    <w:rsid w:val="6496EB08"/>
    <w:rsid w:val="64AEB476"/>
    <w:rsid w:val="6517747E"/>
    <w:rsid w:val="65ADDAE9"/>
    <w:rsid w:val="65B1D099"/>
    <w:rsid w:val="65C5B585"/>
    <w:rsid w:val="65D2AC8F"/>
    <w:rsid w:val="669B8045"/>
    <w:rsid w:val="673E99E5"/>
    <w:rsid w:val="67522573"/>
    <w:rsid w:val="683EEE1B"/>
    <w:rsid w:val="6913F009"/>
    <w:rsid w:val="69C0B389"/>
    <w:rsid w:val="69F5ADD5"/>
    <w:rsid w:val="6A09C0FB"/>
    <w:rsid w:val="6B4CF3C1"/>
    <w:rsid w:val="6CE18233"/>
    <w:rsid w:val="6D8F3510"/>
    <w:rsid w:val="6DE19DF1"/>
    <w:rsid w:val="6E042A23"/>
    <w:rsid w:val="6E6D29D1"/>
    <w:rsid w:val="6E9BB477"/>
    <w:rsid w:val="6EB5226B"/>
    <w:rsid w:val="6EE003F7"/>
    <w:rsid w:val="70362C74"/>
    <w:rsid w:val="707E447D"/>
    <w:rsid w:val="70ABC7D4"/>
    <w:rsid w:val="70D32D6F"/>
    <w:rsid w:val="70EB0E39"/>
    <w:rsid w:val="70EDC9DA"/>
    <w:rsid w:val="713F974F"/>
    <w:rsid w:val="721C6DCC"/>
    <w:rsid w:val="72EAA3F9"/>
    <w:rsid w:val="738BCAD5"/>
    <w:rsid w:val="74652A1A"/>
    <w:rsid w:val="7489C93A"/>
    <w:rsid w:val="750A3792"/>
    <w:rsid w:val="75977348"/>
    <w:rsid w:val="75F480AF"/>
    <w:rsid w:val="7613E8DC"/>
    <w:rsid w:val="76C3C5B3"/>
    <w:rsid w:val="783D9A11"/>
    <w:rsid w:val="793368C4"/>
    <w:rsid w:val="794FA834"/>
    <w:rsid w:val="7954F0D2"/>
    <w:rsid w:val="7AC7DF2D"/>
    <w:rsid w:val="7B801CBA"/>
    <w:rsid w:val="7B9C1DF7"/>
    <w:rsid w:val="7CAD1DA4"/>
    <w:rsid w:val="7D0A57A5"/>
    <w:rsid w:val="7DD6CA99"/>
    <w:rsid w:val="7ED96D17"/>
    <w:rsid w:val="7EE9ACB1"/>
    <w:rsid w:val="7F8E3F50"/>
    <w:rsid w:val="7F90BB10"/>
    <w:rsid w:val="7F90FFF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31B30E"/>
  <w15:docId w15:val="{8F3A32A7-1BC7-4245-BD20-B4FD1745C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B5B0C"/>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ED1DE7"/>
    <w:pPr>
      <w:keepNext/>
      <w:spacing w:before="120" w:after="120"/>
      <w:ind w:left="357" w:hanging="357"/>
      <w:outlineLvl w:val="2"/>
    </w:pPr>
    <w:rPr>
      <w:rFonts w:ascii="Arial" w:hAnsi="Arial" w:cs="Arial"/>
      <w:b/>
      <w:bCs/>
      <w:color w:val="1E1545" w:themeColor="text1"/>
      <w:sz w:val="24"/>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Normal"/>
    <w:qFormat/>
    <w:rsid w:val="00B87988"/>
    <w:pPr>
      <w:numPr>
        <w:numId w:val="2"/>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qFormat/>
    <w:rsid w:val="00945C24"/>
    <w:pPr>
      <w:ind w:left="1134"/>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5"/>
      </w:numPr>
    </w:pPr>
  </w:style>
  <w:style w:type="paragraph" w:customStyle="1" w:styleId="Tablelistnumber">
    <w:name w:val="Table list number"/>
    <w:basedOn w:val="Tabletext"/>
    <w:qFormat/>
    <w:rsid w:val="00BF7AD7"/>
    <w:pPr>
      <w:numPr>
        <w:numId w:val="6"/>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E91927"/>
    <w:pPr>
      <w:spacing w:after="200"/>
    </w:pPr>
    <w:rPr>
      <w:b/>
      <w:bCs/>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unhideWhenUsed/>
    <w:qFormat/>
    <w:rsid w:val="00BF7AD7"/>
  </w:style>
  <w:style w:type="character" w:customStyle="1" w:styleId="BodyTextChar">
    <w:name w:val="Body Text Char"/>
    <w:basedOn w:val="DefaultParagraphFont"/>
    <w:link w:val="BodyText"/>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9"/>
      </w:numPr>
    </w:pPr>
  </w:style>
  <w:style w:type="numbering" w:customStyle="1" w:styleId="CurrentList1">
    <w:name w:val="Current List1"/>
    <w:uiPriority w:val="99"/>
    <w:rsid w:val="008E6354"/>
    <w:pPr>
      <w:numPr>
        <w:numId w:val="10"/>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430605"/>
    <w:pPr>
      <w:pBdr>
        <w:top w:val="single" w:sz="6" w:space="1" w:color="2AB1BB" w:themeColor="accent1"/>
        <w:bottom w:val="single" w:sz="6" w:space="1" w:color="2AB1BB" w:themeColor="accent1"/>
        <w:between w:val="single" w:sz="6" w:space="1" w:color="2AB1BB" w:themeColor="accent1"/>
      </w:pBdr>
      <w:tabs>
        <w:tab w:val="left" w:pos="480"/>
        <w:tab w:val="right" w:leader="dot" w:pos="9060"/>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pPr>
    <w:rPr>
      <w:rFonts w:cstheme="minorHAnsi"/>
      <w:noProof/>
      <w:szCs w:val="20"/>
    </w:rPr>
  </w:style>
  <w:style w:type="paragraph" w:styleId="TOC4">
    <w:name w:val="toc 4"/>
    <w:basedOn w:val="Normal"/>
    <w:next w:val="Normal"/>
    <w:autoRedefine/>
    <w:uiPriority w:val="39"/>
    <w:unhideWhenUsed/>
    <w:rsid w:val="00DD6906"/>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DD6906"/>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DD6906"/>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DD6906"/>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DD6906"/>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DD6906"/>
    <w:pPr>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table" w:customStyle="1" w:styleId="SLP21">
    <w:name w:val="SLP21"/>
    <w:basedOn w:val="TableNormal"/>
    <w:uiPriority w:val="99"/>
    <w:rsid w:val="002A124D"/>
    <w:pPr>
      <w:spacing w:before="120" w:after="40" w:line="200" w:lineRule="exact"/>
    </w:pPr>
    <w:rPr>
      <w:rFonts w:asciiTheme="minorHAnsi" w:eastAsiaTheme="minorHAnsi" w:hAnsiTheme="minorHAnsi" w:cs="Times New Roman (Body CS)"/>
      <w:color w:val="1E1545"/>
      <w:sz w:val="16"/>
      <w:szCs w:val="24"/>
      <w:lang w:eastAsia="en-US"/>
    </w:rPr>
    <w:tblPr>
      <w:tblStyleRowBandSize w:val="1"/>
      <w:tblBorders>
        <w:top w:val="single" w:sz="4" w:space="0" w:color="2AB1BB"/>
        <w:left w:val="single" w:sz="4" w:space="0" w:color="2AB1BB"/>
        <w:bottom w:val="single" w:sz="4" w:space="0" w:color="2AB1BB"/>
        <w:right w:val="single" w:sz="4" w:space="0" w:color="2AB1BB"/>
        <w:insideH w:val="single" w:sz="4" w:space="0" w:color="2AB1BB"/>
        <w:insideV w:val="single" w:sz="4" w:space="0" w:color="2AB1BB"/>
      </w:tblBorders>
      <w:tblCellMar>
        <w:top w:w="113" w:type="dxa"/>
        <w:left w:w="113" w:type="dxa"/>
        <w:bottom w:w="113" w:type="dxa"/>
        <w:right w:w="113" w:type="dxa"/>
      </w:tblCellMar>
    </w:tblPr>
    <w:trPr>
      <w:cantSplit/>
    </w:trPr>
    <w:tcPr>
      <w:shd w:val="clear" w:color="auto" w:fill="auto"/>
    </w:tcPr>
    <w:tblStylePr w:type="firstRow">
      <w:pPr>
        <w:wordWrap/>
        <w:spacing w:beforeLines="0" w:before="240" w:beforeAutospacing="0" w:afterLines="0" w:after="0" w:afterAutospacing="0" w:line="210" w:lineRule="exact"/>
      </w:pPr>
      <w:rPr>
        <w:rFonts w:ascii="Helvetica" w:hAnsi="Helvetica"/>
        <w:b/>
        <w:color w:val="auto"/>
        <w:sz w:val="16"/>
      </w:rPr>
      <w:tblPr/>
      <w:tcPr>
        <w:tcBorders>
          <w:top w:val="single" w:sz="4" w:space="0" w:color="2AB1BB"/>
          <w:left w:val="single" w:sz="4" w:space="0" w:color="2AB1BB"/>
          <w:bottom w:val="single" w:sz="4" w:space="0" w:color="2AB1BB"/>
          <w:right w:val="single" w:sz="4" w:space="0" w:color="2AB1BB"/>
          <w:insideH w:val="single" w:sz="4" w:space="0" w:color="2AB1BB"/>
          <w:insideV w:val="single" w:sz="4" w:space="0" w:color="FFFFFF"/>
          <w:tl2br w:val="nil"/>
          <w:tr2bl w:val="nil"/>
        </w:tcBorders>
        <w:shd w:val="clear" w:color="auto" w:fill="2AB1BB"/>
      </w:tcPr>
    </w:tblStylePr>
    <w:tblStylePr w:type="band1Horz">
      <w:rPr>
        <w:rFonts w:ascii="Helvetica" w:hAnsi="Helvetica"/>
      </w:rPr>
    </w:tblStylePr>
  </w:style>
  <w:style w:type="character" w:styleId="UnresolvedMention">
    <w:name w:val="Unresolved Mention"/>
    <w:basedOn w:val="DefaultParagraphFont"/>
    <w:uiPriority w:val="99"/>
    <w:semiHidden/>
    <w:unhideWhenUsed/>
    <w:rsid w:val="002A124D"/>
    <w:rPr>
      <w:color w:val="605E5C"/>
      <w:shd w:val="clear" w:color="auto" w:fill="E1DFDD"/>
    </w:rPr>
  </w:style>
  <w:style w:type="character" w:styleId="CommentReference">
    <w:name w:val="annotation reference"/>
    <w:basedOn w:val="DefaultParagraphFont"/>
    <w:uiPriority w:val="99"/>
    <w:unhideWhenUsed/>
    <w:rsid w:val="002A124D"/>
    <w:rPr>
      <w:sz w:val="16"/>
      <w:szCs w:val="16"/>
    </w:rPr>
  </w:style>
  <w:style w:type="paragraph" w:styleId="CommentText">
    <w:name w:val="annotation text"/>
    <w:basedOn w:val="Normal"/>
    <w:link w:val="CommentTextChar"/>
    <w:uiPriority w:val="99"/>
    <w:unhideWhenUsed/>
    <w:rsid w:val="002A124D"/>
    <w:pPr>
      <w:widowControl w:val="0"/>
      <w:autoSpaceDE w:val="0"/>
      <w:autoSpaceDN w:val="0"/>
    </w:pPr>
    <w:rPr>
      <w:rFonts w:ascii="Calibri" w:eastAsia="Calibri" w:hAnsi="Calibri" w:cs="Calibri"/>
      <w:color w:val="auto"/>
      <w:sz w:val="20"/>
      <w:szCs w:val="20"/>
      <w:lang w:val="en-US"/>
    </w:rPr>
  </w:style>
  <w:style w:type="character" w:customStyle="1" w:styleId="CommentTextChar">
    <w:name w:val="Comment Text Char"/>
    <w:basedOn w:val="DefaultParagraphFont"/>
    <w:link w:val="CommentText"/>
    <w:uiPriority w:val="99"/>
    <w:rsid w:val="002A124D"/>
    <w:rPr>
      <w:rFonts w:ascii="Calibri" w:eastAsia="Calibri" w:hAnsi="Calibri" w:cs="Calibri"/>
      <w:lang w:val="en-US" w:eastAsia="en-US"/>
    </w:rPr>
  </w:style>
  <w:style w:type="character" w:customStyle="1" w:styleId="Heading3Char">
    <w:name w:val="Heading 3 Char"/>
    <w:basedOn w:val="DefaultParagraphFont"/>
    <w:link w:val="Heading3"/>
    <w:rsid w:val="00ED1DE7"/>
    <w:rPr>
      <w:rFonts w:ascii="Arial" w:hAnsi="Arial" w:cs="Arial"/>
      <w:b/>
      <w:bCs/>
      <w:color w:val="1E1545" w:themeColor="text1"/>
      <w:sz w:val="24"/>
      <w:szCs w:val="24"/>
      <w:lang w:eastAsia="en-US"/>
    </w:rPr>
  </w:style>
  <w:style w:type="paragraph" w:styleId="CommentSubject">
    <w:name w:val="annotation subject"/>
    <w:basedOn w:val="CommentText"/>
    <w:next w:val="CommentText"/>
    <w:link w:val="CommentSubjectChar"/>
    <w:semiHidden/>
    <w:unhideWhenUsed/>
    <w:rsid w:val="00B2504C"/>
    <w:pPr>
      <w:widowControl/>
      <w:autoSpaceDE/>
      <w:autoSpaceDN/>
    </w:pPr>
    <w:rPr>
      <w:rFonts w:ascii="Arial" w:eastAsia="Times New Roman" w:hAnsi="Arial" w:cs="Times New Roman"/>
      <w:b/>
      <w:bCs/>
      <w:color w:val="1E1545" w:themeColor="text1"/>
      <w:lang w:val="en-AU"/>
    </w:rPr>
  </w:style>
  <w:style w:type="character" w:customStyle="1" w:styleId="CommentSubjectChar">
    <w:name w:val="Comment Subject Char"/>
    <w:basedOn w:val="CommentTextChar"/>
    <w:link w:val="CommentSubject"/>
    <w:semiHidden/>
    <w:rsid w:val="00B2504C"/>
    <w:rPr>
      <w:rFonts w:ascii="Arial" w:eastAsia="Calibri" w:hAnsi="Arial" w:cs="Calibri"/>
      <w:b/>
      <w:bCs/>
      <w:color w:val="1E1545" w:themeColor="text1"/>
      <w:lang w:val="en-US" w:eastAsia="en-US"/>
    </w:rPr>
  </w:style>
  <w:style w:type="numbering" w:customStyle="1" w:styleId="NumberedCheckmarkBulletsNumbers">
    <w:name w:val="Numbered Checkmark Bullets &amp; Numbers"/>
    <w:basedOn w:val="NoList"/>
    <w:uiPriority w:val="99"/>
    <w:rsid w:val="00D40207"/>
    <w:pPr>
      <w:numPr>
        <w:numId w:val="11"/>
      </w:numPr>
    </w:pPr>
  </w:style>
  <w:style w:type="character" w:styleId="FollowedHyperlink">
    <w:name w:val="FollowedHyperlink"/>
    <w:basedOn w:val="DefaultParagraphFont"/>
    <w:semiHidden/>
    <w:unhideWhenUsed/>
    <w:rsid w:val="002A017F"/>
    <w:rPr>
      <w:color w:val="000000" w:themeColor="followedHyperlink"/>
      <w:u w:val="single"/>
    </w:rPr>
  </w:style>
  <w:style w:type="paragraph" w:styleId="Revision">
    <w:name w:val="Revision"/>
    <w:hidden/>
    <w:uiPriority w:val="99"/>
    <w:semiHidden/>
    <w:rsid w:val="000B2549"/>
    <w:rPr>
      <w:rFonts w:ascii="Arial" w:hAnsi="Arial"/>
      <w:color w:val="1E1545" w:themeColor="text1"/>
      <w:sz w:val="24"/>
      <w:szCs w:val="24"/>
      <w:lang w:eastAsia="en-US"/>
    </w:rPr>
  </w:style>
  <w:style w:type="character" w:styleId="HTMLTypewriter">
    <w:name w:val="HTML Typewriter"/>
    <w:basedOn w:val="DefaultParagraphFont"/>
    <w:uiPriority w:val="99"/>
    <w:semiHidden/>
    <w:unhideWhenUsed/>
    <w:rsid w:val="001B6F0A"/>
    <w:rPr>
      <w:rFonts w:ascii="Courier New" w:eastAsiaTheme="minorHAnsi" w:hAnsi="Courier New" w:cs="Courier New" w:hint="default"/>
      <w:sz w:val="20"/>
      <w:szCs w:val="20"/>
    </w:rPr>
  </w:style>
  <w:style w:type="character" w:customStyle="1" w:styleId="ui-provider">
    <w:name w:val="ui-provider"/>
    <w:basedOn w:val="DefaultParagraphFont"/>
    <w:rsid w:val="00114F48"/>
  </w:style>
  <w:style w:type="numbering" w:customStyle="1" w:styleId="Style3">
    <w:name w:val="Style3"/>
    <w:uiPriority w:val="99"/>
    <w:rsid w:val="00632482"/>
    <w:pPr>
      <w:numPr>
        <w:numId w:val="12"/>
      </w:numPr>
    </w:pPr>
  </w:style>
  <w:style w:type="paragraph" w:styleId="ListBullet">
    <w:name w:val="List Bullet"/>
    <w:basedOn w:val="Normal"/>
    <w:unhideWhenUsed/>
    <w:qFormat/>
    <w:rsid w:val="00DA1AE1"/>
    <w:pPr>
      <w:numPr>
        <w:numId w:val="14"/>
      </w:numPr>
      <w:contextualSpacing/>
    </w:pPr>
  </w:style>
  <w:style w:type="paragraph" w:customStyle="1" w:styleId="Normal1">
    <w:name w:val="Normal 1"/>
    <w:basedOn w:val="Normal"/>
    <w:link w:val="Normal1Char"/>
    <w:qFormat/>
    <w:rsid w:val="00496A4E"/>
  </w:style>
  <w:style w:type="character" w:customStyle="1" w:styleId="Normal1Char">
    <w:name w:val="Normal 1 Char"/>
    <w:basedOn w:val="DefaultParagraphFont"/>
    <w:link w:val="Normal1"/>
    <w:rsid w:val="00496A4E"/>
    <w:rPr>
      <w:rFonts w:ascii="Arial" w:hAnsi="Arial"/>
      <w:color w:val="1E1545" w:themeColor="text1"/>
      <w:sz w:val="24"/>
      <w:szCs w:val="24"/>
      <w:lang w:eastAsia="en-US"/>
    </w:rPr>
  </w:style>
  <w:style w:type="character" w:styleId="Mention">
    <w:name w:val="Mention"/>
    <w:basedOn w:val="DefaultParagraphFont"/>
    <w:uiPriority w:val="99"/>
    <w:unhideWhenUsed/>
    <w:rsid w:val="00EE36B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6014">
      <w:bodyDiv w:val="1"/>
      <w:marLeft w:val="0"/>
      <w:marRight w:val="0"/>
      <w:marTop w:val="0"/>
      <w:marBottom w:val="0"/>
      <w:divBdr>
        <w:top w:val="none" w:sz="0" w:space="0" w:color="auto"/>
        <w:left w:val="none" w:sz="0" w:space="0" w:color="auto"/>
        <w:bottom w:val="none" w:sz="0" w:space="0" w:color="auto"/>
        <w:right w:val="none" w:sz="0" w:space="0" w:color="auto"/>
      </w:divBdr>
    </w:div>
    <w:div w:id="38938799">
      <w:bodyDiv w:val="1"/>
      <w:marLeft w:val="0"/>
      <w:marRight w:val="0"/>
      <w:marTop w:val="0"/>
      <w:marBottom w:val="0"/>
      <w:divBdr>
        <w:top w:val="none" w:sz="0" w:space="0" w:color="auto"/>
        <w:left w:val="none" w:sz="0" w:space="0" w:color="auto"/>
        <w:bottom w:val="none" w:sz="0" w:space="0" w:color="auto"/>
        <w:right w:val="none" w:sz="0" w:space="0" w:color="auto"/>
      </w:divBdr>
    </w:div>
    <w:div w:id="113208624">
      <w:bodyDiv w:val="1"/>
      <w:marLeft w:val="0"/>
      <w:marRight w:val="0"/>
      <w:marTop w:val="0"/>
      <w:marBottom w:val="0"/>
      <w:divBdr>
        <w:top w:val="none" w:sz="0" w:space="0" w:color="auto"/>
        <w:left w:val="none" w:sz="0" w:space="0" w:color="auto"/>
        <w:bottom w:val="none" w:sz="0" w:space="0" w:color="auto"/>
        <w:right w:val="none" w:sz="0" w:space="0" w:color="auto"/>
      </w:divBdr>
    </w:div>
    <w:div w:id="155192054">
      <w:bodyDiv w:val="1"/>
      <w:marLeft w:val="0"/>
      <w:marRight w:val="0"/>
      <w:marTop w:val="0"/>
      <w:marBottom w:val="0"/>
      <w:divBdr>
        <w:top w:val="none" w:sz="0" w:space="0" w:color="auto"/>
        <w:left w:val="none" w:sz="0" w:space="0" w:color="auto"/>
        <w:bottom w:val="none" w:sz="0" w:space="0" w:color="auto"/>
        <w:right w:val="none" w:sz="0" w:space="0" w:color="auto"/>
      </w:divBdr>
    </w:div>
    <w:div w:id="171919912">
      <w:bodyDiv w:val="1"/>
      <w:marLeft w:val="0"/>
      <w:marRight w:val="0"/>
      <w:marTop w:val="0"/>
      <w:marBottom w:val="0"/>
      <w:divBdr>
        <w:top w:val="none" w:sz="0" w:space="0" w:color="auto"/>
        <w:left w:val="none" w:sz="0" w:space="0" w:color="auto"/>
        <w:bottom w:val="none" w:sz="0" w:space="0" w:color="auto"/>
        <w:right w:val="none" w:sz="0" w:space="0" w:color="auto"/>
      </w:divBdr>
    </w:div>
    <w:div w:id="249124721">
      <w:bodyDiv w:val="1"/>
      <w:marLeft w:val="0"/>
      <w:marRight w:val="0"/>
      <w:marTop w:val="0"/>
      <w:marBottom w:val="0"/>
      <w:divBdr>
        <w:top w:val="none" w:sz="0" w:space="0" w:color="auto"/>
        <w:left w:val="none" w:sz="0" w:space="0" w:color="auto"/>
        <w:bottom w:val="none" w:sz="0" w:space="0" w:color="auto"/>
        <w:right w:val="none" w:sz="0" w:space="0" w:color="auto"/>
      </w:divBdr>
    </w:div>
    <w:div w:id="342248801">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99837587">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47046892">
      <w:bodyDiv w:val="1"/>
      <w:marLeft w:val="0"/>
      <w:marRight w:val="0"/>
      <w:marTop w:val="0"/>
      <w:marBottom w:val="0"/>
      <w:divBdr>
        <w:top w:val="none" w:sz="0" w:space="0" w:color="auto"/>
        <w:left w:val="none" w:sz="0" w:space="0" w:color="auto"/>
        <w:bottom w:val="none" w:sz="0" w:space="0" w:color="auto"/>
        <w:right w:val="none" w:sz="0" w:space="0" w:color="auto"/>
      </w:divBdr>
    </w:div>
    <w:div w:id="464935355">
      <w:bodyDiv w:val="1"/>
      <w:marLeft w:val="0"/>
      <w:marRight w:val="0"/>
      <w:marTop w:val="0"/>
      <w:marBottom w:val="0"/>
      <w:divBdr>
        <w:top w:val="none" w:sz="0" w:space="0" w:color="auto"/>
        <w:left w:val="none" w:sz="0" w:space="0" w:color="auto"/>
        <w:bottom w:val="none" w:sz="0" w:space="0" w:color="auto"/>
        <w:right w:val="none" w:sz="0" w:space="0" w:color="auto"/>
      </w:divBdr>
    </w:div>
    <w:div w:id="5599431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1858533">
      <w:bodyDiv w:val="1"/>
      <w:marLeft w:val="0"/>
      <w:marRight w:val="0"/>
      <w:marTop w:val="0"/>
      <w:marBottom w:val="0"/>
      <w:divBdr>
        <w:top w:val="none" w:sz="0" w:space="0" w:color="auto"/>
        <w:left w:val="none" w:sz="0" w:space="0" w:color="auto"/>
        <w:bottom w:val="none" w:sz="0" w:space="0" w:color="auto"/>
        <w:right w:val="none" w:sz="0" w:space="0" w:color="auto"/>
      </w:divBdr>
    </w:div>
    <w:div w:id="660618374">
      <w:bodyDiv w:val="1"/>
      <w:marLeft w:val="0"/>
      <w:marRight w:val="0"/>
      <w:marTop w:val="0"/>
      <w:marBottom w:val="0"/>
      <w:divBdr>
        <w:top w:val="none" w:sz="0" w:space="0" w:color="auto"/>
        <w:left w:val="none" w:sz="0" w:space="0" w:color="auto"/>
        <w:bottom w:val="none" w:sz="0" w:space="0" w:color="auto"/>
        <w:right w:val="none" w:sz="0" w:space="0" w:color="auto"/>
      </w:divBdr>
    </w:div>
    <w:div w:id="701978570">
      <w:bodyDiv w:val="1"/>
      <w:marLeft w:val="0"/>
      <w:marRight w:val="0"/>
      <w:marTop w:val="0"/>
      <w:marBottom w:val="0"/>
      <w:divBdr>
        <w:top w:val="none" w:sz="0" w:space="0" w:color="auto"/>
        <w:left w:val="none" w:sz="0" w:space="0" w:color="auto"/>
        <w:bottom w:val="none" w:sz="0" w:space="0" w:color="auto"/>
        <w:right w:val="none" w:sz="0" w:space="0" w:color="auto"/>
      </w:divBdr>
    </w:div>
    <w:div w:id="726685972">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49153520">
      <w:bodyDiv w:val="1"/>
      <w:marLeft w:val="0"/>
      <w:marRight w:val="0"/>
      <w:marTop w:val="0"/>
      <w:marBottom w:val="0"/>
      <w:divBdr>
        <w:top w:val="none" w:sz="0" w:space="0" w:color="auto"/>
        <w:left w:val="none" w:sz="0" w:space="0" w:color="auto"/>
        <w:bottom w:val="none" w:sz="0" w:space="0" w:color="auto"/>
        <w:right w:val="none" w:sz="0" w:space="0" w:color="auto"/>
      </w:divBdr>
    </w:div>
    <w:div w:id="782529560">
      <w:bodyDiv w:val="1"/>
      <w:marLeft w:val="0"/>
      <w:marRight w:val="0"/>
      <w:marTop w:val="0"/>
      <w:marBottom w:val="0"/>
      <w:divBdr>
        <w:top w:val="none" w:sz="0" w:space="0" w:color="auto"/>
        <w:left w:val="none" w:sz="0" w:space="0" w:color="auto"/>
        <w:bottom w:val="none" w:sz="0" w:space="0" w:color="auto"/>
        <w:right w:val="none" w:sz="0" w:space="0" w:color="auto"/>
      </w:divBdr>
    </w:div>
    <w:div w:id="920454590">
      <w:bodyDiv w:val="1"/>
      <w:marLeft w:val="0"/>
      <w:marRight w:val="0"/>
      <w:marTop w:val="0"/>
      <w:marBottom w:val="0"/>
      <w:divBdr>
        <w:top w:val="none" w:sz="0" w:space="0" w:color="auto"/>
        <w:left w:val="none" w:sz="0" w:space="0" w:color="auto"/>
        <w:bottom w:val="none" w:sz="0" w:space="0" w:color="auto"/>
        <w:right w:val="none" w:sz="0" w:space="0" w:color="auto"/>
      </w:divBdr>
    </w:div>
    <w:div w:id="1012562340">
      <w:bodyDiv w:val="1"/>
      <w:marLeft w:val="0"/>
      <w:marRight w:val="0"/>
      <w:marTop w:val="0"/>
      <w:marBottom w:val="0"/>
      <w:divBdr>
        <w:top w:val="none" w:sz="0" w:space="0" w:color="auto"/>
        <w:left w:val="none" w:sz="0" w:space="0" w:color="auto"/>
        <w:bottom w:val="none" w:sz="0" w:space="0" w:color="auto"/>
        <w:right w:val="none" w:sz="0" w:space="0" w:color="auto"/>
      </w:divBdr>
    </w:div>
    <w:div w:id="1030843297">
      <w:bodyDiv w:val="1"/>
      <w:marLeft w:val="0"/>
      <w:marRight w:val="0"/>
      <w:marTop w:val="0"/>
      <w:marBottom w:val="0"/>
      <w:divBdr>
        <w:top w:val="none" w:sz="0" w:space="0" w:color="auto"/>
        <w:left w:val="none" w:sz="0" w:space="0" w:color="auto"/>
        <w:bottom w:val="none" w:sz="0" w:space="0" w:color="auto"/>
        <w:right w:val="none" w:sz="0" w:space="0" w:color="auto"/>
      </w:divBdr>
    </w:div>
    <w:div w:id="1040671699">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47036018">
      <w:bodyDiv w:val="1"/>
      <w:marLeft w:val="0"/>
      <w:marRight w:val="0"/>
      <w:marTop w:val="0"/>
      <w:marBottom w:val="0"/>
      <w:divBdr>
        <w:top w:val="none" w:sz="0" w:space="0" w:color="auto"/>
        <w:left w:val="none" w:sz="0" w:space="0" w:color="auto"/>
        <w:bottom w:val="none" w:sz="0" w:space="0" w:color="auto"/>
        <w:right w:val="none" w:sz="0" w:space="0" w:color="auto"/>
      </w:divBdr>
    </w:div>
    <w:div w:id="1407385776">
      <w:bodyDiv w:val="1"/>
      <w:marLeft w:val="0"/>
      <w:marRight w:val="0"/>
      <w:marTop w:val="0"/>
      <w:marBottom w:val="0"/>
      <w:divBdr>
        <w:top w:val="none" w:sz="0" w:space="0" w:color="auto"/>
        <w:left w:val="none" w:sz="0" w:space="0" w:color="auto"/>
        <w:bottom w:val="none" w:sz="0" w:space="0" w:color="auto"/>
        <w:right w:val="none" w:sz="0" w:space="0" w:color="auto"/>
      </w:divBdr>
    </w:div>
    <w:div w:id="1447694549">
      <w:bodyDiv w:val="1"/>
      <w:marLeft w:val="0"/>
      <w:marRight w:val="0"/>
      <w:marTop w:val="0"/>
      <w:marBottom w:val="0"/>
      <w:divBdr>
        <w:top w:val="none" w:sz="0" w:space="0" w:color="auto"/>
        <w:left w:val="none" w:sz="0" w:space="0" w:color="auto"/>
        <w:bottom w:val="none" w:sz="0" w:space="0" w:color="auto"/>
        <w:right w:val="none" w:sz="0" w:space="0" w:color="auto"/>
      </w:divBdr>
    </w:div>
    <w:div w:id="1494488513">
      <w:bodyDiv w:val="1"/>
      <w:marLeft w:val="0"/>
      <w:marRight w:val="0"/>
      <w:marTop w:val="0"/>
      <w:marBottom w:val="0"/>
      <w:divBdr>
        <w:top w:val="none" w:sz="0" w:space="0" w:color="auto"/>
        <w:left w:val="none" w:sz="0" w:space="0" w:color="auto"/>
        <w:bottom w:val="none" w:sz="0" w:space="0" w:color="auto"/>
        <w:right w:val="none" w:sz="0" w:space="0" w:color="auto"/>
      </w:divBdr>
    </w:div>
    <w:div w:id="1523398501">
      <w:bodyDiv w:val="1"/>
      <w:marLeft w:val="0"/>
      <w:marRight w:val="0"/>
      <w:marTop w:val="0"/>
      <w:marBottom w:val="0"/>
      <w:divBdr>
        <w:top w:val="none" w:sz="0" w:space="0" w:color="auto"/>
        <w:left w:val="none" w:sz="0" w:space="0" w:color="auto"/>
        <w:bottom w:val="none" w:sz="0" w:space="0" w:color="auto"/>
        <w:right w:val="none" w:sz="0" w:space="0" w:color="auto"/>
      </w:divBdr>
    </w:div>
    <w:div w:id="1696076625">
      <w:bodyDiv w:val="1"/>
      <w:marLeft w:val="0"/>
      <w:marRight w:val="0"/>
      <w:marTop w:val="0"/>
      <w:marBottom w:val="0"/>
      <w:divBdr>
        <w:top w:val="none" w:sz="0" w:space="0" w:color="auto"/>
        <w:left w:val="none" w:sz="0" w:space="0" w:color="auto"/>
        <w:bottom w:val="none" w:sz="0" w:space="0" w:color="auto"/>
        <w:right w:val="none" w:sz="0" w:space="0" w:color="auto"/>
      </w:divBdr>
    </w:div>
    <w:div w:id="1720546258">
      <w:bodyDiv w:val="1"/>
      <w:marLeft w:val="0"/>
      <w:marRight w:val="0"/>
      <w:marTop w:val="0"/>
      <w:marBottom w:val="0"/>
      <w:divBdr>
        <w:top w:val="none" w:sz="0" w:space="0" w:color="auto"/>
        <w:left w:val="none" w:sz="0" w:space="0" w:color="auto"/>
        <w:bottom w:val="none" w:sz="0" w:space="0" w:color="auto"/>
        <w:right w:val="none" w:sz="0" w:space="0" w:color="auto"/>
      </w:divBdr>
    </w:div>
    <w:div w:id="1725762068">
      <w:bodyDiv w:val="1"/>
      <w:marLeft w:val="0"/>
      <w:marRight w:val="0"/>
      <w:marTop w:val="0"/>
      <w:marBottom w:val="0"/>
      <w:divBdr>
        <w:top w:val="none" w:sz="0" w:space="0" w:color="auto"/>
        <w:left w:val="none" w:sz="0" w:space="0" w:color="auto"/>
        <w:bottom w:val="none" w:sz="0" w:space="0" w:color="auto"/>
        <w:right w:val="none" w:sz="0" w:space="0" w:color="auto"/>
      </w:divBdr>
    </w:div>
    <w:div w:id="1750158169">
      <w:bodyDiv w:val="1"/>
      <w:marLeft w:val="0"/>
      <w:marRight w:val="0"/>
      <w:marTop w:val="0"/>
      <w:marBottom w:val="0"/>
      <w:divBdr>
        <w:top w:val="none" w:sz="0" w:space="0" w:color="auto"/>
        <w:left w:val="none" w:sz="0" w:space="0" w:color="auto"/>
        <w:bottom w:val="none" w:sz="0" w:space="0" w:color="auto"/>
        <w:right w:val="none" w:sz="0" w:space="0" w:color="auto"/>
      </w:divBdr>
    </w:div>
    <w:div w:id="1811248360">
      <w:bodyDiv w:val="1"/>
      <w:marLeft w:val="0"/>
      <w:marRight w:val="0"/>
      <w:marTop w:val="0"/>
      <w:marBottom w:val="0"/>
      <w:divBdr>
        <w:top w:val="none" w:sz="0" w:space="0" w:color="auto"/>
        <w:left w:val="none" w:sz="0" w:space="0" w:color="auto"/>
        <w:bottom w:val="none" w:sz="0" w:space="0" w:color="auto"/>
        <w:right w:val="none" w:sz="0" w:space="0" w:color="auto"/>
      </w:divBdr>
    </w:div>
    <w:div w:id="1958872619">
      <w:bodyDiv w:val="1"/>
      <w:marLeft w:val="0"/>
      <w:marRight w:val="0"/>
      <w:marTop w:val="0"/>
      <w:marBottom w:val="0"/>
      <w:divBdr>
        <w:top w:val="none" w:sz="0" w:space="0" w:color="auto"/>
        <w:left w:val="none" w:sz="0" w:space="0" w:color="auto"/>
        <w:bottom w:val="none" w:sz="0" w:space="0" w:color="auto"/>
        <w:right w:val="none" w:sz="0" w:space="0" w:color="auto"/>
      </w:divBdr>
    </w:div>
    <w:div w:id="1991866770">
      <w:bodyDiv w:val="1"/>
      <w:marLeft w:val="0"/>
      <w:marRight w:val="0"/>
      <w:marTop w:val="0"/>
      <w:marBottom w:val="0"/>
      <w:divBdr>
        <w:top w:val="none" w:sz="0" w:space="0" w:color="auto"/>
        <w:left w:val="none" w:sz="0" w:space="0" w:color="auto"/>
        <w:bottom w:val="none" w:sz="0" w:space="0" w:color="auto"/>
        <w:right w:val="none" w:sz="0" w:space="0" w:color="auto"/>
      </w:divBdr>
    </w:div>
    <w:div w:id="1998456878">
      <w:bodyDiv w:val="1"/>
      <w:marLeft w:val="0"/>
      <w:marRight w:val="0"/>
      <w:marTop w:val="0"/>
      <w:marBottom w:val="0"/>
      <w:divBdr>
        <w:top w:val="none" w:sz="0" w:space="0" w:color="auto"/>
        <w:left w:val="none" w:sz="0" w:space="0" w:color="auto"/>
        <w:bottom w:val="none" w:sz="0" w:space="0" w:color="auto"/>
        <w:right w:val="none" w:sz="0" w:space="0" w:color="auto"/>
      </w:divBdr>
    </w:div>
    <w:div w:id="2045906209">
      <w:bodyDiv w:val="1"/>
      <w:marLeft w:val="0"/>
      <w:marRight w:val="0"/>
      <w:marTop w:val="0"/>
      <w:marBottom w:val="0"/>
      <w:divBdr>
        <w:top w:val="none" w:sz="0" w:space="0" w:color="auto"/>
        <w:left w:val="none" w:sz="0" w:space="0" w:color="auto"/>
        <w:bottom w:val="none" w:sz="0" w:space="0" w:color="auto"/>
        <w:right w:val="none" w:sz="0" w:space="0" w:color="auto"/>
      </w:divBdr>
    </w:div>
    <w:div w:id="2057850813">
      <w:bodyDiv w:val="1"/>
      <w:marLeft w:val="0"/>
      <w:marRight w:val="0"/>
      <w:marTop w:val="0"/>
      <w:marBottom w:val="0"/>
      <w:divBdr>
        <w:top w:val="none" w:sz="0" w:space="0" w:color="auto"/>
        <w:left w:val="none" w:sz="0" w:space="0" w:color="auto"/>
        <w:bottom w:val="none" w:sz="0" w:space="0" w:color="auto"/>
        <w:right w:val="none" w:sz="0" w:space="0" w:color="auto"/>
      </w:divBdr>
    </w:div>
    <w:div w:id="2111271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yperlink" Target="https://www.health.gov.au/resources/apps-and-tools/government-provider-management-system" TargetMode="External"/><Relationship Id="rId39"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yperlink" Target="mailto:QFRACFRhelp@health.gov.au" TargetMode="External"/><Relationship Id="rId34" Type="http://schemas.openxmlformats.org/officeDocument/2006/relationships/hyperlink" Target="https://health.formsadministration.com.au/dss.nsf/home.xsp"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health.formsadministration.com.au/dss.nsf/home.xsp" TargetMode="External"/><Relationship Id="rId33" Type="http://schemas.openxmlformats.org/officeDocument/2006/relationships/hyperlink" Target="https://www.health.gov.au/topics/aged-care/providing-aged-care-services/reporting/aged-care-financial-report" TargetMode="External"/><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dss.formsadministration.com.au/dss.nsf/RegisterAUSkey.xsp" TargetMode="External"/><Relationship Id="rId29" Type="http://schemas.openxmlformats.org/officeDocument/2006/relationships/hyperlink" Target="https://www.aasb.gov.a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health.formsadministration.com.au/dss.nsf/DSSForms.xsp" TargetMode="External"/><Relationship Id="rId32" Type="http://schemas.openxmlformats.org/officeDocument/2006/relationships/hyperlink" Target="https://www.health.gov.au/topics/aged-care/providing-aged-care-services/reporting/aged-care-financial-report" TargetMode="External"/><Relationship Id="rId37" Type="http://schemas.openxmlformats.org/officeDocument/2006/relationships/hyperlink" Target="https://www.health.gov.au/resources/publications/approved-prudential-compliance-statement-resources" TargetMode="External"/><Relationship Id="rId40"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health.gov.au/topics/aged-care/providing-aged-care-services/reporting/aged-care-financial-report" TargetMode="External"/><Relationship Id="rId28" Type="http://schemas.openxmlformats.org/officeDocument/2006/relationships/hyperlink" Target="https://www.aasb.gov.au/" TargetMode="External"/><Relationship Id="rId36" Type="http://schemas.openxmlformats.org/officeDocument/2006/relationships/hyperlink" Target="https://www.health.gov.au/resources/publications/approved-prudential-compliance-statement-resources" TargetMode="External"/><Relationship Id="rId10" Type="http://schemas.openxmlformats.org/officeDocument/2006/relationships/endnotes" Target="endnotes.xml"/><Relationship Id="rId19" Type="http://schemas.openxmlformats.org/officeDocument/2006/relationships/hyperlink" Target="https://health.formsadministration.com.au/dss.nsf/home.xsp" TargetMode="External"/><Relationship Id="rId31" Type="http://schemas.openxmlformats.org/officeDocument/2006/relationships/hyperlink" Target="https://as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ACFRQFRQueries@health.gov.au" TargetMode="External"/><Relationship Id="rId27" Type="http://schemas.openxmlformats.org/officeDocument/2006/relationships/hyperlink" Target="https://www.aasb.gov.au/" TargetMode="External"/><Relationship Id="rId30" Type="http://schemas.openxmlformats.org/officeDocument/2006/relationships/hyperlink" Target="https://health.formsadministration.com.au/dss.nsf/home.xsp" TargetMode="External"/><Relationship Id="rId35" Type="http://schemas.openxmlformats.org/officeDocument/2006/relationships/hyperlink" Target="https://www.health.gov.au/resources/publications/approved-prudential-compliance-statement-resources" TargetMode="External"/></Relationships>
</file>

<file path=word/_rels/footer7.xml.rels><?xml version="1.0" encoding="UTF-8" standalone="yes"?>
<Relationships xmlns="http://schemas.openxmlformats.org/package/2006/relationships"><Relationship Id="rId3" Type="http://schemas.openxmlformats.org/officeDocument/2006/relationships/hyperlink" Target="mailto:health@formsadministation.com.au" TargetMode="External"/><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hyperlink" Target="mailto:ACFRQFRQueries@health.gov.au" TargetMode="External"/><Relationship Id="rId4" Type="http://schemas.openxmlformats.org/officeDocument/2006/relationships/hyperlink" Target="mailto:QFRACFRHelp@health.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0F25F82DC70E46BECCBAC5959F994A" ma:contentTypeVersion="12" ma:contentTypeDescription="Create a new document." ma:contentTypeScope="" ma:versionID="15782d6cd9cafa1e5944cba969d84aaa">
  <xsd:schema xmlns:xsd="http://www.w3.org/2001/XMLSchema" xmlns:xs="http://www.w3.org/2001/XMLSchema" xmlns:p="http://schemas.microsoft.com/office/2006/metadata/properties" xmlns:ns2="02622428-b056-4156-8618-9b4665fa4c5e" xmlns:ns3="7e344f6c-33c4-4639-9c4a-e760d75a1222" targetNamespace="http://schemas.microsoft.com/office/2006/metadata/properties" ma:root="true" ma:fieldsID="3ff77c6a8d6be0eb84b167bc4e9124ba" ns2:_="" ns3:_="">
    <xsd:import namespace="02622428-b056-4156-8618-9b4665fa4c5e"/>
    <xsd:import namespace="7e344f6c-33c4-4639-9c4a-e760d75a12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622428-b056-4156-8618-9b4665fa4c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344f6c-33c4-4639-9c4a-e760d75a122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ffd8411-f726-4cac-a696-9c73f2a8f04a}" ma:internalName="TaxCatchAll" ma:showField="CatchAllData" ma:web="7e344f6c-33c4-4639-9c4a-e760d75a12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7e344f6c-33c4-4639-9c4a-e760d75a1222">
      <Value>7</Value>
    </TaxCatchAll>
    <lcf76f155ced4ddcb4097134ff3c332f xmlns="02622428-b056-4156-8618-9b4665fa4c5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9EF4D1-C350-45CD-B699-82A390836A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622428-b056-4156-8618-9b4665fa4c5e"/>
    <ds:schemaRef ds:uri="7e344f6c-33c4-4639-9c4a-e760d75a1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D20C6417-ADBB-487B-9091-DC3471F064BF}">
  <ds:schemaRefs>
    <ds:schemaRef ds:uri="http://purl.org/dc/terms/"/>
    <ds:schemaRef ds:uri="7e344f6c-33c4-4639-9c4a-e760d75a1222"/>
    <ds:schemaRef ds:uri="http://schemas.openxmlformats.org/package/2006/metadata/core-properties"/>
    <ds:schemaRef ds:uri="http://schemas.microsoft.com/office/2006/documentManagement/types"/>
    <ds:schemaRef ds:uri="http://schemas.microsoft.com/office/infopath/2007/PartnerControls"/>
    <ds:schemaRef ds:uri="02622428-b056-4156-8618-9b4665fa4c5e"/>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35</Pages>
  <Words>8962</Words>
  <Characters>48551</Characters>
  <Application>Microsoft Office Word</Application>
  <DocSecurity>0</DocSecurity>
  <Lines>947</Lines>
  <Paragraphs>399</Paragraphs>
  <ScaleCrop>false</ScaleCrop>
  <HeadingPairs>
    <vt:vector size="2" baseType="variant">
      <vt:variant>
        <vt:lpstr>Title</vt:lpstr>
      </vt:variant>
      <vt:variant>
        <vt:i4>1</vt:i4>
      </vt:variant>
    </vt:vector>
  </HeadingPairs>
  <TitlesOfParts>
    <vt:vector size="1" baseType="lpstr">
      <vt:lpstr>2023-24 Aged care financial report – Frequently asked quiestions</vt:lpstr>
    </vt:vector>
  </TitlesOfParts>
  <Manager/>
  <Company/>
  <LinksUpToDate>false</LinksUpToDate>
  <CharactersWithSpaces>57639</CharactersWithSpaces>
  <SharedDoc>false</SharedDoc>
  <HyperlinkBase/>
  <HLinks>
    <vt:vector size="246" baseType="variant">
      <vt:variant>
        <vt:i4>6488117</vt:i4>
      </vt:variant>
      <vt:variant>
        <vt:i4>390</vt:i4>
      </vt:variant>
      <vt:variant>
        <vt:i4>0</vt:i4>
      </vt:variant>
      <vt:variant>
        <vt:i4>5</vt:i4>
      </vt:variant>
      <vt:variant>
        <vt:lpwstr>https://www.health.gov.au/resources/publications/approved-prudential-compliance-statement-resources</vt:lpwstr>
      </vt:variant>
      <vt:variant>
        <vt:lpwstr/>
      </vt:variant>
      <vt:variant>
        <vt:i4>6488117</vt:i4>
      </vt:variant>
      <vt:variant>
        <vt:i4>387</vt:i4>
      </vt:variant>
      <vt:variant>
        <vt:i4>0</vt:i4>
      </vt:variant>
      <vt:variant>
        <vt:i4>5</vt:i4>
      </vt:variant>
      <vt:variant>
        <vt:lpwstr>https://www.health.gov.au/resources/publications/approved-prudential-compliance-statement-resources</vt:lpwstr>
      </vt:variant>
      <vt:variant>
        <vt:lpwstr/>
      </vt:variant>
      <vt:variant>
        <vt:i4>6488117</vt:i4>
      </vt:variant>
      <vt:variant>
        <vt:i4>384</vt:i4>
      </vt:variant>
      <vt:variant>
        <vt:i4>0</vt:i4>
      </vt:variant>
      <vt:variant>
        <vt:i4>5</vt:i4>
      </vt:variant>
      <vt:variant>
        <vt:lpwstr>https://www.health.gov.au/resources/publications/approved-prudential-compliance-statement-resources</vt:lpwstr>
      </vt:variant>
      <vt:variant>
        <vt:lpwstr/>
      </vt:variant>
      <vt:variant>
        <vt:i4>2228276</vt:i4>
      </vt:variant>
      <vt:variant>
        <vt:i4>381</vt:i4>
      </vt:variant>
      <vt:variant>
        <vt:i4>0</vt:i4>
      </vt:variant>
      <vt:variant>
        <vt:i4>5</vt:i4>
      </vt:variant>
      <vt:variant>
        <vt:lpwstr>https://health.formsadministration.com.au/dss.nsf/home.xsp</vt:lpwstr>
      </vt:variant>
      <vt:variant>
        <vt:lpwstr/>
      </vt:variant>
      <vt:variant>
        <vt:i4>13</vt:i4>
      </vt:variant>
      <vt:variant>
        <vt:i4>336</vt:i4>
      </vt:variant>
      <vt:variant>
        <vt:i4>0</vt:i4>
      </vt:variant>
      <vt:variant>
        <vt:i4>5</vt:i4>
      </vt:variant>
      <vt:variant>
        <vt:lpwstr>https://www.health.gov.au/topics/aged-care/providing-aged-care-services/reporting/aged-care-financial-report</vt:lpwstr>
      </vt:variant>
      <vt:variant>
        <vt:lpwstr/>
      </vt:variant>
      <vt:variant>
        <vt:i4>13</vt:i4>
      </vt:variant>
      <vt:variant>
        <vt:i4>333</vt:i4>
      </vt:variant>
      <vt:variant>
        <vt:i4>0</vt:i4>
      </vt:variant>
      <vt:variant>
        <vt:i4>5</vt:i4>
      </vt:variant>
      <vt:variant>
        <vt:lpwstr>https://www.health.gov.au/topics/aged-care/providing-aged-care-services/reporting/aged-care-financial-report</vt:lpwstr>
      </vt:variant>
      <vt:variant>
        <vt:lpwstr/>
      </vt:variant>
      <vt:variant>
        <vt:i4>8061008</vt:i4>
      </vt:variant>
      <vt:variant>
        <vt:i4>243</vt:i4>
      </vt:variant>
      <vt:variant>
        <vt:i4>0</vt:i4>
      </vt:variant>
      <vt:variant>
        <vt:i4>5</vt:i4>
      </vt:variant>
      <vt:variant>
        <vt:lpwstr/>
      </vt:variant>
      <vt:variant>
        <vt:lpwstr>_Questions_and_feedback</vt:lpwstr>
      </vt:variant>
      <vt:variant>
        <vt:i4>8061008</vt:i4>
      </vt:variant>
      <vt:variant>
        <vt:i4>228</vt:i4>
      </vt:variant>
      <vt:variant>
        <vt:i4>0</vt:i4>
      </vt:variant>
      <vt:variant>
        <vt:i4>5</vt:i4>
      </vt:variant>
      <vt:variant>
        <vt:lpwstr/>
      </vt:variant>
      <vt:variant>
        <vt:lpwstr>_Questions_and_feedback</vt:lpwstr>
      </vt:variant>
      <vt:variant>
        <vt:i4>6160466</vt:i4>
      </vt:variant>
      <vt:variant>
        <vt:i4>225</vt:i4>
      </vt:variant>
      <vt:variant>
        <vt:i4>0</vt:i4>
      </vt:variant>
      <vt:variant>
        <vt:i4>5</vt:i4>
      </vt:variant>
      <vt:variant>
        <vt:lpwstr>https://asic.gov.au/</vt:lpwstr>
      </vt:variant>
      <vt:variant>
        <vt:lpwstr/>
      </vt:variant>
      <vt:variant>
        <vt:i4>2228276</vt:i4>
      </vt:variant>
      <vt:variant>
        <vt:i4>222</vt:i4>
      </vt:variant>
      <vt:variant>
        <vt:i4>0</vt:i4>
      </vt:variant>
      <vt:variant>
        <vt:i4>5</vt:i4>
      </vt:variant>
      <vt:variant>
        <vt:lpwstr>https://health.formsadministration.com.au/dss.nsf/home.xsp</vt:lpwstr>
      </vt:variant>
      <vt:variant>
        <vt:lpwstr/>
      </vt:variant>
      <vt:variant>
        <vt:i4>4980844</vt:i4>
      </vt:variant>
      <vt:variant>
        <vt:i4>219</vt:i4>
      </vt:variant>
      <vt:variant>
        <vt:i4>0</vt:i4>
      </vt:variant>
      <vt:variant>
        <vt:i4>5</vt:i4>
      </vt:variant>
      <vt:variant>
        <vt:lpwstr/>
      </vt:variant>
      <vt:variant>
        <vt:lpwstr>_Approved_provider_Note</vt:lpwstr>
      </vt:variant>
      <vt:variant>
        <vt:i4>4980844</vt:i4>
      </vt:variant>
      <vt:variant>
        <vt:i4>216</vt:i4>
      </vt:variant>
      <vt:variant>
        <vt:i4>0</vt:i4>
      </vt:variant>
      <vt:variant>
        <vt:i4>5</vt:i4>
      </vt:variant>
      <vt:variant>
        <vt:lpwstr/>
      </vt:variant>
      <vt:variant>
        <vt:lpwstr>_Approved_provider_Note</vt:lpwstr>
      </vt:variant>
      <vt:variant>
        <vt:i4>4980844</vt:i4>
      </vt:variant>
      <vt:variant>
        <vt:i4>213</vt:i4>
      </vt:variant>
      <vt:variant>
        <vt:i4>0</vt:i4>
      </vt:variant>
      <vt:variant>
        <vt:i4>5</vt:i4>
      </vt:variant>
      <vt:variant>
        <vt:lpwstr/>
      </vt:variant>
      <vt:variant>
        <vt:lpwstr>_Approved_provider_Note</vt:lpwstr>
      </vt:variant>
      <vt:variant>
        <vt:i4>1310792</vt:i4>
      </vt:variant>
      <vt:variant>
        <vt:i4>174</vt:i4>
      </vt:variant>
      <vt:variant>
        <vt:i4>0</vt:i4>
      </vt:variant>
      <vt:variant>
        <vt:i4>5</vt:i4>
      </vt:variant>
      <vt:variant>
        <vt:lpwstr>https://www.aasb.gov.au/</vt:lpwstr>
      </vt:variant>
      <vt:variant>
        <vt:lpwstr/>
      </vt:variant>
      <vt:variant>
        <vt:i4>1310792</vt:i4>
      </vt:variant>
      <vt:variant>
        <vt:i4>165</vt:i4>
      </vt:variant>
      <vt:variant>
        <vt:i4>0</vt:i4>
      </vt:variant>
      <vt:variant>
        <vt:i4>5</vt:i4>
      </vt:variant>
      <vt:variant>
        <vt:lpwstr>https://www.aasb.gov.au/</vt:lpwstr>
      </vt:variant>
      <vt:variant>
        <vt:lpwstr/>
      </vt:variant>
      <vt:variant>
        <vt:i4>1310792</vt:i4>
      </vt:variant>
      <vt:variant>
        <vt:i4>156</vt:i4>
      </vt:variant>
      <vt:variant>
        <vt:i4>0</vt:i4>
      </vt:variant>
      <vt:variant>
        <vt:i4>5</vt:i4>
      </vt:variant>
      <vt:variant>
        <vt:lpwstr>https://www.aasb.gov.au/</vt:lpwstr>
      </vt:variant>
      <vt:variant>
        <vt:lpwstr/>
      </vt:variant>
      <vt:variant>
        <vt:i4>8061008</vt:i4>
      </vt:variant>
      <vt:variant>
        <vt:i4>129</vt:i4>
      </vt:variant>
      <vt:variant>
        <vt:i4>0</vt:i4>
      </vt:variant>
      <vt:variant>
        <vt:i4>5</vt:i4>
      </vt:variant>
      <vt:variant>
        <vt:lpwstr/>
      </vt:variant>
      <vt:variant>
        <vt:lpwstr>_Questions_and_feedback</vt:lpwstr>
      </vt:variant>
      <vt:variant>
        <vt:i4>8061008</vt:i4>
      </vt:variant>
      <vt:variant>
        <vt:i4>120</vt:i4>
      </vt:variant>
      <vt:variant>
        <vt:i4>0</vt:i4>
      </vt:variant>
      <vt:variant>
        <vt:i4>5</vt:i4>
      </vt:variant>
      <vt:variant>
        <vt:lpwstr/>
      </vt:variant>
      <vt:variant>
        <vt:lpwstr>_Questions_and_feedback</vt:lpwstr>
      </vt:variant>
      <vt:variant>
        <vt:i4>6225994</vt:i4>
      </vt:variant>
      <vt:variant>
        <vt:i4>105</vt:i4>
      </vt:variant>
      <vt:variant>
        <vt:i4>0</vt:i4>
      </vt:variant>
      <vt:variant>
        <vt:i4>5</vt:i4>
      </vt:variant>
      <vt:variant>
        <vt:lpwstr>https://www.health.gov.au/resources/apps-and-tools/government-provider-management-system</vt:lpwstr>
      </vt:variant>
      <vt:variant>
        <vt:lpwstr/>
      </vt:variant>
      <vt:variant>
        <vt:i4>2228276</vt:i4>
      </vt:variant>
      <vt:variant>
        <vt:i4>102</vt:i4>
      </vt:variant>
      <vt:variant>
        <vt:i4>0</vt:i4>
      </vt:variant>
      <vt:variant>
        <vt:i4>5</vt:i4>
      </vt:variant>
      <vt:variant>
        <vt:lpwstr>https://health.formsadministration.com.au/dss.nsf/home.xsp</vt:lpwstr>
      </vt:variant>
      <vt:variant>
        <vt:lpwstr/>
      </vt:variant>
      <vt:variant>
        <vt:i4>3932196</vt:i4>
      </vt:variant>
      <vt:variant>
        <vt:i4>87</vt:i4>
      </vt:variant>
      <vt:variant>
        <vt:i4>0</vt:i4>
      </vt:variant>
      <vt:variant>
        <vt:i4>5</vt:i4>
      </vt:variant>
      <vt:variant>
        <vt:lpwstr>https://health.formsadministration.com.au/dss.nsf/DSSForms.xsp</vt:lpwstr>
      </vt:variant>
      <vt:variant>
        <vt:lpwstr/>
      </vt:variant>
      <vt:variant>
        <vt:i4>13</vt:i4>
      </vt:variant>
      <vt:variant>
        <vt:i4>84</vt:i4>
      </vt:variant>
      <vt:variant>
        <vt:i4>0</vt:i4>
      </vt:variant>
      <vt:variant>
        <vt:i4>5</vt:i4>
      </vt:variant>
      <vt:variant>
        <vt:lpwstr>https://www.health.gov.au/topics/aged-care/providing-aged-care-services/reporting/aged-care-financial-report</vt:lpwstr>
      </vt:variant>
      <vt:variant>
        <vt:lpwstr/>
      </vt:variant>
      <vt:variant>
        <vt:i4>5570593</vt:i4>
      </vt:variant>
      <vt:variant>
        <vt:i4>81</vt:i4>
      </vt:variant>
      <vt:variant>
        <vt:i4>0</vt:i4>
      </vt:variant>
      <vt:variant>
        <vt:i4>5</vt:i4>
      </vt:variant>
      <vt:variant>
        <vt:lpwstr>mailto:ACFRQFRQueries@health.gov.au</vt:lpwstr>
      </vt:variant>
      <vt:variant>
        <vt:lpwstr/>
      </vt:variant>
      <vt:variant>
        <vt:i4>131198</vt:i4>
      </vt:variant>
      <vt:variant>
        <vt:i4>78</vt:i4>
      </vt:variant>
      <vt:variant>
        <vt:i4>0</vt:i4>
      </vt:variant>
      <vt:variant>
        <vt:i4>5</vt:i4>
      </vt:variant>
      <vt:variant>
        <vt:lpwstr>mailto:QFRACFRhelp@health.gov.au</vt:lpwstr>
      </vt:variant>
      <vt:variant>
        <vt:lpwstr/>
      </vt:variant>
      <vt:variant>
        <vt:i4>8061008</vt:i4>
      </vt:variant>
      <vt:variant>
        <vt:i4>75</vt:i4>
      </vt:variant>
      <vt:variant>
        <vt:i4>0</vt:i4>
      </vt:variant>
      <vt:variant>
        <vt:i4>5</vt:i4>
      </vt:variant>
      <vt:variant>
        <vt:lpwstr/>
      </vt:variant>
      <vt:variant>
        <vt:lpwstr>_Questions_and_feedback</vt:lpwstr>
      </vt:variant>
      <vt:variant>
        <vt:i4>1703954</vt:i4>
      </vt:variant>
      <vt:variant>
        <vt:i4>72</vt:i4>
      </vt:variant>
      <vt:variant>
        <vt:i4>0</vt:i4>
      </vt:variant>
      <vt:variant>
        <vt:i4>5</vt:i4>
      </vt:variant>
      <vt:variant>
        <vt:lpwstr>https://dss.formsadministration.com.au/dss.nsf/RegisterAUSkey.xsp</vt:lpwstr>
      </vt:variant>
      <vt:variant>
        <vt:lpwstr/>
      </vt:variant>
      <vt:variant>
        <vt:i4>2228276</vt:i4>
      </vt:variant>
      <vt:variant>
        <vt:i4>69</vt:i4>
      </vt:variant>
      <vt:variant>
        <vt:i4>0</vt:i4>
      </vt:variant>
      <vt:variant>
        <vt:i4>5</vt:i4>
      </vt:variant>
      <vt:variant>
        <vt:lpwstr>https://health.formsadministration.com.au/dss.nsf/home.xsp</vt:lpwstr>
      </vt:variant>
      <vt:variant>
        <vt:lpwstr/>
      </vt:variant>
      <vt:variant>
        <vt:i4>1310770</vt:i4>
      </vt:variant>
      <vt:variant>
        <vt:i4>62</vt:i4>
      </vt:variant>
      <vt:variant>
        <vt:i4>0</vt:i4>
      </vt:variant>
      <vt:variant>
        <vt:i4>5</vt:i4>
      </vt:variant>
      <vt:variant>
        <vt:lpwstr/>
      </vt:variant>
      <vt:variant>
        <vt:lpwstr>_Toc192694881</vt:lpwstr>
      </vt:variant>
      <vt:variant>
        <vt:i4>1310770</vt:i4>
      </vt:variant>
      <vt:variant>
        <vt:i4>56</vt:i4>
      </vt:variant>
      <vt:variant>
        <vt:i4>0</vt:i4>
      </vt:variant>
      <vt:variant>
        <vt:i4>5</vt:i4>
      </vt:variant>
      <vt:variant>
        <vt:lpwstr/>
      </vt:variant>
      <vt:variant>
        <vt:lpwstr>_Toc192694880</vt:lpwstr>
      </vt:variant>
      <vt:variant>
        <vt:i4>1769522</vt:i4>
      </vt:variant>
      <vt:variant>
        <vt:i4>50</vt:i4>
      </vt:variant>
      <vt:variant>
        <vt:i4>0</vt:i4>
      </vt:variant>
      <vt:variant>
        <vt:i4>5</vt:i4>
      </vt:variant>
      <vt:variant>
        <vt:lpwstr/>
      </vt:variant>
      <vt:variant>
        <vt:lpwstr>_Toc192694879</vt:lpwstr>
      </vt:variant>
      <vt:variant>
        <vt:i4>1769522</vt:i4>
      </vt:variant>
      <vt:variant>
        <vt:i4>44</vt:i4>
      </vt:variant>
      <vt:variant>
        <vt:i4>0</vt:i4>
      </vt:variant>
      <vt:variant>
        <vt:i4>5</vt:i4>
      </vt:variant>
      <vt:variant>
        <vt:lpwstr/>
      </vt:variant>
      <vt:variant>
        <vt:lpwstr>_Toc192694878</vt:lpwstr>
      </vt:variant>
      <vt:variant>
        <vt:i4>1769522</vt:i4>
      </vt:variant>
      <vt:variant>
        <vt:i4>38</vt:i4>
      </vt:variant>
      <vt:variant>
        <vt:i4>0</vt:i4>
      </vt:variant>
      <vt:variant>
        <vt:i4>5</vt:i4>
      </vt:variant>
      <vt:variant>
        <vt:lpwstr/>
      </vt:variant>
      <vt:variant>
        <vt:lpwstr>_Toc192694877</vt:lpwstr>
      </vt:variant>
      <vt:variant>
        <vt:i4>1769522</vt:i4>
      </vt:variant>
      <vt:variant>
        <vt:i4>32</vt:i4>
      </vt:variant>
      <vt:variant>
        <vt:i4>0</vt:i4>
      </vt:variant>
      <vt:variant>
        <vt:i4>5</vt:i4>
      </vt:variant>
      <vt:variant>
        <vt:lpwstr/>
      </vt:variant>
      <vt:variant>
        <vt:lpwstr>_Toc192694876</vt:lpwstr>
      </vt:variant>
      <vt:variant>
        <vt:i4>1769522</vt:i4>
      </vt:variant>
      <vt:variant>
        <vt:i4>26</vt:i4>
      </vt:variant>
      <vt:variant>
        <vt:i4>0</vt:i4>
      </vt:variant>
      <vt:variant>
        <vt:i4>5</vt:i4>
      </vt:variant>
      <vt:variant>
        <vt:lpwstr/>
      </vt:variant>
      <vt:variant>
        <vt:lpwstr>_Toc192694875</vt:lpwstr>
      </vt:variant>
      <vt:variant>
        <vt:i4>1769522</vt:i4>
      </vt:variant>
      <vt:variant>
        <vt:i4>20</vt:i4>
      </vt:variant>
      <vt:variant>
        <vt:i4>0</vt:i4>
      </vt:variant>
      <vt:variant>
        <vt:i4>5</vt:i4>
      </vt:variant>
      <vt:variant>
        <vt:lpwstr/>
      </vt:variant>
      <vt:variant>
        <vt:lpwstr>_Toc192694870</vt:lpwstr>
      </vt:variant>
      <vt:variant>
        <vt:i4>1703986</vt:i4>
      </vt:variant>
      <vt:variant>
        <vt:i4>14</vt:i4>
      </vt:variant>
      <vt:variant>
        <vt:i4>0</vt:i4>
      </vt:variant>
      <vt:variant>
        <vt:i4>5</vt:i4>
      </vt:variant>
      <vt:variant>
        <vt:lpwstr/>
      </vt:variant>
      <vt:variant>
        <vt:lpwstr>_Toc192694869</vt:lpwstr>
      </vt:variant>
      <vt:variant>
        <vt:i4>1703986</vt:i4>
      </vt:variant>
      <vt:variant>
        <vt:i4>8</vt:i4>
      </vt:variant>
      <vt:variant>
        <vt:i4>0</vt:i4>
      </vt:variant>
      <vt:variant>
        <vt:i4>5</vt:i4>
      </vt:variant>
      <vt:variant>
        <vt:lpwstr/>
      </vt:variant>
      <vt:variant>
        <vt:lpwstr>_Toc192694868</vt:lpwstr>
      </vt:variant>
      <vt:variant>
        <vt:i4>1703986</vt:i4>
      </vt:variant>
      <vt:variant>
        <vt:i4>2</vt:i4>
      </vt:variant>
      <vt:variant>
        <vt:i4>0</vt:i4>
      </vt:variant>
      <vt:variant>
        <vt:i4>5</vt:i4>
      </vt:variant>
      <vt:variant>
        <vt:lpwstr/>
      </vt:variant>
      <vt:variant>
        <vt:lpwstr>_Toc192694867</vt:lpwstr>
      </vt:variant>
      <vt:variant>
        <vt:i4>5570593</vt:i4>
      </vt:variant>
      <vt:variant>
        <vt:i4>18</vt:i4>
      </vt:variant>
      <vt:variant>
        <vt:i4>0</vt:i4>
      </vt:variant>
      <vt:variant>
        <vt:i4>5</vt:i4>
      </vt:variant>
      <vt:variant>
        <vt:lpwstr>mailto:ACFRQFRQueries@health.gov.au</vt:lpwstr>
      </vt:variant>
      <vt:variant>
        <vt:lpwstr/>
      </vt:variant>
      <vt:variant>
        <vt:i4>131198</vt:i4>
      </vt:variant>
      <vt:variant>
        <vt:i4>15</vt:i4>
      </vt:variant>
      <vt:variant>
        <vt:i4>0</vt:i4>
      </vt:variant>
      <vt:variant>
        <vt:i4>5</vt:i4>
      </vt:variant>
      <vt:variant>
        <vt:lpwstr>mailto:QFRACFRHelp@health.gov.au</vt:lpwstr>
      </vt:variant>
      <vt:variant>
        <vt:lpwstr/>
      </vt:variant>
      <vt:variant>
        <vt:i4>4522024</vt:i4>
      </vt:variant>
      <vt:variant>
        <vt:i4>12</vt:i4>
      </vt:variant>
      <vt:variant>
        <vt:i4>0</vt:i4>
      </vt:variant>
      <vt:variant>
        <vt:i4>5</vt:i4>
      </vt:variant>
      <vt:variant>
        <vt:lpwstr>mailto:health@formsadministation.com.au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2023-24 Aged care financial report – Frequently asked quiestions</dc:title>
  <dc:subject>Aged Care, Senior Australians</dc:subject>
  <dc:creator>Australian Government Department of Health and Aged Care</dc:creator>
  <cp:keywords>Aged Care, Senior Australians</cp:keywords>
  <dc:description/>
  <cp:revision>16</cp:revision>
  <cp:lastPrinted>2025-04-15T05:25:00Z</cp:lastPrinted>
  <dcterms:created xsi:type="dcterms:W3CDTF">2025-03-31T23:09:00Z</dcterms:created>
  <dcterms:modified xsi:type="dcterms:W3CDTF">2025-04-17T03:30:00Z</dcterms:modified>
  <cp:category>Aged Care</cp:category>
</cp:coreProperties>
</file>