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527D" w14:textId="4DDBB365" w:rsidR="00BA2732" w:rsidRDefault="00532091" w:rsidP="00302C5C">
      <w:pPr>
        <w:pStyle w:val="Heading1"/>
      </w:pPr>
      <w:r>
        <w:t>T</w:t>
      </w:r>
      <w:r w:rsidRPr="00532091">
        <w:t xml:space="preserve">he impact of bulk billing investments on </w:t>
      </w:r>
      <w:r>
        <w:t>GP</w:t>
      </w:r>
      <w:r w:rsidRPr="00532091">
        <w:t xml:space="preserve"> earnings and billings</w:t>
      </w:r>
      <w:r w:rsidR="00CE6502" w:rsidRPr="003D033A">
        <w:t xml:space="preserve"> </w:t>
      </w:r>
    </w:p>
    <w:p w14:paraId="4C625EB9" w14:textId="257AF75C" w:rsidR="00B53987" w:rsidRPr="00B53987" w:rsidRDefault="00A314BA" w:rsidP="00F0726E">
      <w:pPr>
        <w:spacing w:after="0"/>
      </w:pPr>
      <w:r w:rsidRPr="003A5247">
        <w:t>2</w:t>
      </w:r>
      <w:r w:rsidR="00056DFF" w:rsidRPr="003A5247">
        <w:t>7</w:t>
      </w:r>
      <w:r w:rsidRPr="003A5247">
        <w:t xml:space="preserve"> </w:t>
      </w:r>
      <w:r w:rsidR="009D1160" w:rsidRPr="003A5247">
        <w:t>March 2025</w:t>
      </w:r>
    </w:p>
    <w:p w14:paraId="3419B4D2" w14:textId="455AC3F1" w:rsidR="00DF0C60" w:rsidRDefault="00532091" w:rsidP="00DF0C60">
      <w:pPr>
        <w:pStyle w:val="Heading2"/>
      </w:pPr>
      <w:r w:rsidRPr="00532091">
        <w:t>What is changing?</w:t>
      </w:r>
    </w:p>
    <w:p w14:paraId="4F30A7DE" w14:textId="072BC95B" w:rsidR="00532091" w:rsidRDefault="00532091" w:rsidP="00532091">
      <w:bookmarkStart w:id="0" w:name="_Hlk85795649"/>
      <w:r>
        <w:t xml:space="preserve">From 1 November 2025, for the first time, the </w:t>
      </w:r>
      <w:r w:rsidR="00E63B3E">
        <w:t xml:space="preserve">Australian </w:t>
      </w:r>
      <w:r>
        <w:t xml:space="preserve">Government will expand GP bulk billing incentives to all </w:t>
      </w:r>
      <w:r w:rsidR="000B1B8A">
        <w:t xml:space="preserve">Medicare-eligible people </w:t>
      </w:r>
      <w:r>
        <w:t xml:space="preserve">and create an additional new incentive payment for practices that bulk bill every patient. </w:t>
      </w:r>
    </w:p>
    <w:p w14:paraId="18A4CEF6" w14:textId="35D8644D" w:rsidR="00532091" w:rsidRDefault="00532091" w:rsidP="00532091">
      <w:r>
        <w:t xml:space="preserve">The </w:t>
      </w:r>
      <w:r w:rsidR="00E63B3E">
        <w:t>g</w:t>
      </w:r>
      <w:r>
        <w:t xml:space="preserve">overnment will support thousands of general practices to bulk bill every patient, for every visit, with the launch of a new Bulk Billing Practice Incentive Program. Whatever your practice offers or specialises in, </w:t>
      </w:r>
      <w:proofErr w:type="gramStart"/>
      <w:r>
        <w:t>as long as</w:t>
      </w:r>
      <w:proofErr w:type="gramEnd"/>
      <w:r>
        <w:t xml:space="preserve"> it bulk bills every Medicare Benefits </w:t>
      </w:r>
      <w:r w:rsidR="00863A31">
        <w:t xml:space="preserve">Schedule </w:t>
      </w:r>
      <w:r>
        <w:t>(MBS)</w:t>
      </w:r>
      <w:r w:rsidR="00685342">
        <w:t xml:space="preserve"> </w:t>
      </w:r>
      <w:r w:rsidR="00685342" w:rsidRPr="008805F5">
        <w:rPr>
          <w:color w:val="auto"/>
        </w:rPr>
        <w:t>GP non-referred</w:t>
      </w:r>
      <w:r w:rsidRPr="008805F5">
        <w:rPr>
          <w:color w:val="auto"/>
        </w:rPr>
        <w:t xml:space="preserve"> service, it </w:t>
      </w:r>
      <w:r>
        <w:t xml:space="preserve">will receive a significant boost to Medicare payments. </w:t>
      </w:r>
      <w:r w:rsidR="00784318">
        <w:t>This includes time-tiered consultation items, health assessment</w:t>
      </w:r>
      <w:r w:rsidR="005841F2">
        <w:t>s</w:t>
      </w:r>
      <w:r w:rsidR="00784318">
        <w:t>, mental health treatment items and chronic disease management items.</w:t>
      </w:r>
      <w:r w:rsidR="009C75AC">
        <w:t xml:space="preserve"> A full list of GP NRA services is available </w:t>
      </w:r>
      <w:hyperlink r:id="rId11" w:history="1">
        <w:r w:rsidR="009C75AC" w:rsidRPr="009C75AC">
          <w:rPr>
            <w:rStyle w:val="Hyperlink"/>
          </w:rPr>
          <w:t>on the department’s website</w:t>
        </w:r>
      </w:hyperlink>
      <w:r w:rsidR="009C75AC">
        <w:t>.</w:t>
      </w:r>
    </w:p>
    <w:p w14:paraId="6D98B1D7" w14:textId="4AB5B500" w:rsidR="00532091" w:rsidRDefault="006B3ADF" w:rsidP="00CA687E">
      <w:pPr>
        <w:spacing w:after="0"/>
      </w:pPr>
      <w:r>
        <w:t>In addition to</w:t>
      </w:r>
      <w:r w:rsidR="00532091">
        <w:t xml:space="preserve"> </w:t>
      </w:r>
      <w:r w:rsidR="0009743C">
        <w:t xml:space="preserve">MBS </w:t>
      </w:r>
      <w:r w:rsidR="00532091">
        <w:t>bulk billing incentive</w:t>
      </w:r>
      <w:r w:rsidR="00C40FD1">
        <w:t>s</w:t>
      </w:r>
      <w:r w:rsidR="00532091">
        <w:t>, practices</w:t>
      </w:r>
      <w:r w:rsidR="009C75AC">
        <w:t xml:space="preserve"> who join the Bulk Billing Practice Incentive Program</w:t>
      </w:r>
      <w:r w:rsidR="00532091">
        <w:t xml:space="preserve"> will receive a </w:t>
      </w:r>
      <w:r w:rsidR="00324D88">
        <w:t xml:space="preserve">quarterly </w:t>
      </w:r>
      <w:r w:rsidR="00532091">
        <w:t xml:space="preserve">12.5% </w:t>
      </w:r>
      <w:r w:rsidR="002B40BB">
        <w:t xml:space="preserve">incentive </w:t>
      </w:r>
      <w:r w:rsidR="00532091">
        <w:t>payment</w:t>
      </w:r>
      <w:r w:rsidR="002B40BB">
        <w:t xml:space="preserve"> calculated</w:t>
      </w:r>
      <w:r w:rsidR="00532091">
        <w:t xml:space="preserve"> on</w:t>
      </w:r>
      <w:r w:rsidR="0009743C">
        <w:t xml:space="preserve"> </w:t>
      </w:r>
      <w:proofErr w:type="gramStart"/>
      <w:r w:rsidR="0009743C">
        <w:t>all of</w:t>
      </w:r>
      <w:proofErr w:type="gramEnd"/>
      <w:r w:rsidR="00532091">
        <w:t xml:space="preserve"> their </w:t>
      </w:r>
      <w:r w:rsidR="00863A31">
        <w:t xml:space="preserve">GP NRA </w:t>
      </w:r>
      <w:r w:rsidR="00532091">
        <w:t xml:space="preserve">Medicare benefits. This will support </w:t>
      </w:r>
      <w:r w:rsidR="005841F2">
        <w:t xml:space="preserve">GPs and </w:t>
      </w:r>
      <w:r w:rsidR="00532091">
        <w:t xml:space="preserve">practices to provide high quality </w:t>
      </w:r>
      <w:r w:rsidR="00685342">
        <w:t xml:space="preserve">bulk billed </w:t>
      </w:r>
      <w:r w:rsidR="00532091">
        <w:t>care</w:t>
      </w:r>
      <w:r w:rsidR="00580276">
        <w:t>: to grow their teams, upgrade their facilities and expand their services</w:t>
      </w:r>
      <w:r w:rsidR="00532091">
        <w:t xml:space="preserve">. The combined investment means around 4,800 practices will be in a better financial position if they adopt full bulk billing – </w:t>
      </w:r>
      <w:r w:rsidR="00B36801">
        <w:t>meaning they will receive more in Medicare payments</w:t>
      </w:r>
      <w:r w:rsidR="00687720">
        <w:t xml:space="preserve"> than they currently receive in patient fees</w:t>
      </w:r>
      <w:r w:rsidR="00532091">
        <w:t xml:space="preserve">. </w:t>
      </w:r>
    </w:p>
    <w:p w14:paraId="6812C9BC" w14:textId="77777777" w:rsidR="004920EE" w:rsidRDefault="004920EE" w:rsidP="004920EE">
      <w:pPr>
        <w:pStyle w:val="Heading2"/>
        <w:spacing w:after="0"/>
      </w:pPr>
      <w:r>
        <w:t>How will GPs benefit?</w:t>
      </w:r>
    </w:p>
    <w:p w14:paraId="33D2286F" w14:textId="37ED96B8" w:rsidR="004920EE" w:rsidRPr="00532091" w:rsidRDefault="004920EE" w:rsidP="004920EE">
      <w:proofErr w:type="gramStart"/>
      <w:r w:rsidRPr="00532091">
        <w:t>At the moment</w:t>
      </w:r>
      <w:proofErr w:type="gramEnd"/>
      <w:r w:rsidRPr="00532091">
        <w:t xml:space="preserve">, a bulk billing GP earns less </w:t>
      </w:r>
      <w:r>
        <w:t>than</w:t>
      </w:r>
      <w:r w:rsidRPr="00532091">
        <w:t xml:space="preserve"> their mixed billing or privately billing colleagues</w:t>
      </w:r>
      <w:r>
        <w:t xml:space="preserve"> for providing the same number of services</w:t>
      </w:r>
      <w:r w:rsidRPr="00532091">
        <w:t xml:space="preserve">. The </w:t>
      </w:r>
      <w:r w:rsidR="7807F9B4">
        <w:t>g</w:t>
      </w:r>
      <w:r w:rsidRPr="00532091">
        <w:t xml:space="preserve">overnment's investment fixes that, by increasing the financial reward a GP receives when they bulk bill, closing the gap between a </w:t>
      </w:r>
      <w:r>
        <w:t xml:space="preserve">fully </w:t>
      </w:r>
      <w:r w:rsidRPr="00532091">
        <w:t xml:space="preserve">bulk billing GP and </w:t>
      </w:r>
      <w:r>
        <w:t>a</w:t>
      </w:r>
      <w:r w:rsidRPr="00532091">
        <w:t xml:space="preserve"> mixed billing GP.</w:t>
      </w:r>
    </w:p>
    <w:p w14:paraId="2065FCD3" w14:textId="77777777" w:rsidR="004920EE" w:rsidRPr="00532091" w:rsidRDefault="004920EE" w:rsidP="004920EE">
      <w:r>
        <w:t>Assuming they provide the same number of services – and using Medicare data for bulk billing rates, patient fees, and MBS benefits –</w:t>
      </w:r>
      <w:r w:rsidRPr="00532091">
        <w:t xml:space="preserve"> we can see that at metropolitan practices there is a</w:t>
      </w:r>
      <w:r>
        <w:t>n approximately</w:t>
      </w:r>
      <w:r w:rsidRPr="00532091">
        <w:t xml:space="preserve"> $</w:t>
      </w:r>
      <w:r>
        <w:t>45</w:t>
      </w:r>
      <w:r w:rsidRPr="00532091">
        <w:t xml:space="preserve">,000 gap in annual </w:t>
      </w:r>
      <w:r>
        <w:t>earnings</w:t>
      </w:r>
      <w:r w:rsidRPr="00532091">
        <w:t xml:space="preserve"> between a GP with average rates of bulk billing</w:t>
      </w:r>
      <w:r>
        <w:rPr>
          <w:rStyle w:val="FootnoteReference"/>
        </w:rPr>
        <w:footnoteReference w:id="2"/>
      </w:r>
      <w:r w:rsidRPr="00532091">
        <w:t xml:space="preserve"> and a GP that bulk bills every visit.</w:t>
      </w:r>
    </w:p>
    <w:p w14:paraId="201CD3D4" w14:textId="77777777" w:rsidR="004920EE" w:rsidRDefault="004920EE" w:rsidP="00CA687E">
      <w:pPr>
        <w:spacing w:after="0"/>
      </w:pPr>
    </w:p>
    <w:bookmarkEnd w:id="0"/>
    <w:p w14:paraId="58060CCC" w14:textId="49741F82" w:rsidR="00D10DAF" w:rsidRDefault="00156B3B" w:rsidP="003A5247">
      <w:pPr>
        <w:jc w:val="center"/>
      </w:pPr>
      <w:r>
        <w:rPr>
          <w:noProof/>
        </w:rPr>
        <w:lastRenderedPageBreak/>
        <w:drawing>
          <wp:inline distT="0" distB="0" distL="0" distR="0" wp14:anchorId="3045B191" wp14:editId="7F05F2E1">
            <wp:extent cx="5734050" cy="4061199"/>
            <wp:effectExtent l="0" t="0" r="0" b="15875"/>
            <wp:docPr id="1160024753" name="Chart 1" descr="This graph shows the Annual GP billings at a metropolitan practice (MM1)">
              <a:extLst xmlns:a="http://schemas.openxmlformats.org/drawingml/2006/main">
                <a:ext uri="{FF2B5EF4-FFF2-40B4-BE49-F238E27FC236}">
                  <a16:creationId xmlns:a16="http://schemas.microsoft.com/office/drawing/2014/main" id="{01493F12-56A8-4BAE-8B8F-D53880421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A48736" w14:textId="5ADC6FA2" w:rsidR="00532091" w:rsidRPr="009040E9" w:rsidRDefault="00532091" w:rsidP="00532091">
      <w:pPr>
        <w:pStyle w:val="Tabletitle0"/>
        <w:rPr>
          <w:lang w:val="en-US"/>
        </w:rPr>
      </w:pPr>
      <w:r w:rsidRPr="00532091">
        <w:rPr>
          <w:lang w:val="en-US"/>
        </w:rPr>
        <w:t xml:space="preserve">Annual GP billings at a metropolitan practice </w:t>
      </w:r>
      <w:r w:rsidR="004E6E3A">
        <w:rPr>
          <w:lang w:val="en-US"/>
        </w:rPr>
        <w:t xml:space="preserve">(MM1) </w:t>
      </w:r>
      <w:r w:rsidRPr="00532091">
        <w:rPr>
          <w:lang w:val="en-US"/>
        </w:rPr>
        <w:t>(2023-24)</w:t>
      </w:r>
      <w:r w:rsidR="00CC5792">
        <w:rPr>
          <w:lang w:val="en-US"/>
        </w:rPr>
        <w:t xml:space="preserve"> </w:t>
      </w:r>
    </w:p>
    <w:tbl>
      <w:tblPr>
        <w:tblStyle w:val="DepartmentofHealthtable"/>
        <w:tblW w:w="9072" w:type="dxa"/>
        <w:tblLook w:val="04A0" w:firstRow="1" w:lastRow="0" w:firstColumn="1" w:lastColumn="0" w:noHBand="0" w:noVBand="1"/>
        <w:tblDescription w:val="Add Alt Text describing the content of the table"/>
      </w:tblPr>
      <w:tblGrid>
        <w:gridCol w:w="2410"/>
        <w:gridCol w:w="2410"/>
        <w:gridCol w:w="2551"/>
        <w:gridCol w:w="1701"/>
      </w:tblGrid>
      <w:tr w:rsidR="00532091" w:rsidRPr="009040E9" w14:paraId="2C4B135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1AE3F6FD" w14:textId="0EDC05AC" w:rsidR="00532091" w:rsidRPr="009040E9" w:rsidRDefault="00532091">
            <w:pPr>
              <w:pStyle w:val="Tableheader0"/>
              <w:rPr>
                <w:rFonts w:eastAsia="Cambria"/>
                <w:lang w:val="en-US"/>
              </w:rPr>
            </w:pPr>
          </w:p>
        </w:tc>
        <w:tc>
          <w:tcPr>
            <w:tcW w:w="2410" w:type="dxa"/>
            <w:vAlign w:val="center"/>
          </w:tcPr>
          <w:p w14:paraId="36870F9E" w14:textId="77777777" w:rsidR="00532091" w:rsidRPr="009040E9" w:rsidRDefault="00532091">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Average bulk billing</w:t>
            </w:r>
          </w:p>
        </w:tc>
        <w:tc>
          <w:tcPr>
            <w:tcW w:w="2551" w:type="dxa"/>
            <w:vAlign w:val="center"/>
          </w:tcPr>
          <w:p w14:paraId="766EF3B7" w14:textId="77777777" w:rsidR="00532091" w:rsidRPr="009040E9" w:rsidRDefault="00532091" w:rsidP="009A2241">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Bulk bills every visit</w:t>
            </w:r>
          </w:p>
        </w:tc>
        <w:tc>
          <w:tcPr>
            <w:tcW w:w="1701" w:type="dxa"/>
            <w:vAlign w:val="center"/>
          </w:tcPr>
          <w:p w14:paraId="1988B316" w14:textId="77777777" w:rsidR="00532091" w:rsidRPr="009040E9" w:rsidRDefault="00532091">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7B0919">
              <w:rPr>
                <w:rFonts w:cs="Arial"/>
                <w:i/>
                <w:iCs/>
              </w:rPr>
              <w:t>Difference</w:t>
            </w:r>
          </w:p>
        </w:tc>
      </w:tr>
      <w:tr w:rsidR="008C02FE" w:rsidRPr="009040E9" w14:paraId="79D606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7326505" w14:textId="5D6D2001" w:rsidR="008C02FE" w:rsidRPr="009040E9" w:rsidRDefault="008C02FE" w:rsidP="008C02FE">
            <w:pPr>
              <w:pStyle w:val="Tabletextleft"/>
            </w:pPr>
            <w:r>
              <w:t>Total a</w:t>
            </w:r>
            <w:r w:rsidRPr="00B74C9E">
              <w:t xml:space="preserve">nnual </w:t>
            </w:r>
            <w:r>
              <w:t>billings</w:t>
            </w:r>
          </w:p>
        </w:tc>
        <w:tc>
          <w:tcPr>
            <w:tcW w:w="2410" w:type="dxa"/>
          </w:tcPr>
          <w:p w14:paraId="435A5E49" w14:textId="7667645B" w:rsidR="008C02FE" w:rsidRPr="009040E9" w:rsidRDefault="008C02FE" w:rsidP="008C02FE">
            <w:pPr>
              <w:pStyle w:val="Tabletextleft"/>
              <w:cnfStyle w:val="000000100000" w:firstRow="0" w:lastRow="0" w:firstColumn="0" w:lastColumn="0" w:oddVBand="0" w:evenVBand="0" w:oddHBand="1" w:evenHBand="0" w:firstRowFirstColumn="0" w:firstRowLastColumn="0" w:lastRowFirstColumn="0" w:lastRowLastColumn="0"/>
            </w:pPr>
            <w:r w:rsidRPr="001217E5">
              <w:t>$530,557</w:t>
            </w:r>
          </w:p>
        </w:tc>
        <w:tc>
          <w:tcPr>
            <w:tcW w:w="2551" w:type="dxa"/>
          </w:tcPr>
          <w:p w14:paraId="7CDFFED1" w14:textId="7781EFB1" w:rsidR="008C02FE" w:rsidRPr="009040E9" w:rsidRDefault="008C02FE" w:rsidP="008C02FE">
            <w:pPr>
              <w:pStyle w:val="Tabletextright0"/>
              <w:jc w:val="left"/>
              <w:cnfStyle w:val="000000100000" w:firstRow="0" w:lastRow="0" w:firstColumn="0" w:lastColumn="0" w:oddVBand="0" w:evenVBand="0" w:oddHBand="1" w:evenHBand="0" w:firstRowFirstColumn="0" w:firstRowLastColumn="0" w:lastRowFirstColumn="0" w:lastRowLastColumn="0"/>
            </w:pPr>
            <w:r w:rsidRPr="001217E5">
              <w:t>$465,190</w:t>
            </w:r>
          </w:p>
        </w:tc>
        <w:tc>
          <w:tcPr>
            <w:tcW w:w="1701" w:type="dxa"/>
          </w:tcPr>
          <w:p w14:paraId="383F9222" w14:textId="66A72056" w:rsidR="008C02FE" w:rsidRPr="00902534" w:rsidRDefault="008C02FE" w:rsidP="008C02FE">
            <w:pPr>
              <w:pStyle w:val="Tabletextright0"/>
              <w:jc w:val="left"/>
              <w:cnfStyle w:val="000000100000" w:firstRow="0" w:lastRow="0" w:firstColumn="0" w:lastColumn="0" w:oddVBand="0" w:evenVBand="0" w:oddHBand="1" w:evenHBand="0" w:firstRowFirstColumn="0" w:firstRowLastColumn="0" w:lastRowFirstColumn="0" w:lastRowLastColumn="0"/>
              <w:rPr>
                <w:color w:val="9E4C6E"/>
              </w:rPr>
            </w:pPr>
            <w:r w:rsidRPr="00902534">
              <w:rPr>
                <w:color w:val="9E4C6E"/>
              </w:rPr>
              <w:t>-$65,367</w:t>
            </w:r>
          </w:p>
        </w:tc>
      </w:tr>
      <w:tr w:rsidR="008C02FE" w:rsidRPr="009040E9" w14:paraId="03514A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2B42467" w14:textId="58652C9A" w:rsidR="008C02FE" w:rsidRPr="009040E9" w:rsidRDefault="008C02FE" w:rsidP="008C02FE">
            <w:pPr>
              <w:pStyle w:val="Tabletextleft"/>
            </w:pPr>
            <w:r>
              <w:t>F</w:t>
            </w:r>
            <w:r w:rsidRPr="00B74C9E">
              <w:t>ee to practice</w:t>
            </w:r>
            <w:r>
              <w:t xml:space="preserve"> (30%)</w:t>
            </w:r>
            <w:r w:rsidR="00230A9A">
              <w:rPr>
                <w:rStyle w:val="FootnoteReference"/>
              </w:rPr>
              <w:footnoteReference w:id="3"/>
            </w:r>
          </w:p>
        </w:tc>
        <w:tc>
          <w:tcPr>
            <w:tcW w:w="2410" w:type="dxa"/>
          </w:tcPr>
          <w:p w14:paraId="73E55610" w14:textId="0696A4E6" w:rsidR="008C02FE" w:rsidRPr="009040E9" w:rsidRDefault="008C02FE" w:rsidP="008C02FE">
            <w:pPr>
              <w:pStyle w:val="Tabletextleft"/>
              <w:cnfStyle w:val="000000010000" w:firstRow="0" w:lastRow="0" w:firstColumn="0" w:lastColumn="0" w:oddVBand="0" w:evenVBand="0" w:oddHBand="0" w:evenHBand="1" w:firstRowFirstColumn="0" w:firstRowLastColumn="0" w:lastRowFirstColumn="0" w:lastRowLastColumn="0"/>
            </w:pPr>
            <w:r w:rsidRPr="001217E5">
              <w:t>$159,167</w:t>
            </w:r>
          </w:p>
        </w:tc>
        <w:tc>
          <w:tcPr>
            <w:tcW w:w="2551" w:type="dxa"/>
          </w:tcPr>
          <w:p w14:paraId="40238B10" w14:textId="5C40AF72" w:rsidR="008C02FE" w:rsidRPr="009040E9" w:rsidRDefault="008C02FE" w:rsidP="008C02FE">
            <w:pPr>
              <w:pStyle w:val="Tabletextright0"/>
              <w:jc w:val="left"/>
              <w:cnfStyle w:val="000000010000" w:firstRow="0" w:lastRow="0" w:firstColumn="0" w:lastColumn="0" w:oddVBand="0" w:evenVBand="0" w:oddHBand="0" w:evenHBand="1" w:firstRowFirstColumn="0" w:firstRowLastColumn="0" w:lastRowFirstColumn="0" w:lastRowLastColumn="0"/>
            </w:pPr>
            <w:r w:rsidRPr="001217E5">
              <w:t>$139,557</w:t>
            </w:r>
          </w:p>
        </w:tc>
        <w:tc>
          <w:tcPr>
            <w:tcW w:w="1701" w:type="dxa"/>
          </w:tcPr>
          <w:p w14:paraId="2E9ACA57" w14:textId="277568E6" w:rsidR="008C02FE" w:rsidRPr="00902534" w:rsidRDefault="008C02FE" w:rsidP="008C02FE">
            <w:pPr>
              <w:pStyle w:val="Tabletextright0"/>
              <w:jc w:val="left"/>
              <w:cnfStyle w:val="000000010000" w:firstRow="0" w:lastRow="0" w:firstColumn="0" w:lastColumn="0" w:oddVBand="0" w:evenVBand="0" w:oddHBand="0" w:evenHBand="1" w:firstRowFirstColumn="0" w:firstRowLastColumn="0" w:lastRowFirstColumn="0" w:lastRowLastColumn="0"/>
              <w:rPr>
                <w:color w:val="9E4C6E"/>
              </w:rPr>
            </w:pPr>
            <w:r w:rsidRPr="00902534">
              <w:rPr>
                <w:color w:val="9E4C6E"/>
              </w:rPr>
              <w:t>-$19,610</w:t>
            </w:r>
          </w:p>
        </w:tc>
      </w:tr>
      <w:tr w:rsidR="008C02FE" w:rsidRPr="009040E9" w14:paraId="53B06B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0970FF0" w14:textId="77777777" w:rsidR="008C02FE" w:rsidRPr="009040E9" w:rsidRDefault="008C02FE" w:rsidP="008C02FE">
            <w:pPr>
              <w:pStyle w:val="Tabletextleft"/>
            </w:pPr>
            <w:r w:rsidRPr="00B74C9E">
              <w:t>Annual GP earnings</w:t>
            </w:r>
          </w:p>
        </w:tc>
        <w:tc>
          <w:tcPr>
            <w:tcW w:w="2410" w:type="dxa"/>
          </w:tcPr>
          <w:p w14:paraId="1E4B4C80" w14:textId="67A80FE6" w:rsidR="008C02FE" w:rsidRPr="009040E9" w:rsidRDefault="008C02FE" w:rsidP="008C02FE">
            <w:pPr>
              <w:pStyle w:val="Tabletextleft"/>
              <w:cnfStyle w:val="000000100000" w:firstRow="0" w:lastRow="0" w:firstColumn="0" w:lastColumn="0" w:oddVBand="0" w:evenVBand="0" w:oddHBand="1" w:evenHBand="0" w:firstRowFirstColumn="0" w:firstRowLastColumn="0" w:lastRowFirstColumn="0" w:lastRowLastColumn="0"/>
            </w:pPr>
            <w:r w:rsidRPr="001217E5">
              <w:t>$371,390</w:t>
            </w:r>
          </w:p>
        </w:tc>
        <w:tc>
          <w:tcPr>
            <w:tcW w:w="2551" w:type="dxa"/>
          </w:tcPr>
          <w:p w14:paraId="49C27A9B" w14:textId="3576D10F" w:rsidR="008C02FE" w:rsidRPr="009040E9" w:rsidRDefault="008C02FE" w:rsidP="008C02FE">
            <w:pPr>
              <w:pStyle w:val="Tabletextright0"/>
              <w:jc w:val="left"/>
              <w:cnfStyle w:val="000000100000" w:firstRow="0" w:lastRow="0" w:firstColumn="0" w:lastColumn="0" w:oddVBand="0" w:evenVBand="0" w:oddHBand="1" w:evenHBand="0" w:firstRowFirstColumn="0" w:firstRowLastColumn="0" w:lastRowFirstColumn="0" w:lastRowLastColumn="0"/>
            </w:pPr>
            <w:r w:rsidRPr="001217E5">
              <w:t>$325,633</w:t>
            </w:r>
          </w:p>
        </w:tc>
        <w:tc>
          <w:tcPr>
            <w:tcW w:w="1701" w:type="dxa"/>
          </w:tcPr>
          <w:p w14:paraId="44E65750" w14:textId="4BEA38B2" w:rsidR="008C02FE" w:rsidRPr="00902534" w:rsidRDefault="008C02FE" w:rsidP="008C02FE">
            <w:pPr>
              <w:pStyle w:val="Tabletextright0"/>
              <w:jc w:val="left"/>
              <w:cnfStyle w:val="000000100000" w:firstRow="0" w:lastRow="0" w:firstColumn="0" w:lastColumn="0" w:oddVBand="0" w:evenVBand="0" w:oddHBand="1" w:evenHBand="0" w:firstRowFirstColumn="0" w:firstRowLastColumn="0" w:lastRowFirstColumn="0" w:lastRowLastColumn="0"/>
              <w:rPr>
                <w:color w:val="9E4C6E"/>
              </w:rPr>
            </w:pPr>
            <w:r w:rsidRPr="00902534">
              <w:rPr>
                <w:color w:val="9E4C6E"/>
              </w:rPr>
              <w:t>-$45,757</w:t>
            </w:r>
          </w:p>
        </w:tc>
      </w:tr>
    </w:tbl>
    <w:p w14:paraId="2EA8B5EC" w14:textId="4A2C933C" w:rsidR="004920EE" w:rsidRDefault="004920EE" w:rsidP="003A5247">
      <w:pPr>
        <w:spacing w:before="240"/>
        <w:rPr>
          <w:rFonts w:cs="Arial"/>
        </w:rPr>
      </w:pPr>
      <w:r w:rsidRPr="00907749">
        <w:rPr>
          <w:rFonts w:cs="Arial"/>
        </w:rPr>
        <w:t>At a rural general practice, that gap is smaller, though still significan</w:t>
      </w:r>
      <w:r>
        <w:rPr>
          <w:rFonts w:cs="Arial"/>
        </w:rPr>
        <w:t>t:</w:t>
      </w:r>
    </w:p>
    <w:p w14:paraId="1957E5EB" w14:textId="77777777" w:rsidR="004920EE" w:rsidRPr="00907749" w:rsidRDefault="004920EE" w:rsidP="004920EE">
      <w:pPr>
        <w:rPr>
          <w:rFonts w:cs="Arial"/>
        </w:rPr>
      </w:pPr>
      <w:r w:rsidRPr="002724F4">
        <w:rPr>
          <w:rFonts w:cs="Arial"/>
          <w:b/>
          <w:bCs/>
        </w:rPr>
        <w:t xml:space="preserve">Annual GP billings at a rural practice </w:t>
      </w:r>
      <w:r>
        <w:rPr>
          <w:rFonts w:cs="Arial"/>
          <w:b/>
          <w:bCs/>
        </w:rPr>
        <w:t xml:space="preserve">(MM3-4) </w:t>
      </w:r>
      <w:r w:rsidRPr="002724F4">
        <w:rPr>
          <w:rFonts w:cs="Arial"/>
          <w:b/>
          <w:bCs/>
        </w:rPr>
        <w:t xml:space="preserve">(2023-24) </w:t>
      </w:r>
    </w:p>
    <w:tbl>
      <w:tblPr>
        <w:tblStyle w:val="DepartmentofHealthtable"/>
        <w:tblW w:w="9072" w:type="dxa"/>
        <w:tblLook w:val="04A0" w:firstRow="1" w:lastRow="0" w:firstColumn="1" w:lastColumn="0" w:noHBand="0" w:noVBand="1"/>
        <w:tblDescription w:val="Add Alt Text describing the content of the table"/>
      </w:tblPr>
      <w:tblGrid>
        <w:gridCol w:w="2410"/>
        <w:gridCol w:w="2410"/>
        <w:gridCol w:w="2551"/>
        <w:gridCol w:w="1701"/>
      </w:tblGrid>
      <w:tr w:rsidR="004920EE" w:rsidRPr="009040E9" w14:paraId="49CBF56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5C1C3146" w14:textId="77777777" w:rsidR="004920EE" w:rsidRPr="009040E9" w:rsidRDefault="004920EE">
            <w:pPr>
              <w:pStyle w:val="Tableheader0"/>
              <w:rPr>
                <w:rFonts w:eastAsia="Cambria"/>
                <w:lang w:val="en-US"/>
              </w:rPr>
            </w:pPr>
            <w:r w:rsidRPr="009040E9">
              <w:rPr>
                <w:rFonts w:eastAsia="Cambria"/>
                <w:lang w:val="en-US"/>
              </w:rPr>
              <w:t xml:space="preserve"> </w:t>
            </w:r>
          </w:p>
        </w:tc>
        <w:tc>
          <w:tcPr>
            <w:tcW w:w="2410" w:type="dxa"/>
            <w:vAlign w:val="center"/>
          </w:tcPr>
          <w:p w14:paraId="409B4084" w14:textId="77777777" w:rsidR="004920EE" w:rsidRPr="009040E9" w:rsidRDefault="004920EE">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Average bulk billing</w:t>
            </w:r>
          </w:p>
        </w:tc>
        <w:tc>
          <w:tcPr>
            <w:tcW w:w="2551" w:type="dxa"/>
            <w:vAlign w:val="center"/>
          </w:tcPr>
          <w:p w14:paraId="1F06EBFC" w14:textId="77777777" w:rsidR="004920EE" w:rsidRPr="009040E9" w:rsidRDefault="004920EE">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Bulk bills every visit</w:t>
            </w:r>
          </w:p>
        </w:tc>
        <w:tc>
          <w:tcPr>
            <w:tcW w:w="1701" w:type="dxa"/>
            <w:vAlign w:val="center"/>
          </w:tcPr>
          <w:p w14:paraId="6797E8D4" w14:textId="77777777" w:rsidR="004920EE" w:rsidRPr="009040E9" w:rsidRDefault="004920EE">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7B0919">
              <w:rPr>
                <w:rFonts w:cs="Arial"/>
                <w:i/>
                <w:iCs/>
              </w:rPr>
              <w:t>Difference</w:t>
            </w:r>
          </w:p>
        </w:tc>
      </w:tr>
      <w:tr w:rsidR="004920EE" w:rsidRPr="009040E9" w14:paraId="4E0235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091D824" w14:textId="77777777" w:rsidR="004920EE" w:rsidRPr="009040E9" w:rsidRDefault="004920EE">
            <w:pPr>
              <w:pStyle w:val="Tabletextleft"/>
            </w:pPr>
            <w:r>
              <w:t>Total a</w:t>
            </w:r>
            <w:r w:rsidRPr="00B74C9E">
              <w:t xml:space="preserve">nnual </w:t>
            </w:r>
            <w:r>
              <w:t>billings</w:t>
            </w:r>
          </w:p>
        </w:tc>
        <w:tc>
          <w:tcPr>
            <w:tcW w:w="2410" w:type="dxa"/>
          </w:tcPr>
          <w:p w14:paraId="661DBC9C" w14:textId="77777777" w:rsidR="004920EE" w:rsidRPr="009040E9" w:rsidRDefault="004920EE">
            <w:pPr>
              <w:pStyle w:val="Tabletextleft"/>
              <w:cnfStyle w:val="000000100000" w:firstRow="0" w:lastRow="0" w:firstColumn="0" w:lastColumn="0" w:oddVBand="0" w:evenVBand="0" w:oddHBand="1" w:evenHBand="0" w:firstRowFirstColumn="0" w:firstRowLastColumn="0" w:lastRowFirstColumn="0" w:lastRowLastColumn="0"/>
            </w:pPr>
            <w:r w:rsidRPr="00754B2A">
              <w:t>$577,175</w:t>
            </w:r>
          </w:p>
        </w:tc>
        <w:tc>
          <w:tcPr>
            <w:tcW w:w="2551" w:type="dxa"/>
          </w:tcPr>
          <w:p w14:paraId="1DD99D37" w14:textId="77777777" w:rsidR="004920EE" w:rsidRPr="009040E9" w:rsidRDefault="004920EE">
            <w:pPr>
              <w:pStyle w:val="Tabletextright0"/>
              <w:jc w:val="left"/>
              <w:cnfStyle w:val="000000100000" w:firstRow="0" w:lastRow="0" w:firstColumn="0" w:lastColumn="0" w:oddVBand="0" w:evenVBand="0" w:oddHBand="1" w:evenHBand="0" w:firstRowFirstColumn="0" w:firstRowLastColumn="0" w:lastRowFirstColumn="0" w:lastRowLastColumn="0"/>
            </w:pPr>
            <w:r w:rsidRPr="00754B2A">
              <w:t>$530,412</w:t>
            </w:r>
          </w:p>
        </w:tc>
        <w:tc>
          <w:tcPr>
            <w:tcW w:w="1701" w:type="dxa"/>
          </w:tcPr>
          <w:p w14:paraId="40711A14" w14:textId="77777777" w:rsidR="004920EE" w:rsidRPr="00902534" w:rsidRDefault="004920EE">
            <w:pPr>
              <w:pStyle w:val="Tabletextright0"/>
              <w:jc w:val="left"/>
              <w:cnfStyle w:val="000000100000" w:firstRow="0" w:lastRow="0" w:firstColumn="0" w:lastColumn="0" w:oddVBand="0" w:evenVBand="0" w:oddHBand="1" w:evenHBand="0" w:firstRowFirstColumn="0" w:firstRowLastColumn="0" w:lastRowFirstColumn="0" w:lastRowLastColumn="0"/>
              <w:rPr>
                <w:color w:val="9E4C6E"/>
              </w:rPr>
            </w:pPr>
            <w:r w:rsidRPr="00902534">
              <w:rPr>
                <w:color w:val="9E4C6E"/>
              </w:rPr>
              <w:t>-$46,763</w:t>
            </w:r>
          </w:p>
        </w:tc>
      </w:tr>
      <w:tr w:rsidR="004920EE" w:rsidRPr="009040E9" w14:paraId="01584ED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5CF2199" w14:textId="77777777" w:rsidR="004920EE" w:rsidRPr="009040E9" w:rsidRDefault="004920EE">
            <w:pPr>
              <w:pStyle w:val="Tabletextleft"/>
            </w:pPr>
            <w:r>
              <w:t>F</w:t>
            </w:r>
            <w:r w:rsidRPr="00B74C9E">
              <w:t>ee to practice</w:t>
            </w:r>
            <w:r>
              <w:t xml:space="preserve"> (30%)</w:t>
            </w:r>
          </w:p>
        </w:tc>
        <w:tc>
          <w:tcPr>
            <w:tcW w:w="2410" w:type="dxa"/>
          </w:tcPr>
          <w:p w14:paraId="3648BD74" w14:textId="77777777" w:rsidR="004920EE" w:rsidRPr="009040E9" w:rsidRDefault="004920EE">
            <w:pPr>
              <w:pStyle w:val="Tabletextleft"/>
              <w:cnfStyle w:val="000000010000" w:firstRow="0" w:lastRow="0" w:firstColumn="0" w:lastColumn="0" w:oddVBand="0" w:evenVBand="0" w:oddHBand="0" w:evenHBand="1" w:firstRowFirstColumn="0" w:firstRowLastColumn="0" w:lastRowFirstColumn="0" w:lastRowLastColumn="0"/>
            </w:pPr>
            <w:r w:rsidRPr="00754B2A">
              <w:t>$173,15</w:t>
            </w:r>
            <w:r>
              <w:t>3</w:t>
            </w:r>
          </w:p>
        </w:tc>
        <w:tc>
          <w:tcPr>
            <w:tcW w:w="2551" w:type="dxa"/>
          </w:tcPr>
          <w:p w14:paraId="1F98E0F0" w14:textId="77777777" w:rsidR="004920EE" w:rsidRPr="009040E9" w:rsidRDefault="004920EE">
            <w:pPr>
              <w:pStyle w:val="Tabletextright0"/>
              <w:jc w:val="left"/>
              <w:cnfStyle w:val="000000010000" w:firstRow="0" w:lastRow="0" w:firstColumn="0" w:lastColumn="0" w:oddVBand="0" w:evenVBand="0" w:oddHBand="0" w:evenHBand="1" w:firstRowFirstColumn="0" w:firstRowLastColumn="0" w:lastRowFirstColumn="0" w:lastRowLastColumn="0"/>
            </w:pPr>
            <w:r w:rsidRPr="00754B2A">
              <w:t>$159,124</w:t>
            </w:r>
          </w:p>
        </w:tc>
        <w:tc>
          <w:tcPr>
            <w:tcW w:w="1701" w:type="dxa"/>
          </w:tcPr>
          <w:p w14:paraId="46FA09D7" w14:textId="77777777" w:rsidR="004920EE" w:rsidRPr="00902534" w:rsidRDefault="004920EE">
            <w:pPr>
              <w:pStyle w:val="Tabletextright0"/>
              <w:jc w:val="left"/>
              <w:cnfStyle w:val="000000010000" w:firstRow="0" w:lastRow="0" w:firstColumn="0" w:lastColumn="0" w:oddVBand="0" w:evenVBand="0" w:oddHBand="0" w:evenHBand="1" w:firstRowFirstColumn="0" w:firstRowLastColumn="0" w:lastRowFirstColumn="0" w:lastRowLastColumn="0"/>
              <w:rPr>
                <w:color w:val="9E4C6E"/>
              </w:rPr>
            </w:pPr>
            <w:r w:rsidRPr="00902534">
              <w:rPr>
                <w:color w:val="9E4C6E"/>
              </w:rPr>
              <w:t>-$14,029</w:t>
            </w:r>
          </w:p>
        </w:tc>
      </w:tr>
      <w:tr w:rsidR="004920EE" w:rsidRPr="009040E9" w14:paraId="1A8E6F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3D5E18E" w14:textId="77777777" w:rsidR="004920EE" w:rsidRPr="009040E9" w:rsidRDefault="004920EE">
            <w:pPr>
              <w:pStyle w:val="Tabletextleft"/>
            </w:pPr>
            <w:r w:rsidRPr="00B74C9E">
              <w:t>Annual GP earnings</w:t>
            </w:r>
          </w:p>
        </w:tc>
        <w:tc>
          <w:tcPr>
            <w:tcW w:w="2410" w:type="dxa"/>
          </w:tcPr>
          <w:p w14:paraId="2F3ACEB1" w14:textId="77777777" w:rsidR="004920EE" w:rsidRPr="009040E9" w:rsidRDefault="004920EE">
            <w:pPr>
              <w:pStyle w:val="Tabletextleft"/>
              <w:cnfStyle w:val="000000100000" w:firstRow="0" w:lastRow="0" w:firstColumn="0" w:lastColumn="0" w:oddVBand="0" w:evenVBand="0" w:oddHBand="1" w:evenHBand="0" w:firstRowFirstColumn="0" w:firstRowLastColumn="0" w:lastRowFirstColumn="0" w:lastRowLastColumn="0"/>
            </w:pPr>
            <w:r w:rsidRPr="00754B2A">
              <w:t>$404,022</w:t>
            </w:r>
          </w:p>
        </w:tc>
        <w:tc>
          <w:tcPr>
            <w:tcW w:w="2551" w:type="dxa"/>
          </w:tcPr>
          <w:p w14:paraId="7E1833ED" w14:textId="77777777" w:rsidR="004920EE" w:rsidRPr="009040E9" w:rsidRDefault="004920EE">
            <w:pPr>
              <w:pStyle w:val="Tabletextright0"/>
              <w:jc w:val="left"/>
              <w:cnfStyle w:val="000000100000" w:firstRow="0" w:lastRow="0" w:firstColumn="0" w:lastColumn="0" w:oddVBand="0" w:evenVBand="0" w:oddHBand="1" w:evenHBand="0" w:firstRowFirstColumn="0" w:firstRowLastColumn="0" w:lastRowFirstColumn="0" w:lastRowLastColumn="0"/>
            </w:pPr>
            <w:r w:rsidRPr="00754B2A">
              <w:t>$371,288</w:t>
            </w:r>
          </w:p>
        </w:tc>
        <w:tc>
          <w:tcPr>
            <w:tcW w:w="1701" w:type="dxa"/>
          </w:tcPr>
          <w:p w14:paraId="018D0892" w14:textId="77777777" w:rsidR="004920EE" w:rsidRPr="00902534" w:rsidRDefault="004920EE">
            <w:pPr>
              <w:pStyle w:val="Tabletextright0"/>
              <w:jc w:val="left"/>
              <w:cnfStyle w:val="000000100000" w:firstRow="0" w:lastRow="0" w:firstColumn="0" w:lastColumn="0" w:oddVBand="0" w:evenVBand="0" w:oddHBand="1" w:evenHBand="0" w:firstRowFirstColumn="0" w:firstRowLastColumn="0" w:lastRowFirstColumn="0" w:lastRowLastColumn="0"/>
              <w:rPr>
                <w:color w:val="9E4C6E"/>
              </w:rPr>
            </w:pPr>
            <w:r w:rsidRPr="00902534">
              <w:rPr>
                <w:color w:val="9E4C6E"/>
              </w:rPr>
              <w:t>-$32,734</w:t>
            </w:r>
          </w:p>
        </w:tc>
      </w:tr>
    </w:tbl>
    <w:p w14:paraId="65577C20" w14:textId="77777777" w:rsidR="004920EE" w:rsidRDefault="004920EE" w:rsidP="004920EE">
      <w:pPr>
        <w:rPr>
          <w:rFonts w:cs="Arial"/>
        </w:rPr>
      </w:pPr>
      <w:r w:rsidRPr="00907749">
        <w:rPr>
          <w:rFonts w:cs="Arial"/>
        </w:rPr>
        <w:t>The new investments will bridge that gap</w:t>
      </w:r>
      <w:r>
        <w:rPr>
          <w:rFonts w:cs="Arial"/>
        </w:rPr>
        <w:t xml:space="preserve">, so </w:t>
      </w:r>
      <w:r w:rsidRPr="00907749">
        <w:rPr>
          <w:rFonts w:cs="Arial"/>
        </w:rPr>
        <w:t xml:space="preserve">that </w:t>
      </w:r>
      <w:r>
        <w:rPr>
          <w:rFonts w:cs="Arial"/>
        </w:rPr>
        <w:t xml:space="preserve">fully bulk billing </w:t>
      </w:r>
      <w:r w:rsidRPr="00907749">
        <w:rPr>
          <w:rFonts w:cs="Arial"/>
        </w:rPr>
        <w:t xml:space="preserve">GPs </w:t>
      </w:r>
      <w:r>
        <w:rPr>
          <w:rFonts w:cs="Arial"/>
        </w:rPr>
        <w:t xml:space="preserve">receive the same as mixed billing </w:t>
      </w:r>
      <w:r w:rsidRPr="00907749">
        <w:rPr>
          <w:rFonts w:cs="Arial"/>
        </w:rPr>
        <w:t>GP</w:t>
      </w:r>
      <w:r>
        <w:rPr>
          <w:rFonts w:cs="Arial"/>
        </w:rPr>
        <w:t>s for providing the same number of services</w:t>
      </w:r>
      <w:r w:rsidRPr="00907749">
        <w:rPr>
          <w:rFonts w:cs="Arial"/>
        </w:rPr>
        <w:t>.</w:t>
      </w:r>
      <w:r>
        <w:rPr>
          <w:rFonts w:cs="Arial"/>
        </w:rPr>
        <w:t xml:space="preserve"> </w:t>
      </w:r>
    </w:p>
    <w:p w14:paraId="3D5F2A8F" w14:textId="5454D3F5" w:rsidR="00EF4E91" w:rsidRDefault="003D67AE" w:rsidP="00AF1D39">
      <w:pPr>
        <w:jc w:val="center"/>
        <w:rPr>
          <w:rFonts w:cs="Arial"/>
        </w:rPr>
      </w:pPr>
      <w:r>
        <w:rPr>
          <w:noProof/>
        </w:rPr>
        <w:lastRenderedPageBreak/>
        <w:drawing>
          <wp:inline distT="0" distB="0" distL="0" distR="0" wp14:anchorId="65AAA8F7" wp14:editId="07AAF0B9">
            <wp:extent cx="5543550" cy="3600450"/>
            <wp:effectExtent l="0" t="0" r="0" b="0"/>
            <wp:docPr id="1169161920" name="Chart 1" descr="This graph shows the annual GP billings at a metropolitan practice (2023-24)">
              <a:extLst xmlns:a="http://schemas.openxmlformats.org/drawingml/2006/main">
                <a:ext uri="{FF2B5EF4-FFF2-40B4-BE49-F238E27FC236}">
                  <a16:creationId xmlns:a16="http://schemas.microsoft.com/office/drawing/2014/main" id="{EC485423-B2FB-41CF-BE0A-65D533E9E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168D87" w14:textId="3BE30482" w:rsidR="00ED2A81" w:rsidRDefault="00844A5B" w:rsidP="00AF1D39">
      <w:pPr>
        <w:pStyle w:val="Tabletitle0"/>
        <w:jc w:val="center"/>
        <w:rPr>
          <w:lang w:val="en-US"/>
        </w:rPr>
      </w:pPr>
      <w:r>
        <w:rPr>
          <w:noProof/>
        </w:rPr>
        <w:drawing>
          <wp:inline distT="0" distB="0" distL="0" distR="0" wp14:anchorId="318BD757" wp14:editId="40EBA574">
            <wp:extent cx="5544000" cy="3600000"/>
            <wp:effectExtent l="0" t="0" r="0" b="635"/>
            <wp:docPr id="1630771618" name="Chart 1" descr="This graph shows the annual GP billings at a metropolitan practice from 1 November 2025">
              <a:extLst xmlns:a="http://schemas.openxmlformats.org/drawingml/2006/main">
                <a:ext uri="{FF2B5EF4-FFF2-40B4-BE49-F238E27FC236}">
                  <a16:creationId xmlns:a16="http://schemas.microsoft.com/office/drawing/2014/main" id="{EFB44C34-2CF9-46A8-90F7-73E21A852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1ED285" w14:textId="77777777" w:rsidR="004920EE" w:rsidRDefault="004920EE">
      <w:pPr>
        <w:spacing w:before="0" w:after="0" w:line="240" w:lineRule="auto"/>
        <w:rPr>
          <w:b/>
          <w:bCs/>
          <w:szCs w:val="20"/>
          <w:lang w:val="en-US"/>
        </w:rPr>
      </w:pPr>
      <w:r>
        <w:rPr>
          <w:lang w:val="en-US"/>
        </w:rPr>
        <w:br w:type="page"/>
      </w:r>
    </w:p>
    <w:p w14:paraId="21C8624A" w14:textId="4955A81A" w:rsidR="002724F4" w:rsidRPr="009040E9" w:rsidRDefault="002724F4" w:rsidP="002724F4">
      <w:pPr>
        <w:pStyle w:val="Tabletitle0"/>
        <w:rPr>
          <w:lang w:val="en-US"/>
        </w:rPr>
      </w:pPr>
      <w:r w:rsidRPr="002724F4">
        <w:rPr>
          <w:lang w:val="en-US"/>
        </w:rPr>
        <w:lastRenderedPageBreak/>
        <w:t xml:space="preserve">Annual GP </w:t>
      </w:r>
      <w:r w:rsidR="00B03E81">
        <w:rPr>
          <w:lang w:val="en-US"/>
        </w:rPr>
        <w:t>billings</w:t>
      </w:r>
      <w:r w:rsidR="00B03E81" w:rsidRPr="002724F4">
        <w:rPr>
          <w:lang w:val="en-US"/>
        </w:rPr>
        <w:t xml:space="preserve"> </w:t>
      </w:r>
      <w:r w:rsidRPr="002724F4">
        <w:rPr>
          <w:lang w:val="en-US"/>
        </w:rPr>
        <w:t>at a metropolitan practice</w:t>
      </w:r>
      <w:r w:rsidR="000C4F16">
        <w:rPr>
          <w:lang w:val="en-US"/>
        </w:rPr>
        <w:t xml:space="preserve"> (MM1)</w:t>
      </w:r>
      <w:r w:rsidRPr="002724F4">
        <w:rPr>
          <w:lang w:val="en-US"/>
        </w:rPr>
        <w:t xml:space="preserve"> (from 1 November</w:t>
      </w:r>
      <w:r>
        <w:rPr>
          <w:lang w:val="en-US"/>
        </w:rPr>
        <w:t xml:space="preserve"> 2025</w:t>
      </w:r>
      <w:r w:rsidRPr="002724F4">
        <w:rPr>
          <w:lang w:val="en-US"/>
        </w:rPr>
        <w:t>)</w:t>
      </w:r>
    </w:p>
    <w:tbl>
      <w:tblPr>
        <w:tblStyle w:val="DepartmentofHealthtable"/>
        <w:tblW w:w="9072" w:type="dxa"/>
        <w:tblLook w:val="04A0" w:firstRow="1" w:lastRow="0" w:firstColumn="1" w:lastColumn="0" w:noHBand="0" w:noVBand="1"/>
        <w:tblDescription w:val="Add Alt Text describing the content of the table"/>
      </w:tblPr>
      <w:tblGrid>
        <w:gridCol w:w="2410"/>
        <w:gridCol w:w="2410"/>
        <w:gridCol w:w="2551"/>
        <w:gridCol w:w="1701"/>
      </w:tblGrid>
      <w:tr w:rsidR="002724F4" w:rsidRPr="009040E9" w14:paraId="60F6E55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1F6F76F1" w14:textId="77777777" w:rsidR="002724F4" w:rsidRPr="009040E9" w:rsidRDefault="002724F4">
            <w:pPr>
              <w:pStyle w:val="Tableheader0"/>
              <w:rPr>
                <w:rFonts w:eastAsia="Cambria"/>
                <w:lang w:val="en-US"/>
              </w:rPr>
            </w:pPr>
          </w:p>
        </w:tc>
        <w:tc>
          <w:tcPr>
            <w:tcW w:w="2410" w:type="dxa"/>
            <w:vAlign w:val="center"/>
          </w:tcPr>
          <w:p w14:paraId="1232CF06" w14:textId="77777777" w:rsidR="002724F4" w:rsidRPr="009040E9" w:rsidRDefault="002724F4">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Average bulk billing</w:t>
            </w:r>
          </w:p>
        </w:tc>
        <w:tc>
          <w:tcPr>
            <w:tcW w:w="2551" w:type="dxa"/>
            <w:vAlign w:val="center"/>
          </w:tcPr>
          <w:p w14:paraId="423CD9FE" w14:textId="77777777" w:rsidR="002724F4" w:rsidRPr="009040E9" w:rsidRDefault="002724F4">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Bulk bills every visit</w:t>
            </w:r>
          </w:p>
        </w:tc>
        <w:tc>
          <w:tcPr>
            <w:tcW w:w="1701" w:type="dxa"/>
            <w:vAlign w:val="center"/>
          </w:tcPr>
          <w:p w14:paraId="3383C3AF" w14:textId="77777777" w:rsidR="002724F4" w:rsidRPr="009040E9" w:rsidRDefault="002724F4">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7B0919">
              <w:rPr>
                <w:rFonts w:cs="Arial"/>
                <w:i/>
                <w:iCs/>
              </w:rPr>
              <w:t>Difference</w:t>
            </w:r>
          </w:p>
        </w:tc>
      </w:tr>
      <w:tr w:rsidR="00FE51E1" w:rsidRPr="009040E9" w14:paraId="674455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AC83EF8" w14:textId="6E90C6DA" w:rsidR="00FE51E1" w:rsidRPr="009040E9" w:rsidRDefault="00FE51E1" w:rsidP="00FE51E1">
            <w:pPr>
              <w:pStyle w:val="Tabletextleft"/>
            </w:pPr>
            <w:r>
              <w:t>Total a</w:t>
            </w:r>
            <w:r w:rsidRPr="00B74C9E">
              <w:t xml:space="preserve">nnual </w:t>
            </w:r>
            <w:r>
              <w:t>billings</w:t>
            </w:r>
          </w:p>
        </w:tc>
        <w:tc>
          <w:tcPr>
            <w:tcW w:w="2410" w:type="dxa"/>
          </w:tcPr>
          <w:p w14:paraId="6F24BB88" w14:textId="66A03B70" w:rsidR="00FE51E1" w:rsidRPr="009040E9" w:rsidRDefault="00FE51E1" w:rsidP="00FE51E1">
            <w:pPr>
              <w:pStyle w:val="Tabletextleft"/>
              <w:cnfStyle w:val="000000100000" w:firstRow="0" w:lastRow="0" w:firstColumn="0" w:lastColumn="0" w:oddVBand="0" w:evenVBand="0" w:oddHBand="1" w:evenHBand="0" w:firstRowFirstColumn="0" w:firstRowLastColumn="0" w:lastRowFirstColumn="0" w:lastRowLastColumn="0"/>
            </w:pPr>
            <w:r w:rsidRPr="00166B1D">
              <w:t>$569,211</w:t>
            </w:r>
          </w:p>
        </w:tc>
        <w:tc>
          <w:tcPr>
            <w:tcW w:w="2551" w:type="dxa"/>
          </w:tcPr>
          <w:p w14:paraId="6F3B51F4" w14:textId="416AA167" w:rsidR="00FE51E1" w:rsidRPr="009040E9" w:rsidRDefault="00FE51E1" w:rsidP="00FE51E1">
            <w:pPr>
              <w:pStyle w:val="Tabletextright0"/>
              <w:jc w:val="left"/>
              <w:cnfStyle w:val="000000100000" w:firstRow="0" w:lastRow="0" w:firstColumn="0" w:lastColumn="0" w:oddVBand="0" w:evenVBand="0" w:oddHBand="1" w:evenHBand="0" w:firstRowFirstColumn="0" w:firstRowLastColumn="0" w:lastRowFirstColumn="0" w:lastRowLastColumn="0"/>
            </w:pPr>
            <w:r w:rsidRPr="00166B1D">
              <w:t>$576,864</w:t>
            </w:r>
          </w:p>
        </w:tc>
        <w:tc>
          <w:tcPr>
            <w:tcW w:w="1701" w:type="dxa"/>
          </w:tcPr>
          <w:p w14:paraId="51C40017" w14:textId="32BEBE51" w:rsidR="00FE51E1" w:rsidRPr="00532091" w:rsidRDefault="00FE51E1" w:rsidP="00FE51E1">
            <w:pPr>
              <w:pStyle w:val="Tabletextright0"/>
              <w:jc w:val="left"/>
              <w:cnfStyle w:val="000000100000" w:firstRow="0" w:lastRow="0" w:firstColumn="0" w:lastColumn="0" w:oddVBand="0" w:evenVBand="0" w:oddHBand="1" w:evenHBand="0" w:firstRowFirstColumn="0" w:firstRowLastColumn="0" w:lastRowFirstColumn="0" w:lastRowLastColumn="0"/>
            </w:pPr>
            <w:r w:rsidRPr="00166B1D">
              <w:t>$7,653</w:t>
            </w:r>
          </w:p>
        </w:tc>
      </w:tr>
      <w:tr w:rsidR="00FE51E1" w:rsidRPr="009040E9" w14:paraId="1C4319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38A9C0F" w14:textId="05BCE543" w:rsidR="00FE51E1" w:rsidRPr="009040E9" w:rsidRDefault="00FE51E1" w:rsidP="00FE51E1">
            <w:pPr>
              <w:pStyle w:val="Tabletextleft"/>
            </w:pPr>
            <w:r>
              <w:t>F</w:t>
            </w:r>
            <w:r w:rsidRPr="00B74C9E">
              <w:t>ee to practice</w:t>
            </w:r>
            <w:r>
              <w:t xml:space="preserve"> (30%)</w:t>
            </w:r>
          </w:p>
        </w:tc>
        <w:tc>
          <w:tcPr>
            <w:tcW w:w="2410" w:type="dxa"/>
          </w:tcPr>
          <w:p w14:paraId="3791C0CB" w14:textId="5A97F15B" w:rsidR="00FE51E1" w:rsidRPr="009040E9" w:rsidRDefault="00FE51E1" w:rsidP="00FE51E1">
            <w:pPr>
              <w:pStyle w:val="Tabletextleft"/>
              <w:cnfStyle w:val="000000010000" w:firstRow="0" w:lastRow="0" w:firstColumn="0" w:lastColumn="0" w:oddVBand="0" w:evenVBand="0" w:oddHBand="0" w:evenHBand="1" w:firstRowFirstColumn="0" w:firstRowLastColumn="0" w:lastRowFirstColumn="0" w:lastRowLastColumn="0"/>
            </w:pPr>
            <w:r w:rsidRPr="00166B1D">
              <w:t>$170,763</w:t>
            </w:r>
          </w:p>
        </w:tc>
        <w:tc>
          <w:tcPr>
            <w:tcW w:w="2551" w:type="dxa"/>
          </w:tcPr>
          <w:p w14:paraId="6D9E0150" w14:textId="12131849" w:rsidR="00FE51E1" w:rsidRPr="009040E9" w:rsidRDefault="00FE51E1" w:rsidP="00FE51E1">
            <w:pPr>
              <w:pStyle w:val="Tabletextright0"/>
              <w:jc w:val="left"/>
              <w:cnfStyle w:val="000000010000" w:firstRow="0" w:lastRow="0" w:firstColumn="0" w:lastColumn="0" w:oddVBand="0" w:evenVBand="0" w:oddHBand="0" w:evenHBand="1" w:firstRowFirstColumn="0" w:firstRowLastColumn="0" w:lastRowFirstColumn="0" w:lastRowLastColumn="0"/>
            </w:pPr>
            <w:r w:rsidRPr="00166B1D">
              <w:t>$173,059</w:t>
            </w:r>
          </w:p>
        </w:tc>
        <w:tc>
          <w:tcPr>
            <w:tcW w:w="1701" w:type="dxa"/>
          </w:tcPr>
          <w:p w14:paraId="61A54489" w14:textId="01977566" w:rsidR="00FE51E1" w:rsidRPr="00532091" w:rsidRDefault="00FE51E1" w:rsidP="00FE51E1">
            <w:pPr>
              <w:pStyle w:val="Tabletextright0"/>
              <w:jc w:val="left"/>
              <w:cnfStyle w:val="000000010000" w:firstRow="0" w:lastRow="0" w:firstColumn="0" w:lastColumn="0" w:oddVBand="0" w:evenVBand="0" w:oddHBand="0" w:evenHBand="1" w:firstRowFirstColumn="0" w:firstRowLastColumn="0" w:lastRowFirstColumn="0" w:lastRowLastColumn="0"/>
              <w:rPr>
                <w:color w:val="FF0000"/>
              </w:rPr>
            </w:pPr>
            <w:r w:rsidRPr="00166B1D">
              <w:t>$2,296</w:t>
            </w:r>
          </w:p>
        </w:tc>
      </w:tr>
      <w:tr w:rsidR="00FE51E1" w:rsidRPr="009040E9" w14:paraId="7E88AE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5478BD8" w14:textId="77777777" w:rsidR="00FE51E1" w:rsidRPr="009040E9" w:rsidRDefault="00FE51E1" w:rsidP="00FE51E1">
            <w:pPr>
              <w:pStyle w:val="Tabletextleft"/>
            </w:pPr>
            <w:r w:rsidRPr="00B74C9E">
              <w:t>Annual GP earnings</w:t>
            </w:r>
          </w:p>
        </w:tc>
        <w:tc>
          <w:tcPr>
            <w:tcW w:w="2410" w:type="dxa"/>
          </w:tcPr>
          <w:p w14:paraId="34CCAE05" w14:textId="2A7F8B78" w:rsidR="00FE51E1" w:rsidRPr="009040E9" w:rsidRDefault="00FE51E1" w:rsidP="00FE51E1">
            <w:pPr>
              <w:pStyle w:val="Tabletextleft"/>
              <w:cnfStyle w:val="000000100000" w:firstRow="0" w:lastRow="0" w:firstColumn="0" w:lastColumn="0" w:oddVBand="0" w:evenVBand="0" w:oddHBand="1" w:evenHBand="0" w:firstRowFirstColumn="0" w:firstRowLastColumn="0" w:lastRowFirstColumn="0" w:lastRowLastColumn="0"/>
            </w:pPr>
            <w:r w:rsidRPr="00166B1D">
              <w:t>$398,448</w:t>
            </w:r>
          </w:p>
        </w:tc>
        <w:tc>
          <w:tcPr>
            <w:tcW w:w="2551" w:type="dxa"/>
          </w:tcPr>
          <w:p w14:paraId="2B3CB369" w14:textId="7A164405" w:rsidR="00FE51E1" w:rsidRPr="009040E9" w:rsidRDefault="00FE51E1" w:rsidP="00FE51E1">
            <w:pPr>
              <w:pStyle w:val="Tabletextright0"/>
              <w:jc w:val="left"/>
              <w:cnfStyle w:val="000000100000" w:firstRow="0" w:lastRow="0" w:firstColumn="0" w:lastColumn="0" w:oddVBand="0" w:evenVBand="0" w:oddHBand="1" w:evenHBand="0" w:firstRowFirstColumn="0" w:firstRowLastColumn="0" w:lastRowFirstColumn="0" w:lastRowLastColumn="0"/>
            </w:pPr>
            <w:r w:rsidRPr="00166B1D">
              <w:t>$403,805</w:t>
            </w:r>
          </w:p>
        </w:tc>
        <w:tc>
          <w:tcPr>
            <w:tcW w:w="1701" w:type="dxa"/>
          </w:tcPr>
          <w:p w14:paraId="52BB8275" w14:textId="433C7FD2" w:rsidR="00FE51E1" w:rsidRPr="00532091" w:rsidRDefault="00FE51E1" w:rsidP="00FE51E1">
            <w:pPr>
              <w:pStyle w:val="Tabletextright0"/>
              <w:jc w:val="left"/>
              <w:cnfStyle w:val="000000100000" w:firstRow="0" w:lastRow="0" w:firstColumn="0" w:lastColumn="0" w:oddVBand="0" w:evenVBand="0" w:oddHBand="1" w:evenHBand="0" w:firstRowFirstColumn="0" w:firstRowLastColumn="0" w:lastRowFirstColumn="0" w:lastRowLastColumn="0"/>
              <w:rPr>
                <w:color w:val="FF0000"/>
              </w:rPr>
            </w:pPr>
            <w:r w:rsidRPr="00166B1D">
              <w:t>$5,357</w:t>
            </w:r>
          </w:p>
        </w:tc>
      </w:tr>
    </w:tbl>
    <w:p w14:paraId="206BC8AA" w14:textId="55BF3BA7" w:rsidR="00E8173A" w:rsidRDefault="00E75559" w:rsidP="002724F4">
      <w:pPr>
        <w:rPr>
          <w:rFonts w:cs="Arial"/>
        </w:rPr>
      </w:pPr>
      <w:r>
        <w:rPr>
          <w:rFonts w:cs="Arial"/>
        </w:rPr>
        <w:br/>
      </w:r>
      <w:r w:rsidR="002724F4" w:rsidRPr="00907749">
        <w:rPr>
          <w:rFonts w:cs="Arial"/>
        </w:rPr>
        <w:t xml:space="preserve">At a rural practice, GPs that bulk bill every visit will </w:t>
      </w:r>
      <w:r w:rsidR="00C15672">
        <w:rPr>
          <w:rFonts w:cs="Arial"/>
        </w:rPr>
        <w:t>receive</w:t>
      </w:r>
      <w:r w:rsidR="00C15672" w:rsidRPr="00907749">
        <w:rPr>
          <w:rFonts w:cs="Arial"/>
        </w:rPr>
        <w:t xml:space="preserve"> </w:t>
      </w:r>
      <w:r w:rsidR="002724F4" w:rsidRPr="00907749">
        <w:rPr>
          <w:rFonts w:cs="Arial"/>
        </w:rPr>
        <w:t>significantly more than those with average rates of bulk billing</w:t>
      </w:r>
      <w:r w:rsidR="00E8173A">
        <w:rPr>
          <w:rFonts w:cs="Arial"/>
        </w:rPr>
        <w:t>.</w:t>
      </w:r>
    </w:p>
    <w:p w14:paraId="2AA944D2" w14:textId="12139990" w:rsidR="002724F4" w:rsidRPr="00907749" w:rsidRDefault="002724F4" w:rsidP="002724F4">
      <w:pPr>
        <w:rPr>
          <w:rFonts w:cs="Arial"/>
        </w:rPr>
      </w:pPr>
      <w:r w:rsidRPr="002724F4">
        <w:rPr>
          <w:rFonts w:cs="Arial"/>
          <w:b/>
          <w:bCs/>
        </w:rPr>
        <w:t xml:space="preserve">Annual GP </w:t>
      </w:r>
      <w:r w:rsidR="008A7911">
        <w:rPr>
          <w:rFonts w:cs="Arial"/>
          <w:b/>
          <w:bCs/>
        </w:rPr>
        <w:t xml:space="preserve">billings </w:t>
      </w:r>
      <w:r w:rsidRPr="002724F4">
        <w:rPr>
          <w:rFonts w:cs="Arial"/>
          <w:b/>
          <w:bCs/>
        </w:rPr>
        <w:t xml:space="preserve">at a rural practice </w:t>
      </w:r>
      <w:r w:rsidR="000C4F16">
        <w:rPr>
          <w:rFonts w:cs="Arial"/>
          <w:b/>
          <w:bCs/>
        </w:rPr>
        <w:t>(</w:t>
      </w:r>
      <w:r w:rsidR="0096331A">
        <w:rPr>
          <w:rFonts w:cs="Arial"/>
          <w:b/>
          <w:bCs/>
        </w:rPr>
        <w:t>MM3-4</w:t>
      </w:r>
      <w:r w:rsidR="000C4F16">
        <w:rPr>
          <w:rFonts w:cs="Arial"/>
          <w:b/>
          <w:bCs/>
        </w:rPr>
        <w:t xml:space="preserve">) </w:t>
      </w:r>
      <w:r w:rsidRPr="002724F4">
        <w:rPr>
          <w:rFonts w:cs="Arial"/>
          <w:b/>
          <w:bCs/>
        </w:rPr>
        <w:t>(from 1 November</w:t>
      </w:r>
      <w:r>
        <w:rPr>
          <w:rFonts w:cs="Arial"/>
          <w:b/>
          <w:bCs/>
        </w:rPr>
        <w:t xml:space="preserve"> 2025</w:t>
      </w:r>
      <w:r w:rsidRPr="002724F4">
        <w:rPr>
          <w:rFonts w:cs="Arial"/>
          <w:b/>
          <w:bCs/>
        </w:rPr>
        <w:t>)</w:t>
      </w:r>
    </w:p>
    <w:tbl>
      <w:tblPr>
        <w:tblStyle w:val="DepartmentofHealthtable"/>
        <w:tblW w:w="9072" w:type="dxa"/>
        <w:tblLook w:val="04A0" w:firstRow="1" w:lastRow="0" w:firstColumn="1" w:lastColumn="0" w:noHBand="0" w:noVBand="1"/>
        <w:tblDescription w:val="Add Alt Text describing the content of the table"/>
      </w:tblPr>
      <w:tblGrid>
        <w:gridCol w:w="2410"/>
        <w:gridCol w:w="2410"/>
        <w:gridCol w:w="2551"/>
        <w:gridCol w:w="1701"/>
      </w:tblGrid>
      <w:tr w:rsidR="002724F4" w:rsidRPr="009040E9" w14:paraId="72099D62" w14:textId="77777777" w:rsidTr="005320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3AC1EBAE" w14:textId="77777777" w:rsidR="002724F4" w:rsidRPr="009040E9" w:rsidRDefault="002724F4">
            <w:pPr>
              <w:pStyle w:val="Tableheader0"/>
              <w:rPr>
                <w:rFonts w:eastAsia="Cambria"/>
                <w:lang w:val="en-US"/>
              </w:rPr>
            </w:pPr>
            <w:r w:rsidRPr="009040E9">
              <w:rPr>
                <w:rFonts w:eastAsia="Cambria"/>
                <w:lang w:val="en-US"/>
              </w:rPr>
              <w:t xml:space="preserve"> </w:t>
            </w:r>
          </w:p>
        </w:tc>
        <w:tc>
          <w:tcPr>
            <w:tcW w:w="2410" w:type="dxa"/>
            <w:vAlign w:val="center"/>
          </w:tcPr>
          <w:p w14:paraId="3C7B3F50" w14:textId="77777777" w:rsidR="002724F4" w:rsidRPr="009040E9" w:rsidRDefault="002724F4">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Average bulk billing</w:t>
            </w:r>
          </w:p>
        </w:tc>
        <w:tc>
          <w:tcPr>
            <w:tcW w:w="2551" w:type="dxa"/>
            <w:vAlign w:val="center"/>
          </w:tcPr>
          <w:p w14:paraId="5F38B661" w14:textId="77777777" w:rsidR="002724F4" w:rsidRPr="009040E9" w:rsidRDefault="002724F4">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Bulk bills every visit</w:t>
            </w:r>
          </w:p>
        </w:tc>
        <w:tc>
          <w:tcPr>
            <w:tcW w:w="1701" w:type="dxa"/>
            <w:vAlign w:val="center"/>
          </w:tcPr>
          <w:p w14:paraId="1DB98AAC" w14:textId="77777777" w:rsidR="002724F4" w:rsidRPr="009040E9" w:rsidRDefault="002724F4">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7B0919">
              <w:rPr>
                <w:rFonts w:cs="Arial"/>
                <w:i/>
                <w:iCs/>
              </w:rPr>
              <w:t>Difference</w:t>
            </w:r>
          </w:p>
        </w:tc>
      </w:tr>
      <w:tr w:rsidR="00FE51E1" w:rsidRPr="009040E9" w14:paraId="4727B110" w14:textId="77777777" w:rsidTr="0053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5E79B94" w14:textId="2A345ABD" w:rsidR="00FE51E1" w:rsidRPr="009040E9" w:rsidRDefault="00FE51E1" w:rsidP="00FE51E1">
            <w:pPr>
              <w:pStyle w:val="Tabletextleft"/>
            </w:pPr>
            <w:r>
              <w:t>Total annual</w:t>
            </w:r>
            <w:r w:rsidRPr="00B74C9E">
              <w:t xml:space="preserve"> </w:t>
            </w:r>
            <w:r>
              <w:t>billings</w:t>
            </w:r>
          </w:p>
        </w:tc>
        <w:tc>
          <w:tcPr>
            <w:tcW w:w="2410" w:type="dxa"/>
          </w:tcPr>
          <w:p w14:paraId="51487B05" w14:textId="0300713C" w:rsidR="00FE51E1" w:rsidRPr="009040E9" w:rsidRDefault="00FE51E1" w:rsidP="00FE51E1">
            <w:pPr>
              <w:pStyle w:val="Tabletextleft"/>
              <w:cnfStyle w:val="000000100000" w:firstRow="0" w:lastRow="0" w:firstColumn="0" w:lastColumn="0" w:oddVBand="0" w:evenVBand="0" w:oddHBand="1" w:evenHBand="0" w:firstRowFirstColumn="0" w:firstRowLastColumn="0" w:lastRowFirstColumn="0" w:lastRowLastColumn="0"/>
            </w:pPr>
            <w:r w:rsidRPr="00645BE1">
              <w:t>$619,788</w:t>
            </w:r>
          </w:p>
        </w:tc>
        <w:tc>
          <w:tcPr>
            <w:tcW w:w="2551" w:type="dxa"/>
          </w:tcPr>
          <w:p w14:paraId="64A44B33" w14:textId="4304CB63" w:rsidR="00FE51E1" w:rsidRPr="009040E9" w:rsidRDefault="00FE51E1" w:rsidP="00FE51E1">
            <w:pPr>
              <w:pStyle w:val="Tabletextright0"/>
              <w:jc w:val="left"/>
              <w:cnfStyle w:val="000000100000" w:firstRow="0" w:lastRow="0" w:firstColumn="0" w:lastColumn="0" w:oddVBand="0" w:evenVBand="0" w:oddHBand="1" w:evenHBand="0" w:firstRowFirstColumn="0" w:firstRowLastColumn="0" w:lastRowFirstColumn="0" w:lastRowLastColumn="0"/>
            </w:pPr>
            <w:r w:rsidRPr="00645BE1">
              <w:t>$654,023</w:t>
            </w:r>
          </w:p>
        </w:tc>
        <w:tc>
          <w:tcPr>
            <w:tcW w:w="1701" w:type="dxa"/>
          </w:tcPr>
          <w:p w14:paraId="0DE5E24F" w14:textId="29FB5E79" w:rsidR="00FE51E1" w:rsidRPr="00532091" w:rsidRDefault="00FE51E1" w:rsidP="00FE51E1">
            <w:pPr>
              <w:pStyle w:val="Tabletextright0"/>
              <w:jc w:val="left"/>
              <w:cnfStyle w:val="000000100000" w:firstRow="0" w:lastRow="0" w:firstColumn="0" w:lastColumn="0" w:oddVBand="0" w:evenVBand="0" w:oddHBand="1" w:evenHBand="0" w:firstRowFirstColumn="0" w:firstRowLastColumn="0" w:lastRowFirstColumn="0" w:lastRowLastColumn="0"/>
              <w:rPr>
                <w:color w:val="FF0000"/>
              </w:rPr>
            </w:pPr>
            <w:r w:rsidRPr="00645BE1">
              <w:t>$34,235</w:t>
            </w:r>
          </w:p>
        </w:tc>
      </w:tr>
      <w:tr w:rsidR="00FE51E1" w:rsidRPr="009040E9" w14:paraId="01EAF294" w14:textId="77777777" w:rsidTr="00532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8C08DC6" w14:textId="1632B838" w:rsidR="00FE51E1" w:rsidRPr="009040E9" w:rsidRDefault="00FE51E1" w:rsidP="00FE51E1">
            <w:pPr>
              <w:pStyle w:val="Tabletextleft"/>
            </w:pPr>
            <w:r>
              <w:t>F</w:t>
            </w:r>
            <w:r w:rsidRPr="00B74C9E">
              <w:t>ee to practice</w:t>
            </w:r>
            <w:r>
              <w:t xml:space="preserve"> (30%)</w:t>
            </w:r>
          </w:p>
        </w:tc>
        <w:tc>
          <w:tcPr>
            <w:tcW w:w="2410" w:type="dxa"/>
          </w:tcPr>
          <w:p w14:paraId="6E0BD266" w14:textId="2B6419B5" w:rsidR="00FE51E1" w:rsidRPr="009040E9" w:rsidRDefault="00FE51E1" w:rsidP="00FE51E1">
            <w:pPr>
              <w:pStyle w:val="Tabletextleft"/>
              <w:cnfStyle w:val="000000010000" w:firstRow="0" w:lastRow="0" w:firstColumn="0" w:lastColumn="0" w:oddVBand="0" w:evenVBand="0" w:oddHBand="0" w:evenHBand="1" w:firstRowFirstColumn="0" w:firstRowLastColumn="0" w:lastRowFirstColumn="0" w:lastRowLastColumn="0"/>
            </w:pPr>
            <w:r w:rsidRPr="00645BE1">
              <w:t>$185,936</w:t>
            </w:r>
          </w:p>
        </w:tc>
        <w:tc>
          <w:tcPr>
            <w:tcW w:w="2551" w:type="dxa"/>
          </w:tcPr>
          <w:p w14:paraId="56937B5B" w14:textId="3A3AEEC0" w:rsidR="00FE51E1" w:rsidRPr="009040E9" w:rsidRDefault="00FE51E1" w:rsidP="00FE51E1">
            <w:pPr>
              <w:pStyle w:val="Tabletextright0"/>
              <w:jc w:val="left"/>
              <w:cnfStyle w:val="000000010000" w:firstRow="0" w:lastRow="0" w:firstColumn="0" w:lastColumn="0" w:oddVBand="0" w:evenVBand="0" w:oddHBand="0" w:evenHBand="1" w:firstRowFirstColumn="0" w:firstRowLastColumn="0" w:lastRowFirstColumn="0" w:lastRowLastColumn="0"/>
            </w:pPr>
            <w:r w:rsidRPr="00645BE1">
              <w:t>$196,207</w:t>
            </w:r>
          </w:p>
        </w:tc>
        <w:tc>
          <w:tcPr>
            <w:tcW w:w="1701" w:type="dxa"/>
          </w:tcPr>
          <w:p w14:paraId="72F025E7" w14:textId="01E605DC" w:rsidR="00FE51E1" w:rsidRPr="00532091" w:rsidRDefault="00FE51E1" w:rsidP="00FE51E1">
            <w:pPr>
              <w:pStyle w:val="Tabletextright0"/>
              <w:jc w:val="left"/>
              <w:cnfStyle w:val="000000010000" w:firstRow="0" w:lastRow="0" w:firstColumn="0" w:lastColumn="0" w:oddVBand="0" w:evenVBand="0" w:oddHBand="0" w:evenHBand="1" w:firstRowFirstColumn="0" w:firstRowLastColumn="0" w:lastRowFirstColumn="0" w:lastRowLastColumn="0"/>
              <w:rPr>
                <w:color w:val="FF0000"/>
              </w:rPr>
            </w:pPr>
            <w:r w:rsidRPr="00645BE1">
              <w:t>$10,271</w:t>
            </w:r>
          </w:p>
        </w:tc>
      </w:tr>
      <w:tr w:rsidR="00FE51E1" w:rsidRPr="009040E9" w14:paraId="74A6D085" w14:textId="77777777" w:rsidTr="0053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D68BB5C" w14:textId="77777777" w:rsidR="00FE51E1" w:rsidRPr="009040E9" w:rsidRDefault="00FE51E1" w:rsidP="00FE51E1">
            <w:pPr>
              <w:pStyle w:val="Tabletextleft"/>
            </w:pPr>
            <w:r w:rsidRPr="00B74C9E">
              <w:t>Annual GP earnings</w:t>
            </w:r>
          </w:p>
        </w:tc>
        <w:tc>
          <w:tcPr>
            <w:tcW w:w="2410" w:type="dxa"/>
          </w:tcPr>
          <w:p w14:paraId="25E8769E" w14:textId="4A521E65" w:rsidR="00FE51E1" w:rsidRPr="009040E9" w:rsidRDefault="00FE51E1" w:rsidP="00FE51E1">
            <w:pPr>
              <w:pStyle w:val="Tabletextleft"/>
              <w:cnfStyle w:val="000000100000" w:firstRow="0" w:lastRow="0" w:firstColumn="0" w:lastColumn="0" w:oddVBand="0" w:evenVBand="0" w:oddHBand="1" w:evenHBand="0" w:firstRowFirstColumn="0" w:firstRowLastColumn="0" w:lastRowFirstColumn="0" w:lastRowLastColumn="0"/>
            </w:pPr>
            <w:r w:rsidRPr="00645BE1">
              <w:t>$433,85</w:t>
            </w:r>
            <w:r w:rsidR="00844A5B">
              <w:t>2</w:t>
            </w:r>
          </w:p>
        </w:tc>
        <w:tc>
          <w:tcPr>
            <w:tcW w:w="2551" w:type="dxa"/>
          </w:tcPr>
          <w:p w14:paraId="621B4CBC" w14:textId="4B64EBF9" w:rsidR="00FE51E1" w:rsidRPr="009040E9" w:rsidRDefault="00FE51E1" w:rsidP="00FE51E1">
            <w:pPr>
              <w:pStyle w:val="Tabletextright0"/>
              <w:jc w:val="left"/>
              <w:cnfStyle w:val="000000100000" w:firstRow="0" w:lastRow="0" w:firstColumn="0" w:lastColumn="0" w:oddVBand="0" w:evenVBand="0" w:oddHBand="1" w:evenHBand="0" w:firstRowFirstColumn="0" w:firstRowLastColumn="0" w:lastRowFirstColumn="0" w:lastRowLastColumn="0"/>
            </w:pPr>
            <w:r w:rsidRPr="00645BE1">
              <w:t>$457,816</w:t>
            </w:r>
          </w:p>
        </w:tc>
        <w:tc>
          <w:tcPr>
            <w:tcW w:w="1701" w:type="dxa"/>
          </w:tcPr>
          <w:p w14:paraId="4C5BB11F" w14:textId="7568EFE0" w:rsidR="00FE51E1" w:rsidRPr="00532091" w:rsidRDefault="00FE51E1" w:rsidP="00FE51E1">
            <w:pPr>
              <w:pStyle w:val="Tabletextright0"/>
              <w:jc w:val="left"/>
              <w:cnfStyle w:val="000000100000" w:firstRow="0" w:lastRow="0" w:firstColumn="0" w:lastColumn="0" w:oddVBand="0" w:evenVBand="0" w:oddHBand="1" w:evenHBand="0" w:firstRowFirstColumn="0" w:firstRowLastColumn="0" w:lastRowFirstColumn="0" w:lastRowLastColumn="0"/>
              <w:rPr>
                <w:color w:val="FF0000"/>
              </w:rPr>
            </w:pPr>
            <w:r w:rsidRPr="00645BE1">
              <w:t>$23,96</w:t>
            </w:r>
            <w:r w:rsidR="00844A5B">
              <w:t>4</w:t>
            </w:r>
          </w:p>
        </w:tc>
      </w:tr>
    </w:tbl>
    <w:p w14:paraId="3843C512" w14:textId="77777777" w:rsidR="00532091" w:rsidRDefault="00532091" w:rsidP="00532091"/>
    <w:p w14:paraId="5A18FE0A" w14:textId="172CF516" w:rsidR="00D2689C" w:rsidRDefault="003F735D" w:rsidP="003A5247">
      <w:pPr>
        <w:spacing w:after="0"/>
        <w:jc w:val="center"/>
      </w:pPr>
      <w:r>
        <w:rPr>
          <w:noProof/>
        </w:rPr>
        <w:drawing>
          <wp:inline distT="0" distB="0" distL="0" distR="0" wp14:anchorId="3728D952" wp14:editId="6E02F017">
            <wp:extent cx="5724525" cy="3919242"/>
            <wp:effectExtent l="0" t="0" r="9525" b="5080"/>
            <wp:docPr id="926115388" name="Chart 1" descr="This graph shows the annual GP billings at a rural practice by billing type">
              <a:extLst xmlns:a="http://schemas.openxmlformats.org/drawingml/2006/main">
                <a:ext uri="{FF2B5EF4-FFF2-40B4-BE49-F238E27FC236}">
                  <a16:creationId xmlns:a16="http://schemas.microsoft.com/office/drawing/2014/main" id="{3ECE8281-865A-4D1F-9B63-8861DBFCA5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3C101C" w14:textId="77777777" w:rsidR="004920EE" w:rsidRDefault="004920EE">
      <w:pPr>
        <w:spacing w:before="0" w:after="0" w:line="240" w:lineRule="auto"/>
        <w:rPr>
          <w:rFonts w:cs="Arial"/>
          <w:b/>
          <w:bCs/>
          <w:iCs/>
          <w:color w:val="358189"/>
          <w:sz w:val="36"/>
          <w:szCs w:val="28"/>
        </w:rPr>
      </w:pPr>
      <w:r>
        <w:br w:type="page"/>
      </w:r>
    </w:p>
    <w:p w14:paraId="44DE890D" w14:textId="68B09B20" w:rsidR="00D2689C" w:rsidRDefault="00D2689C" w:rsidP="00A052EC">
      <w:pPr>
        <w:pStyle w:val="Heading2"/>
        <w:spacing w:before="120"/>
      </w:pPr>
      <w:r>
        <w:lastRenderedPageBreak/>
        <w:t xml:space="preserve">How </w:t>
      </w:r>
      <w:r w:rsidR="00225094">
        <w:t xml:space="preserve">have GPs benefited from </w:t>
      </w:r>
      <w:r w:rsidR="00BC1DB0">
        <w:t>S</w:t>
      </w:r>
      <w:r w:rsidR="00CE753D">
        <w:t>trengthening Medicare reforms</w:t>
      </w:r>
      <w:r w:rsidR="00225094">
        <w:t>?</w:t>
      </w:r>
    </w:p>
    <w:p w14:paraId="18EF0C5C" w14:textId="78D70A14" w:rsidR="00140741" w:rsidRPr="00B817C0" w:rsidRDefault="004C604D" w:rsidP="00B817C0">
      <w:r w:rsidRPr="00B817C0">
        <w:t>As part of the 2023-24 Budget,</w:t>
      </w:r>
      <w:r w:rsidR="00225094" w:rsidRPr="00B817C0">
        <w:t xml:space="preserve"> the Australian Government</w:t>
      </w:r>
      <w:r w:rsidR="00AE051B" w:rsidRPr="00B817C0">
        <w:t xml:space="preserve"> invested $3.5 billion to</w:t>
      </w:r>
      <w:r w:rsidR="00225094" w:rsidRPr="00B817C0">
        <w:t xml:space="preserve"> triple the bulk billing incentive</w:t>
      </w:r>
      <w:r w:rsidR="00C12573" w:rsidRPr="00C12573">
        <w:t> that general practitioners receive to bulk bill children under 16, pensioners and other Commonwealth concession cardholders</w:t>
      </w:r>
      <w:r w:rsidR="00C12573" w:rsidRPr="00B817C0">
        <w:t xml:space="preserve">. </w:t>
      </w:r>
      <w:r w:rsidRPr="00B817C0">
        <w:t xml:space="preserve">That Budget also </w:t>
      </w:r>
      <w:r w:rsidRPr="004C604D">
        <w:t>updated the indexation methodology for Medicare benefits to increase the rate of annual indexation and included an additional one-off boost to indexation in the 2023-24 financial year.</w:t>
      </w:r>
    </w:p>
    <w:p w14:paraId="150A0851" w14:textId="277BF257" w:rsidR="00056DFF" w:rsidRDefault="004C604D" w:rsidP="004C604D">
      <w:r>
        <w:t xml:space="preserve">These investments </w:t>
      </w:r>
      <w:r w:rsidR="00007D27">
        <w:t>saw a significant increase in GP billings and earnings</w:t>
      </w:r>
      <w:r w:rsidR="006917A9">
        <w:t>.</w:t>
      </w:r>
      <w:r w:rsidR="00C80CA7">
        <w:t xml:space="preserve"> The combined impact of the reforms to bulk billing in the 2023-24 Budget and 2025-26 Budget</w:t>
      </w:r>
      <w:r w:rsidR="005D32F7">
        <w:t>, along</w:t>
      </w:r>
      <w:r w:rsidR="00845C84">
        <w:t>side</w:t>
      </w:r>
      <w:r w:rsidR="005D32F7">
        <w:t xml:space="preserve"> </w:t>
      </w:r>
      <w:r w:rsidR="00845C84">
        <w:t>an increase in the rate of Medicare indexation</w:t>
      </w:r>
      <w:r w:rsidR="00717775">
        <w:t>, will make it financially viable for GPs to bulk bill all patients.</w:t>
      </w:r>
    </w:p>
    <w:p w14:paraId="5D526BEE" w14:textId="63F281AE" w:rsidR="00231FDC" w:rsidRPr="00D03E17" w:rsidRDefault="00231FDC" w:rsidP="00231FDC">
      <w:pPr>
        <w:rPr>
          <w:b/>
          <w:bCs/>
        </w:rPr>
      </w:pPr>
      <w:r>
        <w:rPr>
          <w:b/>
          <w:bCs/>
        </w:rPr>
        <w:t>Impact of Strengthening Medicare reforms on GP earnings (Metro)</w:t>
      </w:r>
    </w:p>
    <w:tbl>
      <w:tblPr>
        <w:tblStyle w:val="DepartmentofHealthtable"/>
        <w:tblW w:w="7371" w:type="dxa"/>
        <w:tblLook w:val="04A0" w:firstRow="1" w:lastRow="0" w:firstColumn="1" w:lastColumn="0" w:noHBand="0" w:noVBand="1"/>
        <w:tblDescription w:val="Add Alt Text describing the content of the table"/>
      </w:tblPr>
      <w:tblGrid>
        <w:gridCol w:w="2593"/>
        <w:gridCol w:w="2389"/>
        <w:gridCol w:w="2389"/>
      </w:tblGrid>
      <w:tr w:rsidR="00056DFF" w:rsidRPr="009040E9" w14:paraId="21871781" w14:textId="7C820D92" w:rsidTr="003A52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E0376C8" w14:textId="6D0284C6" w:rsidR="00056DFF" w:rsidRPr="009040E9" w:rsidRDefault="00056DFF">
            <w:pPr>
              <w:pStyle w:val="Tableheader0"/>
              <w:rPr>
                <w:rFonts w:eastAsia="Cambria"/>
                <w:lang w:val="en-US"/>
              </w:rPr>
            </w:pPr>
            <w:r>
              <w:rPr>
                <w:rFonts w:eastAsia="Cambria"/>
                <w:lang w:val="en-US"/>
              </w:rPr>
              <w:t>GP earnings</w:t>
            </w:r>
          </w:p>
        </w:tc>
        <w:tc>
          <w:tcPr>
            <w:tcW w:w="0" w:type="dxa"/>
            <w:vAlign w:val="center"/>
          </w:tcPr>
          <w:p w14:paraId="25F0B106" w14:textId="3DAD6858" w:rsidR="00056DFF" w:rsidRPr="009040E9" w:rsidRDefault="00056DFF">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Average bulk billing</w:t>
            </w:r>
          </w:p>
        </w:tc>
        <w:tc>
          <w:tcPr>
            <w:tcW w:w="0" w:type="dxa"/>
            <w:vAlign w:val="center"/>
          </w:tcPr>
          <w:p w14:paraId="1DC3E8E8" w14:textId="598CFEE6" w:rsidR="00056DFF" w:rsidRPr="009040E9" w:rsidRDefault="00056DFF">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Bulk bills every visit</w:t>
            </w:r>
          </w:p>
        </w:tc>
      </w:tr>
      <w:tr w:rsidR="00056DFF" w:rsidRPr="009040E9" w14:paraId="4DA9EC1F" w14:textId="34B978D8" w:rsidTr="003A5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569D630A" w14:textId="2DC0BE55" w:rsidR="00056DFF" w:rsidRPr="009040E9" w:rsidRDefault="00056DFF" w:rsidP="00872260">
            <w:pPr>
              <w:pStyle w:val="Tabletextleft"/>
            </w:pPr>
            <w:r>
              <w:t>B</w:t>
            </w:r>
            <w:r w:rsidRPr="0063432A">
              <w:t>efore reforms</w:t>
            </w:r>
            <w:r>
              <w:t xml:space="preserve"> </w:t>
            </w:r>
            <w:r>
              <w:br/>
            </w:r>
            <w:r w:rsidRPr="007068B6">
              <w:rPr>
                <w:i/>
                <w:iCs/>
              </w:rPr>
              <w:t>(2022-23)</w:t>
            </w:r>
          </w:p>
        </w:tc>
        <w:tc>
          <w:tcPr>
            <w:tcW w:w="0" w:type="dxa"/>
          </w:tcPr>
          <w:p w14:paraId="6EED52CB" w14:textId="3909EF53" w:rsidR="00056DFF" w:rsidRPr="009040E9" w:rsidRDefault="00056DFF" w:rsidP="00872260">
            <w:pPr>
              <w:pStyle w:val="Tabletextleft"/>
              <w:cnfStyle w:val="000000100000" w:firstRow="0" w:lastRow="0" w:firstColumn="0" w:lastColumn="0" w:oddVBand="0" w:evenVBand="0" w:oddHBand="1" w:evenHBand="0" w:firstRowFirstColumn="0" w:firstRowLastColumn="0" w:lastRowFirstColumn="0" w:lastRowLastColumn="0"/>
            </w:pPr>
            <w:r w:rsidRPr="00121073">
              <w:t>$319,443</w:t>
            </w:r>
          </w:p>
        </w:tc>
        <w:tc>
          <w:tcPr>
            <w:tcW w:w="0" w:type="dxa"/>
          </w:tcPr>
          <w:p w14:paraId="218E1F9F" w14:textId="223EBC0B" w:rsidR="00056DFF" w:rsidRPr="009040E9" w:rsidRDefault="00056DFF" w:rsidP="00872260">
            <w:pPr>
              <w:pStyle w:val="Tabletextright0"/>
              <w:jc w:val="left"/>
              <w:cnfStyle w:val="000000100000" w:firstRow="0" w:lastRow="0" w:firstColumn="0" w:lastColumn="0" w:oddVBand="0" w:evenVBand="0" w:oddHBand="1" w:evenHBand="0" w:firstRowFirstColumn="0" w:firstRowLastColumn="0" w:lastRowFirstColumn="0" w:lastRowLastColumn="0"/>
            </w:pPr>
            <w:r w:rsidRPr="00121073">
              <w:t>$280,051</w:t>
            </w:r>
          </w:p>
        </w:tc>
      </w:tr>
      <w:tr w:rsidR="00056DFF" w:rsidRPr="009040E9" w14:paraId="7C960C68" w14:textId="32C28DC1" w:rsidTr="003A52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0AD42ED1" w14:textId="70134F9F" w:rsidR="00056DFF" w:rsidRPr="009040E9" w:rsidRDefault="00056DFF" w:rsidP="00872260">
            <w:pPr>
              <w:pStyle w:val="Tabletextleft"/>
            </w:pPr>
            <w:r>
              <w:t>After tripled bulk billing incentive</w:t>
            </w:r>
          </w:p>
        </w:tc>
        <w:tc>
          <w:tcPr>
            <w:tcW w:w="0" w:type="dxa"/>
          </w:tcPr>
          <w:p w14:paraId="0914BB55" w14:textId="1E2A3D08" w:rsidR="00056DFF" w:rsidRPr="009040E9" w:rsidRDefault="00056DFF" w:rsidP="00872260">
            <w:pPr>
              <w:pStyle w:val="Tabletextleft"/>
              <w:cnfStyle w:val="000000010000" w:firstRow="0" w:lastRow="0" w:firstColumn="0" w:lastColumn="0" w:oddVBand="0" w:evenVBand="0" w:oddHBand="0" w:evenHBand="1" w:firstRowFirstColumn="0" w:firstRowLastColumn="0" w:lastRowFirstColumn="0" w:lastRowLastColumn="0"/>
            </w:pPr>
            <w:r w:rsidRPr="00121073">
              <w:t>$371,390</w:t>
            </w:r>
          </w:p>
        </w:tc>
        <w:tc>
          <w:tcPr>
            <w:tcW w:w="0" w:type="dxa"/>
          </w:tcPr>
          <w:p w14:paraId="7B635037" w14:textId="6372F242" w:rsidR="00056DFF" w:rsidRPr="009040E9" w:rsidRDefault="00056DFF" w:rsidP="00872260">
            <w:pPr>
              <w:pStyle w:val="Tabletextright0"/>
              <w:jc w:val="left"/>
              <w:cnfStyle w:val="000000010000" w:firstRow="0" w:lastRow="0" w:firstColumn="0" w:lastColumn="0" w:oddVBand="0" w:evenVBand="0" w:oddHBand="0" w:evenHBand="1" w:firstRowFirstColumn="0" w:firstRowLastColumn="0" w:lastRowFirstColumn="0" w:lastRowLastColumn="0"/>
            </w:pPr>
            <w:r w:rsidRPr="00121073">
              <w:t>$325,633</w:t>
            </w:r>
          </w:p>
        </w:tc>
      </w:tr>
      <w:tr w:rsidR="00056DFF" w:rsidRPr="009040E9" w14:paraId="303E42D0" w14:textId="787B882A" w:rsidTr="003A5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2366E76C" w14:textId="58E39170" w:rsidR="00056DFF" w:rsidRPr="009040E9" w:rsidRDefault="00056DFF" w:rsidP="00872260">
            <w:pPr>
              <w:pStyle w:val="Tabletextleft"/>
            </w:pPr>
            <w:r w:rsidRPr="0063432A">
              <w:t>From 1 November 2025</w:t>
            </w:r>
          </w:p>
        </w:tc>
        <w:tc>
          <w:tcPr>
            <w:tcW w:w="0" w:type="dxa"/>
          </w:tcPr>
          <w:p w14:paraId="3DC8D49B" w14:textId="578535E3" w:rsidR="00056DFF" w:rsidRPr="009040E9" w:rsidRDefault="00056DFF" w:rsidP="00872260">
            <w:pPr>
              <w:pStyle w:val="Tabletextleft"/>
              <w:cnfStyle w:val="000000100000" w:firstRow="0" w:lastRow="0" w:firstColumn="0" w:lastColumn="0" w:oddVBand="0" w:evenVBand="0" w:oddHBand="1" w:evenHBand="0" w:firstRowFirstColumn="0" w:firstRowLastColumn="0" w:lastRowFirstColumn="0" w:lastRowLastColumn="0"/>
            </w:pPr>
            <w:r w:rsidRPr="00121073">
              <w:t>$398,448</w:t>
            </w:r>
          </w:p>
        </w:tc>
        <w:tc>
          <w:tcPr>
            <w:tcW w:w="0" w:type="dxa"/>
          </w:tcPr>
          <w:p w14:paraId="5C9104E4" w14:textId="09C810A7" w:rsidR="00056DFF" w:rsidRPr="009040E9" w:rsidRDefault="00056DFF" w:rsidP="00872260">
            <w:pPr>
              <w:pStyle w:val="Tabletextright0"/>
              <w:jc w:val="left"/>
              <w:cnfStyle w:val="000000100000" w:firstRow="0" w:lastRow="0" w:firstColumn="0" w:lastColumn="0" w:oddVBand="0" w:evenVBand="0" w:oddHBand="1" w:evenHBand="0" w:firstRowFirstColumn="0" w:firstRowLastColumn="0" w:lastRowFirstColumn="0" w:lastRowLastColumn="0"/>
            </w:pPr>
            <w:r w:rsidRPr="00121073">
              <w:t>$403,805</w:t>
            </w:r>
          </w:p>
        </w:tc>
      </w:tr>
      <w:tr w:rsidR="00056DFF" w:rsidRPr="009040E9" w14:paraId="068E494A" w14:textId="50FC5D7A" w:rsidTr="003A52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261ECA7B" w14:textId="295E05BA" w:rsidR="00056DFF" w:rsidRDefault="00056DFF" w:rsidP="00872260">
            <w:pPr>
              <w:pStyle w:val="Tabletextleft"/>
            </w:pPr>
            <w:r w:rsidRPr="0063432A">
              <w:t>Increase</w:t>
            </w:r>
            <w:r>
              <w:t xml:space="preserve"> </w:t>
            </w:r>
          </w:p>
          <w:p w14:paraId="5F95E03B" w14:textId="21850AFA" w:rsidR="00056DFF" w:rsidRPr="007068B6" w:rsidRDefault="00056DFF" w:rsidP="00872260">
            <w:pPr>
              <w:pStyle w:val="Tabletextleft"/>
              <w:rPr>
                <w:i/>
                <w:iCs/>
              </w:rPr>
            </w:pPr>
            <w:r w:rsidRPr="007068B6">
              <w:rPr>
                <w:i/>
                <w:iCs/>
              </w:rPr>
              <w:t>(2022-23 to after 1 Nov)</w:t>
            </w:r>
          </w:p>
        </w:tc>
        <w:tc>
          <w:tcPr>
            <w:tcW w:w="0" w:type="dxa"/>
          </w:tcPr>
          <w:p w14:paraId="13C819E4" w14:textId="71892D11" w:rsidR="00056DFF" w:rsidRPr="00D95976" w:rsidRDefault="00056DFF" w:rsidP="00872260">
            <w:pPr>
              <w:pStyle w:val="Tabletextleft"/>
              <w:cnfStyle w:val="000000010000" w:firstRow="0" w:lastRow="0" w:firstColumn="0" w:lastColumn="0" w:oddVBand="0" w:evenVBand="0" w:oddHBand="0" w:evenHBand="1" w:firstRowFirstColumn="0" w:firstRowLastColumn="0" w:lastRowFirstColumn="0" w:lastRowLastColumn="0"/>
            </w:pPr>
            <w:r w:rsidRPr="00121073">
              <w:t>$79,005</w:t>
            </w:r>
          </w:p>
        </w:tc>
        <w:tc>
          <w:tcPr>
            <w:tcW w:w="0" w:type="dxa"/>
          </w:tcPr>
          <w:p w14:paraId="7E960D3A" w14:textId="5A3E1BEF" w:rsidR="00056DFF" w:rsidRPr="00D95976" w:rsidRDefault="00056DFF" w:rsidP="00872260">
            <w:pPr>
              <w:pStyle w:val="Tabletextright0"/>
              <w:jc w:val="left"/>
              <w:cnfStyle w:val="000000010000" w:firstRow="0" w:lastRow="0" w:firstColumn="0" w:lastColumn="0" w:oddVBand="0" w:evenVBand="0" w:oddHBand="0" w:evenHBand="1" w:firstRowFirstColumn="0" w:firstRowLastColumn="0" w:lastRowFirstColumn="0" w:lastRowLastColumn="0"/>
            </w:pPr>
            <w:r w:rsidRPr="00121073">
              <w:t>$123,75</w:t>
            </w:r>
            <w:r>
              <w:t>4</w:t>
            </w:r>
          </w:p>
        </w:tc>
      </w:tr>
    </w:tbl>
    <w:p w14:paraId="3201C055" w14:textId="77777777" w:rsidR="00453FA0" w:rsidRDefault="00453FA0" w:rsidP="004C604D"/>
    <w:p w14:paraId="72E25743" w14:textId="02084D10" w:rsidR="008153CF" w:rsidRDefault="00764C8E" w:rsidP="004C604D">
      <w:r>
        <w:t>At a metropolitan practice</w:t>
      </w:r>
      <w:r w:rsidR="00930E5E">
        <w:t xml:space="preserve"> (MM1)</w:t>
      </w:r>
      <w:r>
        <w:t xml:space="preserve">, GPs </w:t>
      </w:r>
      <w:r w:rsidR="00805271">
        <w:t>have</w:t>
      </w:r>
      <w:r w:rsidR="007A4C15">
        <w:t xml:space="preserve"> </w:t>
      </w:r>
      <w:r w:rsidR="00CD3950">
        <w:t>experience</w:t>
      </w:r>
      <w:r w:rsidR="00805271">
        <w:t>d</w:t>
      </w:r>
      <w:r w:rsidR="00CD3950">
        <w:t xml:space="preserve"> </w:t>
      </w:r>
      <w:r w:rsidR="004D2D8A">
        <w:t>an</w:t>
      </w:r>
      <w:r w:rsidR="00CD3950">
        <w:t xml:space="preserve"> increase in the</w:t>
      </w:r>
      <w:r w:rsidR="007A4C15">
        <w:t>ir</w:t>
      </w:r>
      <w:r w:rsidR="00CD3950">
        <w:t xml:space="preserve"> billings and earning</w:t>
      </w:r>
      <w:r w:rsidR="00B93F6E">
        <w:t xml:space="preserve">s </w:t>
      </w:r>
      <w:r w:rsidR="007A4C15">
        <w:t xml:space="preserve">since </w:t>
      </w:r>
      <w:r w:rsidR="00B93F6E">
        <w:t>2022</w:t>
      </w:r>
      <w:r w:rsidR="007A4C15">
        <w:t>-23</w:t>
      </w:r>
      <w:r w:rsidR="00930E5E">
        <w:t>, driven by larger</w:t>
      </w:r>
      <w:r w:rsidR="004D2D8A">
        <w:t xml:space="preserve"> bulk billing incentives</w:t>
      </w:r>
      <w:r w:rsidR="00B93F6E">
        <w:t xml:space="preserve">. </w:t>
      </w:r>
      <w:r w:rsidR="00055A0A">
        <w:t xml:space="preserve">GPs with higher rates of bulk billing have benefited </w:t>
      </w:r>
      <w:r w:rsidR="00C31CE9">
        <w:t>the most</w:t>
      </w:r>
      <w:r w:rsidR="00E93E9C">
        <w:t>.</w:t>
      </w:r>
      <w:r w:rsidR="00C31CE9">
        <w:t xml:space="preserve"> This will continue once the new investment takes effect on 1 November 2025.</w:t>
      </w:r>
    </w:p>
    <w:p w14:paraId="6CF08BAE" w14:textId="00F52692" w:rsidR="002926DF" w:rsidRDefault="00C31CE9" w:rsidP="004C604D">
      <w:r>
        <w:t>At</w:t>
      </w:r>
      <w:r w:rsidR="005B4F38">
        <w:t xml:space="preserve"> a rural practice</w:t>
      </w:r>
      <w:r>
        <w:t xml:space="preserve"> (</w:t>
      </w:r>
      <w:r w:rsidR="0096331A">
        <w:t>MM3-4</w:t>
      </w:r>
      <w:r>
        <w:t>)</w:t>
      </w:r>
      <w:r w:rsidR="005B4F38">
        <w:t xml:space="preserve">, the </w:t>
      </w:r>
      <w:r w:rsidR="00B22135">
        <w:t xml:space="preserve">additional investment has </w:t>
      </w:r>
      <w:r w:rsidR="00095998">
        <w:t xml:space="preserve">had an even larger impact, driven by </w:t>
      </w:r>
      <w:r w:rsidR="00E51400">
        <w:t>the higher bulk billing incentives in rural areas, which scale in line with the remoteness classification of the GP practice.</w:t>
      </w:r>
      <w:r w:rsidR="00717775">
        <w:t xml:space="preserve"> </w:t>
      </w:r>
    </w:p>
    <w:p w14:paraId="0D3EBFE5" w14:textId="1F28CE9E" w:rsidR="009963A0" w:rsidRPr="00D03E17" w:rsidRDefault="009963A0" w:rsidP="009963A0">
      <w:pPr>
        <w:rPr>
          <w:b/>
          <w:bCs/>
        </w:rPr>
      </w:pPr>
      <w:r>
        <w:rPr>
          <w:b/>
          <w:bCs/>
        </w:rPr>
        <w:t>Impact of Strengthening Medicare reforms on GP earnings (Rural</w:t>
      </w:r>
      <w:r w:rsidR="00F559BB">
        <w:rPr>
          <w:b/>
          <w:bCs/>
        </w:rPr>
        <w:t xml:space="preserve"> – MM3</w:t>
      </w:r>
      <w:r w:rsidR="00E51400">
        <w:rPr>
          <w:b/>
          <w:bCs/>
        </w:rPr>
        <w:t>-</w:t>
      </w:r>
      <w:r w:rsidR="00F559BB">
        <w:rPr>
          <w:b/>
          <w:bCs/>
        </w:rPr>
        <w:t>4</w:t>
      </w:r>
      <w:r>
        <w:rPr>
          <w:b/>
          <w:bCs/>
        </w:rPr>
        <w:t>)</w:t>
      </w:r>
    </w:p>
    <w:tbl>
      <w:tblPr>
        <w:tblStyle w:val="DepartmentofHealthtable"/>
        <w:tblW w:w="7371" w:type="dxa"/>
        <w:tblLook w:val="04A0" w:firstRow="1" w:lastRow="0" w:firstColumn="1" w:lastColumn="0" w:noHBand="0" w:noVBand="1"/>
        <w:tblDescription w:val="Add Alt Text describing the content of the table"/>
      </w:tblPr>
      <w:tblGrid>
        <w:gridCol w:w="2593"/>
        <w:gridCol w:w="2389"/>
        <w:gridCol w:w="2389"/>
      </w:tblGrid>
      <w:tr w:rsidR="00056DFF" w:rsidRPr="009040E9" w14:paraId="798074AD" w14:textId="7AC54E90" w:rsidTr="003A52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53D7058" w14:textId="2A097B6A" w:rsidR="00056DFF" w:rsidRPr="009040E9" w:rsidRDefault="00056DFF">
            <w:pPr>
              <w:pStyle w:val="Tableheader0"/>
              <w:rPr>
                <w:rFonts w:eastAsia="Cambria"/>
                <w:lang w:val="en-US"/>
              </w:rPr>
            </w:pPr>
            <w:r>
              <w:rPr>
                <w:rFonts w:eastAsia="Cambria"/>
                <w:lang w:val="en-US"/>
              </w:rPr>
              <w:t>GP earnings</w:t>
            </w:r>
          </w:p>
        </w:tc>
        <w:tc>
          <w:tcPr>
            <w:tcW w:w="0" w:type="dxa"/>
            <w:vAlign w:val="center"/>
          </w:tcPr>
          <w:p w14:paraId="710B9670" w14:textId="7D2658D9" w:rsidR="00056DFF" w:rsidRPr="009040E9" w:rsidRDefault="00056DFF">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Average bulk billing</w:t>
            </w:r>
          </w:p>
        </w:tc>
        <w:tc>
          <w:tcPr>
            <w:tcW w:w="0" w:type="dxa"/>
            <w:vAlign w:val="center"/>
          </w:tcPr>
          <w:p w14:paraId="649748E9" w14:textId="7554A06E" w:rsidR="00056DFF" w:rsidRPr="009040E9" w:rsidRDefault="00056DFF">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8D008A">
              <w:rPr>
                <w:rFonts w:cs="Arial"/>
              </w:rPr>
              <w:t>Bulk bills every visit</w:t>
            </w:r>
          </w:p>
        </w:tc>
      </w:tr>
      <w:tr w:rsidR="00056DFF" w:rsidRPr="009040E9" w14:paraId="2356678C" w14:textId="7407213C" w:rsidTr="003A5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5009074F" w14:textId="60EE2163" w:rsidR="00056DFF" w:rsidRPr="009040E9" w:rsidRDefault="00056DFF" w:rsidP="00B0674C">
            <w:pPr>
              <w:pStyle w:val="Tabletextleft"/>
            </w:pPr>
            <w:r>
              <w:t>B</w:t>
            </w:r>
            <w:r w:rsidRPr="0063432A">
              <w:t>efore reforms</w:t>
            </w:r>
            <w:r>
              <w:t xml:space="preserve"> </w:t>
            </w:r>
            <w:r>
              <w:br/>
            </w:r>
            <w:r w:rsidRPr="007068B6">
              <w:rPr>
                <w:i/>
                <w:iCs/>
              </w:rPr>
              <w:t>(2022-23)</w:t>
            </w:r>
          </w:p>
        </w:tc>
        <w:tc>
          <w:tcPr>
            <w:tcW w:w="0" w:type="dxa"/>
          </w:tcPr>
          <w:p w14:paraId="056A4249" w14:textId="1C32425A" w:rsidR="00056DFF" w:rsidRPr="009040E9" w:rsidRDefault="00056DFF" w:rsidP="00B0674C">
            <w:pPr>
              <w:pStyle w:val="Tabletextleft"/>
              <w:cnfStyle w:val="000000100000" w:firstRow="0" w:lastRow="0" w:firstColumn="0" w:lastColumn="0" w:oddVBand="0" w:evenVBand="0" w:oddHBand="1" w:evenHBand="0" w:firstRowFirstColumn="0" w:firstRowLastColumn="0" w:lastRowFirstColumn="0" w:lastRowLastColumn="0"/>
            </w:pPr>
            <w:r w:rsidRPr="00D64249">
              <w:t>$336,567</w:t>
            </w:r>
          </w:p>
        </w:tc>
        <w:tc>
          <w:tcPr>
            <w:tcW w:w="0" w:type="dxa"/>
          </w:tcPr>
          <w:p w14:paraId="587DA32A" w14:textId="52B8ADBA" w:rsidR="00056DFF" w:rsidRPr="009040E9" w:rsidRDefault="00056DFF" w:rsidP="00B0674C">
            <w:pPr>
              <w:pStyle w:val="Tabletextright0"/>
              <w:jc w:val="left"/>
              <w:cnfStyle w:val="000000100000" w:firstRow="0" w:lastRow="0" w:firstColumn="0" w:lastColumn="0" w:oddVBand="0" w:evenVBand="0" w:oddHBand="1" w:evenHBand="0" w:firstRowFirstColumn="0" w:firstRowLastColumn="0" w:lastRowFirstColumn="0" w:lastRowLastColumn="0"/>
            </w:pPr>
            <w:r w:rsidRPr="00D64249">
              <w:t>$302,612</w:t>
            </w:r>
          </w:p>
        </w:tc>
      </w:tr>
      <w:tr w:rsidR="00056DFF" w:rsidRPr="009040E9" w14:paraId="71B97004" w14:textId="1569303D" w:rsidTr="003A52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44CF2792" w14:textId="0F9CC9CE" w:rsidR="00056DFF" w:rsidRPr="009040E9" w:rsidRDefault="00056DFF" w:rsidP="00B0674C">
            <w:pPr>
              <w:pStyle w:val="Tabletextleft"/>
            </w:pPr>
            <w:r>
              <w:t>After tripled bulk billing incentive</w:t>
            </w:r>
          </w:p>
        </w:tc>
        <w:tc>
          <w:tcPr>
            <w:tcW w:w="0" w:type="dxa"/>
          </w:tcPr>
          <w:p w14:paraId="5A2DF157" w14:textId="6B260916" w:rsidR="00056DFF" w:rsidRPr="009040E9" w:rsidRDefault="00056DFF" w:rsidP="00B0674C">
            <w:pPr>
              <w:pStyle w:val="Tabletextleft"/>
              <w:cnfStyle w:val="000000010000" w:firstRow="0" w:lastRow="0" w:firstColumn="0" w:lastColumn="0" w:oddVBand="0" w:evenVBand="0" w:oddHBand="0" w:evenHBand="1" w:firstRowFirstColumn="0" w:firstRowLastColumn="0" w:lastRowFirstColumn="0" w:lastRowLastColumn="0"/>
            </w:pPr>
            <w:r w:rsidRPr="00D64249">
              <w:t>$404,022</w:t>
            </w:r>
          </w:p>
        </w:tc>
        <w:tc>
          <w:tcPr>
            <w:tcW w:w="0" w:type="dxa"/>
          </w:tcPr>
          <w:p w14:paraId="2F9086A0" w14:textId="44A24154" w:rsidR="00056DFF" w:rsidRPr="009040E9" w:rsidRDefault="00056DFF" w:rsidP="00B0674C">
            <w:pPr>
              <w:pStyle w:val="Tabletextright0"/>
              <w:jc w:val="left"/>
              <w:cnfStyle w:val="000000010000" w:firstRow="0" w:lastRow="0" w:firstColumn="0" w:lastColumn="0" w:oddVBand="0" w:evenVBand="0" w:oddHBand="0" w:evenHBand="1" w:firstRowFirstColumn="0" w:firstRowLastColumn="0" w:lastRowFirstColumn="0" w:lastRowLastColumn="0"/>
            </w:pPr>
            <w:r w:rsidRPr="00D64249">
              <w:t>$371,288</w:t>
            </w:r>
          </w:p>
        </w:tc>
      </w:tr>
      <w:tr w:rsidR="00056DFF" w:rsidRPr="009040E9" w14:paraId="06E2EFE4" w14:textId="6D57E7C9" w:rsidTr="003A5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720B39D8" w14:textId="3621F7C0" w:rsidR="00056DFF" w:rsidRPr="009040E9" w:rsidRDefault="00056DFF" w:rsidP="00B0674C">
            <w:pPr>
              <w:pStyle w:val="Tabletextleft"/>
            </w:pPr>
            <w:r w:rsidRPr="0063432A">
              <w:t>From 1 November 2025</w:t>
            </w:r>
          </w:p>
        </w:tc>
        <w:tc>
          <w:tcPr>
            <w:tcW w:w="0" w:type="dxa"/>
          </w:tcPr>
          <w:p w14:paraId="33B6FEFE" w14:textId="7FBA9460" w:rsidR="00056DFF" w:rsidRPr="009040E9" w:rsidRDefault="00056DFF" w:rsidP="00B0674C">
            <w:pPr>
              <w:pStyle w:val="Tabletextleft"/>
              <w:cnfStyle w:val="000000100000" w:firstRow="0" w:lastRow="0" w:firstColumn="0" w:lastColumn="0" w:oddVBand="0" w:evenVBand="0" w:oddHBand="1" w:evenHBand="0" w:firstRowFirstColumn="0" w:firstRowLastColumn="0" w:lastRowFirstColumn="0" w:lastRowLastColumn="0"/>
            </w:pPr>
            <w:r w:rsidRPr="00D64249">
              <w:t>$433,851</w:t>
            </w:r>
          </w:p>
        </w:tc>
        <w:tc>
          <w:tcPr>
            <w:tcW w:w="0" w:type="dxa"/>
          </w:tcPr>
          <w:p w14:paraId="0E6122EE" w14:textId="77F00D99" w:rsidR="00056DFF" w:rsidRPr="009040E9" w:rsidRDefault="00056DFF" w:rsidP="00B0674C">
            <w:pPr>
              <w:pStyle w:val="Tabletextright0"/>
              <w:jc w:val="left"/>
              <w:cnfStyle w:val="000000100000" w:firstRow="0" w:lastRow="0" w:firstColumn="0" w:lastColumn="0" w:oddVBand="0" w:evenVBand="0" w:oddHBand="1" w:evenHBand="0" w:firstRowFirstColumn="0" w:firstRowLastColumn="0" w:lastRowFirstColumn="0" w:lastRowLastColumn="0"/>
            </w:pPr>
            <w:r w:rsidRPr="00D64249">
              <w:t>$457,816</w:t>
            </w:r>
          </w:p>
        </w:tc>
      </w:tr>
      <w:tr w:rsidR="00056DFF" w:rsidRPr="009040E9" w14:paraId="76F9823E" w14:textId="505C8C8F" w:rsidTr="003A52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4B19B07B" w14:textId="14D302E6" w:rsidR="00056DFF" w:rsidRDefault="00056DFF" w:rsidP="00B0674C">
            <w:pPr>
              <w:pStyle w:val="Tabletextleft"/>
            </w:pPr>
            <w:r w:rsidRPr="0063432A">
              <w:t>Increase</w:t>
            </w:r>
            <w:r>
              <w:t xml:space="preserve"> </w:t>
            </w:r>
          </w:p>
          <w:p w14:paraId="3394306E" w14:textId="1C688DB1" w:rsidR="00056DFF" w:rsidRPr="007068B6" w:rsidRDefault="00056DFF" w:rsidP="00B0674C">
            <w:pPr>
              <w:pStyle w:val="Tabletextleft"/>
              <w:rPr>
                <w:i/>
                <w:iCs/>
              </w:rPr>
            </w:pPr>
            <w:r w:rsidRPr="007068B6">
              <w:rPr>
                <w:i/>
                <w:iCs/>
              </w:rPr>
              <w:t>(2022-23 to after 1 Nov)</w:t>
            </w:r>
          </w:p>
        </w:tc>
        <w:tc>
          <w:tcPr>
            <w:tcW w:w="0" w:type="dxa"/>
          </w:tcPr>
          <w:p w14:paraId="5712CC51" w14:textId="0C913DC8" w:rsidR="00056DFF" w:rsidRPr="00D95976" w:rsidRDefault="00056DFF" w:rsidP="00B0674C">
            <w:pPr>
              <w:pStyle w:val="Tabletextleft"/>
              <w:cnfStyle w:val="000000010000" w:firstRow="0" w:lastRow="0" w:firstColumn="0" w:lastColumn="0" w:oddVBand="0" w:evenVBand="0" w:oddHBand="0" w:evenHBand="1" w:firstRowFirstColumn="0" w:firstRowLastColumn="0" w:lastRowFirstColumn="0" w:lastRowLastColumn="0"/>
            </w:pPr>
            <w:r w:rsidRPr="00D64249">
              <w:t>$97,28</w:t>
            </w:r>
            <w:r>
              <w:t>4</w:t>
            </w:r>
          </w:p>
        </w:tc>
        <w:tc>
          <w:tcPr>
            <w:tcW w:w="0" w:type="dxa"/>
          </w:tcPr>
          <w:p w14:paraId="07352FE6" w14:textId="6B9C3A78" w:rsidR="00056DFF" w:rsidRPr="00D95976" w:rsidRDefault="00056DFF" w:rsidP="00B0674C">
            <w:pPr>
              <w:pStyle w:val="Tabletextright0"/>
              <w:jc w:val="left"/>
              <w:cnfStyle w:val="000000010000" w:firstRow="0" w:lastRow="0" w:firstColumn="0" w:lastColumn="0" w:oddVBand="0" w:evenVBand="0" w:oddHBand="0" w:evenHBand="1" w:firstRowFirstColumn="0" w:firstRowLastColumn="0" w:lastRowFirstColumn="0" w:lastRowLastColumn="0"/>
            </w:pPr>
            <w:r w:rsidRPr="00D64249">
              <w:t>$155,204</w:t>
            </w:r>
          </w:p>
        </w:tc>
      </w:tr>
    </w:tbl>
    <w:p w14:paraId="7A293897" w14:textId="74C108FD" w:rsidR="002724F4" w:rsidRDefault="002724F4" w:rsidP="002724F4">
      <w:pPr>
        <w:pStyle w:val="Heading2"/>
      </w:pPr>
      <w:r>
        <w:lastRenderedPageBreak/>
        <w:t>FAQs</w:t>
      </w:r>
    </w:p>
    <w:p w14:paraId="12D676CC" w14:textId="1B983A21" w:rsidR="002724F4" w:rsidRPr="00C75E86" w:rsidRDefault="002724F4" w:rsidP="00C75E86">
      <w:pPr>
        <w:pStyle w:val="Heading3"/>
      </w:pPr>
      <w:r w:rsidRPr="00CB7E45">
        <w:t xml:space="preserve">What is the basis for the calculations presented </w:t>
      </w:r>
      <w:r w:rsidR="00C75E86" w:rsidRPr="00C75E86">
        <w:t>i</w:t>
      </w:r>
      <w:r w:rsidRPr="00CB7E45">
        <w:t>n this factsheet?</w:t>
      </w:r>
    </w:p>
    <w:p w14:paraId="5F9A1AD8" w14:textId="06787FD4" w:rsidR="002724F4" w:rsidRDefault="002724F4" w:rsidP="002724F4">
      <w:r>
        <w:t xml:space="preserve">The calculations are based on the </w:t>
      </w:r>
      <w:hyperlink r:id="rId16" w:history="1">
        <w:r w:rsidRPr="00A80DB1">
          <w:rPr>
            <w:rStyle w:val="Hyperlink"/>
          </w:rPr>
          <w:t>'GP Earnings Calculator'</w:t>
        </w:r>
      </w:hyperlink>
      <w:r>
        <w:t xml:space="preserve"> provided by General Practice Registrars Australia, which is modelled on standards set by the Royal Australian College of General Practitioners.</w:t>
      </w:r>
    </w:p>
    <w:p w14:paraId="3604B7B9" w14:textId="5F68F7B2" w:rsidR="002724F4" w:rsidRDefault="002724F4" w:rsidP="002724F4">
      <w:r>
        <w:t xml:space="preserve">The calculation demonstrates the impact of the </w:t>
      </w:r>
      <w:r w:rsidR="00A04039">
        <w:t xml:space="preserve">Australian </w:t>
      </w:r>
      <w:r>
        <w:t>Government's additional investments on an average GP working in either a metropolitan or rural GP practice.</w:t>
      </w:r>
    </w:p>
    <w:p w14:paraId="115B7B08" w14:textId="77777777" w:rsidR="0012736F" w:rsidRDefault="0009743C">
      <w:r>
        <w:t xml:space="preserve">The calculations then </w:t>
      </w:r>
      <w:r w:rsidR="002724F4">
        <w:t>use Medicare data across all 1</w:t>
      </w:r>
      <w:r w:rsidR="000F3C42">
        <w:t>40</w:t>
      </w:r>
      <w:r w:rsidR="002724F4">
        <w:t xml:space="preserve"> million GP services </w:t>
      </w:r>
      <w:r w:rsidR="001D334D">
        <w:t xml:space="preserve">delivered across metropolitan and rural areas </w:t>
      </w:r>
      <w:r w:rsidR="002724F4">
        <w:t>during 2023-24 to find the national averages</w:t>
      </w:r>
      <w:r w:rsidR="001D334D">
        <w:t xml:space="preserve"> and</w:t>
      </w:r>
      <w:r w:rsidR="002724F4">
        <w:t xml:space="preserve"> calculate the impact for a full-time GP </w:t>
      </w:r>
      <w:r w:rsidR="002724F4" w:rsidRPr="00854CA1">
        <w:t>providing</w:t>
      </w:r>
      <w:r w:rsidR="0012736F">
        <w:t xml:space="preserve">: </w:t>
      </w:r>
    </w:p>
    <w:p w14:paraId="6867A254" w14:textId="020C1D80" w:rsidR="002724F4" w:rsidRPr="00854CA1" w:rsidRDefault="002724F4" w:rsidP="0012736F">
      <w:pPr>
        <w:pStyle w:val="ListParagraph"/>
        <w:numPr>
          <w:ilvl w:val="0"/>
          <w:numId w:val="30"/>
        </w:numPr>
      </w:pPr>
      <w:r w:rsidRPr="00854CA1">
        <w:t>the average mix of Medicare services</w:t>
      </w:r>
    </w:p>
    <w:p w14:paraId="6ACB5B70" w14:textId="4591EFA9" w:rsidR="002724F4" w:rsidRPr="00854CA1" w:rsidRDefault="002724F4" w:rsidP="00854CA1">
      <w:pPr>
        <w:pStyle w:val="ListParagraph"/>
        <w:numPr>
          <w:ilvl w:val="0"/>
          <w:numId w:val="30"/>
        </w:numPr>
      </w:pPr>
      <w:r w:rsidRPr="00854CA1">
        <w:t xml:space="preserve">to the average mix of concessional </w:t>
      </w:r>
      <w:r w:rsidR="005841F2">
        <w:t>and</w:t>
      </w:r>
      <w:r w:rsidR="005841F2" w:rsidRPr="00854CA1">
        <w:t xml:space="preserve"> </w:t>
      </w:r>
      <w:r w:rsidRPr="00854CA1">
        <w:t>non-concessional patients</w:t>
      </w:r>
    </w:p>
    <w:p w14:paraId="167FB93F" w14:textId="18772681" w:rsidR="002724F4" w:rsidRPr="00854CA1" w:rsidRDefault="002724F4" w:rsidP="00854CA1">
      <w:pPr>
        <w:pStyle w:val="ListParagraph"/>
        <w:numPr>
          <w:ilvl w:val="0"/>
          <w:numId w:val="30"/>
        </w:numPr>
      </w:pPr>
      <w:r w:rsidRPr="00854CA1">
        <w:t>at the average rate of bulk billing for each patient type</w:t>
      </w:r>
    </w:p>
    <w:p w14:paraId="3CF26C8B" w14:textId="7EC4480A" w:rsidR="002724F4" w:rsidRPr="00854CA1" w:rsidRDefault="002724F4" w:rsidP="00854CA1">
      <w:pPr>
        <w:pStyle w:val="ListParagraph"/>
        <w:numPr>
          <w:ilvl w:val="0"/>
          <w:numId w:val="30"/>
        </w:numPr>
      </w:pPr>
      <w:r w:rsidRPr="00854CA1">
        <w:t>charging the average patient fee for services that aren't bulk billed</w:t>
      </w:r>
    </w:p>
    <w:p w14:paraId="3B3AF55A" w14:textId="7D3A590F" w:rsidR="002724F4" w:rsidRPr="00854CA1" w:rsidRDefault="002724F4" w:rsidP="00854CA1">
      <w:pPr>
        <w:pStyle w:val="ListParagraph"/>
        <w:numPr>
          <w:ilvl w:val="0"/>
          <w:numId w:val="30"/>
        </w:numPr>
      </w:pPr>
      <w:r w:rsidRPr="00854CA1">
        <w:t>receiving the average Medicare benefit for services that are bulk billed</w:t>
      </w:r>
    </w:p>
    <w:p w14:paraId="5FE343E7" w14:textId="3AEC1343" w:rsidR="002724F4" w:rsidRPr="00854CA1" w:rsidRDefault="002724F4" w:rsidP="00854CA1">
      <w:pPr>
        <w:pStyle w:val="ListParagraph"/>
        <w:numPr>
          <w:ilvl w:val="0"/>
          <w:numId w:val="30"/>
        </w:numPr>
      </w:pPr>
      <w:r w:rsidRPr="00854CA1">
        <w:t>receiving the average bulk billing incentive for eligible patient services</w:t>
      </w:r>
      <w:r w:rsidR="004D1C36">
        <w:t xml:space="preserve"> (average from November 2023 to June 2024)</w:t>
      </w:r>
      <w:r w:rsidRPr="00854CA1">
        <w:t>.</w:t>
      </w:r>
    </w:p>
    <w:p w14:paraId="2985A96A" w14:textId="6CDCFC52" w:rsidR="002724F4" w:rsidRDefault="002724F4" w:rsidP="002724F4">
      <w:r>
        <w:t>The calculation then uses those averages to calculate the earnings for a GP working fulltime hours.</w:t>
      </w:r>
      <w:r w:rsidR="00056DFF">
        <w:t xml:space="preserve"> </w:t>
      </w:r>
      <w:r>
        <w:t>This calculation is an extension of the practice-level modelling conducted by the Department of Health and Aged Care.</w:t>
      </w:r>
    </w:p>
    <w:p w14:paraId="7474FC6E" w14:textId="77777777" w:rsidR="002724F4" w:rsidRPr="00140741" w:rsidRDefault="002724F4" w:rsidP="00140741">
      <w:pPr>
        <w:pStyle w:val="Heading3"/>
      </w:pPr>
      <w:r w:rsidRPr="00CB7E45">
        <w:t>What are the data inputs into the calculations?</w:t>
      </w:r>
    </w:p>
    <w:p w14:paraId="4704FF2C" w14:textId="2D81D944" w:rsidR="002724F4" w:rsidRPr="00981A9D" w:rsidRDefault="002724F4" w:rsidP="002724F4">
      <w:pPr>
        <w:rPr>
          <w:rFonts w:cs="Arial"/>
        </w:rPr>
      </w:pPr>
      <w:r w:rsidRPr="00981A9D">
        <w:rPr>
          <w:rFonts w:cs="Arial"/>
        </w:rPr>
        <w:t xml:space="preserve">The calculations are based on the </w:t>
      </w:r>
      <w:r w:rsidRPr="002724F4">
        <w:rPr>
          <w:rStyle w:val="Hyperlink"/>
        </w:rPr>
        <w:t>'</w:t>
      </w:r>
      <w:hyperlink r:id="rId17" w:history="1">
        <w:r w:rsidRPr="002724F4">
          <w:rPr>
            <w:rStyle w:val="Hyperlink"/>
          </w:rPr>
          <w:t>GP Earnings Calculator</w:t>
        </w:r>
      </w:hyperlink>
      <w:r w:rsidRPr="002724F4">
        <w:rPr>
          <w:rStyle w:val="Hyperlink"/>
        </w:rPr>
        <w:t>'</w:t>
      </w:r>
      <w:r w:rsidR="00140741" w:rsidRPr="00981A9D">
        <w:rPr>
          <w:rFonts w:cs="Arial"/>
        </w:rPr>
        <w:t xml:space="preserve"> </w:t>
      </w:r>
      <w:r w:rsidRPr="00981A9D">
        <w:rPr>
          <w:rFonts w:cs="Arial"/>
        </w:rPr>
        <w:t>provided by General Practice Registrars Australia, which is modelled on standards set by the Royal Australian College of General Practitioners.</w:t>
      </w:r>
    </w:p>
    <w:p w14:paraId="25BE1487" w14:textId="77777777" w:rsidR="002724F4" w:rsidRDefault="002724F4" w:rsidP="002724F4">
      <w:pPr>
        <w:rPr>
          <w:rFonts w:cs="Arial"/>
        </w:rPr>
      </w:pPr>
      <w:r w:rsidRPr="00981A9D">
        <w:rPr>
          <w:rFonts w:cs="Arial"/>
        </w:rPr>
        <w:t>In line with this, a full-time GP is assumed:</w:t>
      </w:r>
    </w:p>
    <w:p w14:paraId="082634D8" w14:textId="60EF2D03" w:rsidR="002724F4" w:rsidRPr="00A80DB1" w:rsidRDefault="002724F4" w:rsidP="00A80DB1">
      <w:pPr>
        <w:pStyle w:val="ListParagraph"/>
        <w:numPr>
          <w:ilvl w:val="0"/>
          <w:numId w:val="29"/>
        </w:numPr>
        <w:rPr>
          <w:rFonts w:cs="Arial"/>
        </w:rPr>
      </w:pPr>
      <w:r w:rsidRPr="00A80DB1">
        <w:rPr>
          <w:rFonts w:cs="Arial"/>
        </w:rPr>
        <w:t xml:space="preserve">to </w:t>
      </w:r>
      <w:r w:rsidR="000F3C42">
        <w:rPr>
          <w:rFonts w:cs="Arial"/>
        </w:rPr>
        <w:t>deliver</w:t>
      </w:r>
      <w:r w:rsidR="000F3C42" w:rsidRPr="00A80DB1">
        <w:rPr>
          <w:rFonts w:cs="Arial"/>
        </w:rPr>
        <w:t xml:space="preserve"> </w:t>
      </w:r>
      <w:r w:rsidRPr="00A80DB1">
        <w:rPr>
          <w:rFonts w:cs="Arial"/>
        </w:rPr>
        <w:t xml:space="preserve">4 </w:t>
      </w:r>
      <w:r w:rsidR="000F3C42">
        <w:rPr>
          <w:rFonts w:cs="Arial"/>
        </w:rPr>
        <w:t>services</w:t>
      </w:r>
      <w:r w:rsidRPr="00A80DB1">
        <w:rPr>
          <w:rFonts w:cs="Arial"/>
        </w:rPr>
        <w:t xml:space="preserve"> an hour </w:t>
      </w:r>
      <w:r w:rsidR="000F3C42">
        <w:rPr>
          <w:rFonts w:cs="Arial"/>
        </w:rPr>
        <w:t xml:space="preserve">and work </w:t>
      </w:r>
      <w:r w:rsidRPr="00A80DB1">
        <w:rPr>
          <w:rFonts w:cs="Arial"/>
        </w:rPr>
        <w:t>for 3.8 hours per session, for 10 sessions per week, with 4 weeks of annual leave a year</w:t>
      </w:r>
    </w:p>
    <w:p w14:paraId="3CC605FB" w14:textId="691D634F" w:rsidR="002724F4" w:rsidRPr="00A80DB1" w:rsidRDefault="002724F4" w:rsidP="00A80DB1">
      <w:pPr>
        <w:pStyle w:val="ListParagraph"/>
        <w:numPr>
          <w:ilvl w:val="0"/>
          <w:numId w:val="29"/>
        </w:numPr>
        <w:rPr>
          <w:rFonts w:cs="Arial"/>
        </w:rPr>
      </w:pPr>
      <w:r w:rsidRPr="00A80DB1">
        <w:rPr>
          <w:rFonts w:cs="Arial"/>
        </w:rPr>
        <w:t xml:space="preserve">to retain 70% of billings and </w:t>
      </w:r>
      <w:r w:rsidR="000F3C42">
        <w:rPr>
          <w:rFonts w:cs="Arial"/>
        </w:rPr>
        <w:t xml:space="preserve">pass through </w:t>
      </w:r>
      <w:r w:rsidRPr="00A80DB1">
        <w:rPr>
          <w:rFonts w:cs="Arial"/>
        </w:rPr>
        <w:t>30% of billings to the general practice, to cover its costs and profits.</w:t>
      </w:r>
    </w:p>
    <w:p w14:paraId="68ECB3A0" w14:textId="63D55715" w:rsidR="002724F4" w:rsidRPr="009040E9" w:rsidRDefault="002724F4" w:rsidP="003A5247">
      <w:pPr>
        <w:rPr>
          <w:lang w:val="en-US"/>
        </w:rPr>
      </w:pPr>
      <w:r w:rsidRPr="00981A9D">
        <w:rPr>
          <w:rFonts w:cs="Arial"/>
        </w:rPr>
        <w:t xml:space="preserve">According to Medicare data, across all </w:t>
      </w:r>
      <w:r>
        <w:rPr>
          <w:rFonts w:cs="Arial"/>
        </w:rPr>
        <w:t>1</w:t>
      </w:r>
      <w:r w:rsidR="000F3C42">
        <w:rPr>
          <w:rFonts w:cs="Arial"/>
        </w:rPr>
        <w:t>40</w:t>
      </w:r>
      <w:r>
        <w:rPr>
          <w:rFonts w:cs="Arial"/>
        </w:rPr>
        <w:t xml:space="preserve"> million</w:t>
      </w:r>
      <w:r w:rsidRPr="00981A9D">
        <w:rPr>
          <w:rFonts w:cs="Arial"/>
        </w:rPr>
        <w:t xml:space="preserve"> GP services delivered in either metropolitan or rural practices during 2023-24, the national averages </w:t>
      </w:r>
      <w:r w:rsidR="000F3C42">
        <w:rPr>
          <w:rFonts w:cs="Arial"/>
        </w:rPr>
        <w:t>for bulk billing rates</w:t>
      </w:r>
      <w:r w:rsidR="002332B2">
        <w:rPr>
          <w:rFonts w:cs="Arial"/>
        </w:rPr>
        <w:t>, fees and MBS benefits</w:t>
      </w:r>
      <w:r w:rsidR="000F3C42">
        <w:rPr>
          <w:rFonts w:cs="Arial"/>
        </w:rPr>
        <w:t xml:space="preserve"> </w:t>
      </w:r>
      <w:r w:rsidRPr="00981A9D">
        <w:rPr>
          <w:rFonts w:cs="Arial"/>
        </w:rPr>
        <w:t>are:</w:t>
      </w:r>
    </w:p>
    <w:tbl>
      <w:tblPr>
        <w:tblStyle w:val="DepartmentofHealthtable"/>
        <w:tblW w:w="0" w:type="auto"/>
        <w:tblLook w:val="04A0" w:firstRow="1" w:lastRow="0" w:firstColumn="1" w:lastColumn="0" w:noHBand="0" w:noVBand="1"/>
        <w:tblDescription w:val="Add Alt Text describing the content of the table"/>
      </w:tblPr>
      <w:tblGrid>
        <w:gridCol w:w="5529"/>
        <w:gridCol w:w="1701"/>
        <w:gridCol w:w="1840"/>
      </w:tblGrid>
      <w:tr w:rsidR="002724F4" w:rsidRPr="009040E9" w14:paraId="31C264E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14:paraId="5BB3E155" w14:textId="037AF084" w:rsidR="002724F4" w:rsidRPr="009040E9" w:rsidRDefault="00453FA0">
            <w:pPr>
              <w:pStyle w:val="Tableheader0"/>
              <w:rPr>
                <w:rFonts w:eastAsia="Cambria"/>
                <w:lang w:val="en-US"/>
              </w:rPr>
            </w:pPr>
            <w:r>
              <w:rPr>
                <w:lang w:val="en-US"/>
              </w:rPr>
              <w:t>National averages</w:t>
            </w:r>
          </w:p>
        </w:tc>
        <w:tc>
          <w:tcPr>
            <w:tcW w:w="1701" w:type="dxa"/>
          </w:tcPr>
          <w:p w14:paraId="1ED867E0" w14:textId="77777777" w:rsidR="002724F4" w:rsidRPr="009040E9" w:rsidRDefault="002724F4">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054764">
              <w:t>Metropolitan practices (MM1)</w:t>
            </w:r>
          </w:p>
        </w:tc>
        <w:tc>
          <w:tcPr>
            <w:tcW w:w="1840" w:type="dxa"/>
          </w:tcPr>
          <w:p w14:paraId="6F15C8B9" w14:textId="77777777" w:rsidR="002724F4" w:rsidRPr="009040E9" w:rsidRDefault="002724F4">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054764">
              <w:t>Rural practices (MM3-4)</w:t>
            </w:r>
          </w:p>
        </w:tc>
      </w:tr>
      <w:tr w:rsidR="002724F4" w:rsidRPr="009040E9" w14:paraId="6CF73F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09A6E4E4" w14:textId="77777777" w:rsidR="002724F4" w:rsidRPr="009040E9" w:rsidRDefault="002724F4" w:rsidP="00854CA1">
            <w:pPr>
              <w:pStyle w:val="Tabletextleft"/>
            </w:pPr>
            <w:r w:rsidRPr="008B45E5">
              <w:t>Proportion of services delivered to concessional patients</w:t>
            </w:r>
          </w:p>
        </w:tc>
        <w:tc>
          <w:tcPr>
            <w:tcW w:w="1701" w:type="dxa"/>
          </w:tcPr>
          <w:p w14:paraId="62A7BDEA" w14:textId="77777777" w:rsidR="002724F4" w:rsidRPr="009040E9" w:rsidRDefault="002724F4" w:rsidP="00854CA1">
            <w:pPr>
              <w:pStyle w:val="Tabletextleft"/>
              <w:cnfStyle w:val="000000100000" w:firstRow="0" w:lastRow="0" w:firstColumn="0" w:lastColumn="0" w:oddVBand="0" w:evenVBand="0" w:oddHBand="1" w:evenHBand="0" w:firstRowFirstColumn="0" w:firstRowLastColumn="0" w:lastRowFirstColumn="0" w:lastRowLastColumn="0"/>
            </w:pPr>
            <w:r w:rsidRPr="00054764">
              <w:t>53%</w:t>
            </w:r>
          </w:p>
        </w:tc>
        <w:tc>
          <w:tcPr>
            <w:tcW w:w="1840" w:type="dxa"/>
          </w:tcPr>
          <w:p w14:paraId="582DB7F6" w14:textId="77777777" w:rsidR="002724F4" w:rsidRPr="009040E9" w:rsidRDefault="002724F4" w:rsidP="00854CA1">
            <w:pPr>
              <w:pStyle w:val="Tabletextright0"/>
              <w:jc w:val="left"/>
              <w:cnfStyle w:val="000000100000" w:firstRow="0" w:lastRow="0" w:firstColumn="0" w:lastColumn="0" w:oddVBand="0" w:evenVBand="0" w:oddHBand="1" w:evenHBand="0" w:firstRowFirstColumn="0" w:firstRowLastColumn="0" w:lastRowFirstColumn="0" w:lastRowLastColumn="0"/>
            </w:pPr>
            <w:r w:rsidRPr="00054764">
              <w:t>64%</w:t>
            </w:r>
          </w:p>
        </w:tc>
      </w:tr>
      <w:tr w:rsidR="002724F4" w:rsidRPr="009040E9" w14:paraId="4D6F93B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643F368D" w14:textId="77777777" w:rsidR="002724F4" w:rsidRPr="009040E9" w:rsidRDefault="002724F4" w:rsidP="00854CA1">
            <w:pPr>
              <w:pStyle w:val="Tabletextleft"/>
            </w:pPr>
            <w:r w:rsidRPr="008B45E5">
              <w:t>Bulk billing rate for concessional patient services</w:t>
            </w:r>
          </w:p>
        </w:tc>
        <w:tc>
          <w:tcPr>
            <w:tcW w:w="1701" w:type="dxa"/>
          </w:tcPr>
          <w:p w14:paraId="681CA8A5" w14:textId="77777777" w:rsidR="002724F4" w:rsidRPr="009040E9" w:rsidRDefault="002724F4" w:rsidP="00854CA1">
            <w:pPr>
              <w:pStyle w:val="Tabletextleft"/>
              <w:cnfStyle w:val="000000010000" w:firstRow="0" w:lastRow="0" w:firstColumn="0" w:lastColumn="0" w:oddVBand="0" w:evenVBand="0" w:oddHBand="0" w:evenHBand="1" w:firstRowFirstColumn="0" w:firstRowLastColumn="0" w:lastRowFirstColumn="0" w:lastRowLastColumn="0"/>
            </w:pPr>
            <w:r w:rsidRPr="00054764">
              <w:t>90%</w:t>
            </w:r>
          </w:p>
        </w:tc>
        <w:tc>
          <w:tcPr>
            <w:tcW w:w="1840" w:type="dxa"/>
          </w:tcPr>
          <w:p w14:paraId="2E7EB196" w14:textId="77777777" w:rsidR="002724F4" w:rsidRPr="009040E9" w:rsidRDefault="002724F4" w:rsidP="00854CA1">
            <w:pPr>
              <w:pStyle w:val="Tabletextright0"/>
              <w:jc w:val="left"/>
              <w:cnfStyle w:val="000000010000" w:firstRow="0" w:lastRow="0" w:firstColumn="0" w:lastColumn="0" w:oddVBand="0" w:evenVBand="0" w:oddHBand="0" w:evenHBand="1" w:firstRowFirstColumn="0" w:firstRowLastColumn="0" w:lastRowFirstColumn="0" w:lastRowLastColumn="0"/>
            </w:pPr>
            <w:r w:rsidRPr="00054764">
              <w:t>91%</w:t>
            </w:r>
          </w:p>
        </w:tc>
      </w:tr>
      <w:tr w:rsidR="002724F4" w:rsidRPr="009040E9" w14:paraId="59271A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4C81E316" w14:textId="77777777" w:rsidR="002724F4" w:rsidRPr="009040E9" w:rsidRDefault="002724F4" w:rsidP="00854CA1">
            <w:pPr>
              <w:pStyle w:val="Tabletextleft"/>
            </w:pPr>
            <w:r w:rsidRPr="008B45E5">
              <w:lastRenderedPageBreak/>
              <w:t>Bulk billing rate for non-concessional patient services</w:t>
            </w:r>
          </w:p>
        </w:tc>
        <w:tc>
          <w:tcPr>
            <w:tcW w:w="1701" w:type="dxa"/>
          </w:tcPr>
          <w:p w14:paraId="2DF1B183" w14:textId="77777777" w:rsidR="002724F4" w:rsidRPr="009040E9" w:rsidRDefault="002724F4" w:rsidP="00854CA1">
            <w:pPr>
              <w:pStyle w:val="Tabletextleft"/>
              <w:cnfStyle w:val="000000100000" w:firstRow="0" w:lastRow="0" w:firstColumn="0" w:lastColumn="0" w:oddVBand="0" w:evenVBand="0" w:oddHBand="1" w:evenHBand="0" w:firstRowFirstColumn="0" w:firstRowLastColumn="0" w:lastRowFirstColumn="0" w:lastRowLastColumn="0"/>
            </w:pPr>
            <w:r w:rsidRPr="00054764">
              <w:t>62%</w:t>
            </w:r>
          </w:p>
        </w:tc>
        <w:tc>
          <w:tcPr>
            <w:tcW w:w="1840" w:type="dxa"/>
          </w:tcPr>
          <w:p w14:paraId="2C33C55C" w14:textId="77777777" w:rsidR="002724F4" w:rsidRPr="009040E9" w:rsidRDefault="002724F4" w:rsidP="00854CA1">
            <w:pPr>
              <w:pStyle w:val="Tabletextright0"/>
              <w:jc w:val="left"/>
              <w:cnfStyle w:val="000000100000" w:firstRow="0" w:lastRow="0" w:firstColumn="0" w:lastColumn="0" w:oddVBand="0" w:evenVBand="0" w:oddHBand="1" w:evenHBand="0" w:firstRowFirstColumn="0" w:firstRowLastColumn="0" w:lastRowFirstColumn="0" w:lastRowLastColumn="0"/>
            </w:pPr>
            <w:r w:rsidRPr="00054764">
              <w:t>58%</w:t>
            </w:r>
          </w:p>
        </w:tc>
      </w:tr>
      <w:tr w:rsidR="002724F4" w:rsidRPr="009040E9" w14:paraId="60E093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4C412BB9" w14:textId="77777777" w:rsidR="002724F4" w:rsidRPr="009040E9" w:rsidRDefault="002724F4" w:rsidP="00854CA1">
            <w:pPr>
              <w:pStyle w:val="Tabletextleft"/>
            </w:pPr>
            <w:r w:rsidRPr="008B45E5">
              <w:t>Patient fee for non-bulk billed services</w:t>
            </w:r>
          </w:p>
        </w:tc>
        <w:tc>
          <w:tcPr>
            <w:tcW w:w="1701" w:type="dxa"/>
          </w:tcPr>
          <w:p w14:paraId="7B373D6F" w14:textId="77777777" w:rsidR="002724F4" w:rsidRPr="009040E9" w:rsidRDefault="002724F4" w:rsidP="00854CA1">
            <w:pPr>
              <w:pStyle w:val="Tabletextleft"/>
              <w:cnfStyle w:val="000000010000" w:firstRow="0" w:lastRow="0" w:firstColumn="0" w:lastColumn="0" w:oddVBand="0" w:evenVBand="0" w:oddHBand="0" w:evenHBand="1" w:firstRowFirstColumn="0" w:firstRowLastColumn="0" w:lastRowFirstColumn="0" w:lastRowLastColumn="0"/>
            </w:pPr>
            <w:r w:rsidRPr="00054764">
              <w:t>$97.15</w:t>
            </w:r>
          </w:p>
        </w:tc>
        <w:tc>
          <w:tcPr>
            <w:tcW w:w="1840" w:type="dxa"/>
          </w:tcPr>
          <w:p w14:paraId="113CB460" w14:textId="77777777" w:rsidR="002724F4" w:rsidRPr="009040E9" w:rsidRDefault="002724F4" w:rsidP="00854CA1">
            <w:pPr>
              <w:pStyle w:val="Tabletextright0"/>
              <w:jc w:val="left"/>
              <w:cnfStyle w:val="000000010000" w:firstRow="0" w:lastRow="0" w:firstColumn="0" w:lastColumn="0" w:oddVBand="0" w:evenVBand="0" w:oddHBand="0" w:evenHBand="1" w:firstRowFirstColumn="0" w:firstRowLastColumn="0" w:lastRowFirstColumn="0" w:lastRowLastColumn="0"/>
            </w:pPr>
            <w:r w:rsidRPr="00054764">
              <w:t>$93.30</w:t>
            </w:r>
          </w:p>
        </w:tc>
      </w:tr>
      <w:tr w:rsidR="002724F4" w:rsidRPr="009040E9" w14:paraId="3EB071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293F466" w14:textId="77777777" w:rsidR="002724F4" w:rsidRPr="009040E9" w:rsidRDefault="002724F4" w:rsidP="00854CA1">
            <w:pPr>
              <w:pStyle w:val="Tabletextleft"/>
            </w:pPr>
            <w:r w:rsidRPr="008B45E5">
              <w:t>Medicare benefit for services</w:t>
            </w:r>
          </w:p>
        </w:tc>
        <w:tc>
          <w:tcPr>
            <w:tcW w:w="1701" w:type="dxa"/>
          </w:tcPr>
          <w:p w14:paraId="2113B25E" w14:textId="77777777" w:rsidR="002724F4" w:rsidRPr="009040E9" w:rsidRDefault="002724F4" w:rsidP="00854CA1">
            <w:pPr>
              <w:pStyle w:val="Tabletextleft"/>
              <w:cnfStyle w:val="000000100000" w:firstRow="0" w:lastRow="0" w:firstColumn="0" w:lastColumn="0" w:oddVBand="0" w:evenVBand="0" w:oddHBand="1" w:evenHBand="0" w:firstRowFirstColumn="0" w:firstRowLastColumn="0" w:lastRowFirstColumn="0" w:lastRowLastColumn="0"/>
            </w:pPr>
            <w:r w:rsidRPr="00054764">
              <w:t>$54.30</w:t>
            </w:r>
          </w:p>
        </w:tc>
        <w:tc>
          <w:tcPr>
            <w:tcW w:w="1840" w:type="dxa"/>
          </w:tcPr>
          <w:p w14:paraId="0BAE744D" w14:textId="77777777" w:rsidR="002724F4" w:rsidRPr="009040E9" w:rsidRDefault="002724F4" w:rsidP="00854CA1">
            <w:pPr>
              <w:pStyle w:val="Tabletextright0"/>
              <w:jc w:val="left"/>
              <w:cnfStyle w:val="000000100000" w:firstRow="0" w:lastRow="0" w:firstColumn="0" w:lastColumn="0" w:oddVBand="0" w:evenVBand="0" w:oddHBand="1" w:evenHBand="0" w:firstRowFirstColumn="0" w:firstRowLastColumn="0" w:lastRowFirstColumn="0" w:lastRowLastColumn="0"/>
            </w:pPr>
            <w:r w:rsidRPr="00054764">
              <w:t>$55.30</w:t>
            </w:r>
          </w:p>
        </w:tc>
      </w:tr>
      <w:tr w:rsidR="002724F4" w:rsidRPr="009040E9" w14:paraId="0D1EDA4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12042E85" w14:textId="77777777" w:rsidR="002724F4" w:rsidRPr="009040E9" w:rsidRDefault="002724F4" w:rsidP="00854CA1">
            <w:pPr>
              <w:pStyle w:val="Tabletextleft"/>
            </w:pPr>
            <w:r w:rsidRPr="008B45E5">
              <w:t>Medicare benefit for bulk billing incentives</w:t>
            </w:r>
          </w:p>
        </w:tc>
        <w:tc>
          <w:tcPr>
            <w:tcW w:w="1701" w:type="dxa"/>
          </w:tcPr>
          <w:p w14:paraId="45794F8D" w14:textId="77777777" w:rsidR="002724F4" w:rsidRPr="009040E9" w:rsidRDefault="002724F4" w:rsidP="00854CA1">
            <w:pPr>
              <w:pStyle w:val="Tabletextleft"/>
              <w:cnfStyle w:val="000000010000" w:firstRow="0" w:lastRow="0" w:firstColumn="0" w:lastColumn="0" w:oddVBand="0" w:evenVBand="0" w:oddHBand="0" w:evenHBand="1" w:firstRowFirstColumn="0" w:firstRowLastColumn="0" w:lastRowFirstColumn="0" w:lastRowLastColumn="0"/>
            </w:pPr>
            <w:r w:rsidRPr="00054764">
              <w:t>$17.95</w:t>
            </w:r>
          </w:p>
        </w:tc>
        <w:tc>
          <w:tcPr>
            <w:tcW w:w="1840" w:type="dxa"/>
          </w:tcPr>
          <w:p w14:paraId="59EDA6A4" w14:textId="77777777" w:rsidR="002724F4" w:rsidRPr="009040E9" w:rsidRDefault="002724F4" w:rsidP="00854CA1">
            <w:pPr>
              <w:pStyle w:val="Tabletextright0"/>
              <w:jc w:val="left"/>
              <w:cnfStyle w:val="000000010000" w:firstRow="0" w:lastRow="0" w:firstColumn="0" w:lastColumn="0" w:oddVBand="0" w:evenVBand="0" w:oddHBand="0" w:evenHBand="1" w:firstRowFirstColumn="0" w:firstRowLastColumn="0" w:lastRowFirstColumn="0" w:lastRowLastColumn="0"/>
            </w:pPr>
            <w:r w:rsidRPr="00054764">
              <w:t>$27.40</w:t>
            </w:r>
          </w:p>
        </w:tc>
      </w:tr>
    </w:tbl>
    <w:p w14:paraId="182E07C1" w14:textId="3132B790" w:rsidR="00CB7E45" w:rsidRPr="00140741" w:rsidRDefault="00CB7E45" w:rsidP="00140741">
      <w:pPr>
        <w:pStyle w:val="Heading3"/>
      </w:pPr>
      <w:r w:rsidRPr="00CB7E45">
        <w:t xml:space="preserve">Does the </w:t>
      </w:r>
      <w:r w:rsidR="00721391">
        <w:t>d</w:t>
      </w:r>
      <w:r w:rsidRPr="00CB7E45">
        <w:t>epartment's existing modelling apply the same calculations and assumptions?</w:t>
      </w:r>
    </w:p>
    <w:p w14:paraId="38EC427E" w14:textId="77777777" w:rsidR="00CB7E45" w:rsidRPr="00981A9D" w:rsidRDefault="00CB7E45" w:rsidP="00CB7E45">
      <w:pPr>
        <w:rPr>
          <w:rFonts w:cs="Arial"/>
        </w:rPr>
      </w:pPr>
      <w:r w:rsidRPr="00981A9D">
        <w:rPr>
          <w:rFonts w:cs="Arial"/>
        </w:rPr>
        <w:t xml:space="preserve">No, it </w:t>
      </w:r>
      <w:r>
        <w:rPr>
          <w:rFonts w:cs="Arial"/>
        </w:rPr>
        <w:t>does</w:t>
      </w:r>
      <w:r w:rsidRPr="00981A9D">
        <w:rPr>
          <w:rFonts w:cs="Arial"/>
        </w:rPr>
        <w:t xml:space="preserve"> not.</w:t>
      </w:r>
    </w:p>
    <w:p w14:paraId="5ABFAB45" w14:textId="2CCBB98A" w:rsidR="00CB7E45" w:rsidRDefault="00CB7E45" w:rsidP="00CB7E45">
      <w:pPr>
        <w:rPr>
          <w:rFonts w:cs="Arial"/>
        </w:rPr>
      </w:pPr>
      <w:r w:rsidRPr="00981A9D">
        <w:rPr>
          <w:rFonts w:cs="Arial"/>
        </w:rPr>
        <w:t xml:space="preserve">The </w:t>
      </w:r>
      <w:r w:rsidR="0020130C">
        <w:t xml:space="preserve">Department of Health and Aged Care </w:t>
      </w:r>
      <w:r w:rsidRPr="00981A9D">
        <w:rPr>
          <w:rFonts w:cs="Arial"/>
        </w:rPr>
        <w:t>has modelled the impact down to the individual practice level for more than 6,500 general practices enrolled in the Practice Incentives Program (PIP), which is the largest dataset of general practice billing in Australia.</w:t>
      </w:r>
    </w:p>
    <w:p w14:paraId="061A6B8F" w14:textId="3589D822" w:rsidR="00CB7E45" w:rsidRPr="00981A9D" w:rsidRDefault="00CB7E45" w:rsidP="00CB7E45">
      <w:pPr>
        <w:rPr>
          <w:rFonts w:cs="Arial"/>
        </w:rPr>
      </w:pPr>
      <w:r>
        <w:rPr>
          <w:rFonts w:cs="Arial"/>
        </w:rPr>
        <w:t>This fact sheet is an extension of that modelling, though uses a different set of assumptions and calculations to demonstrate the impact on GP billings and earnings</w:t>
      </w:r>
      <w:r w:rsidR="00F7260D">
        <w:rPr>
          <w:rFonts w:cs="Arial"/>
        </w:rPr>
        <w:t xml:space="preserve"> for three GP </w:t>
      </w:r>
      <w:r w:rsidR="00733A19">
        <w:rPr>
          <w:rFonts w:cs="Arial"/>
        </w:rPr>
        <w:t>billing models</w:t>
      </w:r>
      <w:r>
        <w:rPr>
          <w:rFonts w:cs="Arial"/>
        </w:rPr>
        <w:t>.</w:t>
      </w:r>
    </w:p>
    <w:p w14:paraId="3E9CF93B" w14:textId="2DAD10A7" w:rsidR="00CB7E45" w:rsidRPr="00140741" w:rsidRDefault="00CB7E45" w:rsidP="00140741">
      <w:pPr>
        <w:pStyle w:val="Heading3"/>
      </w:pPr>
      <w:bookmarkStart w:id="1" w:name="_Hlk192681451"/>
      <w:r w:rsidRPr="00CB7E45">
        <w:t xml:space="preserve">How has the impact of the </w:t>
      </w:r>
      <w:r w:rsidR="00721391">
        <w:t>g</w:t>
      </w:r>
      <w:r w:rsidRPr="00CB7E45">
        <w:t>overnment's investments been modelled on GP practices?</w:t>
      </w:r>
    </w:p>
    <w:p w14:paraId="271233B0" w14:textId="115809F3" w:rsidR="00CB7E45" w:rsidRPr="00981A9D" w:rsidRDefault="00CB7E45" w:rsidP="00CB7E45">
      <w:pPr>
        <w:rPr>
          <w:rFonts w:cs="Arial"/>
        </w:rPr>
      </w:pPr>
      <w:r w:rsidRPr="00981A9D">
        <w:rPr>
          <w:rFonts w:cs="Arial"/>
        </w:rPr>
        <w:t>The Department of Health and Aged Care has Medicare data for more than 1</w:t>
      </w:r>
      <w:r w:rsidR="00F7260D">
        <w:rPr>
          <w:rFonts w:cs="Arial"/>
        </w:rPr>
        <w:t>64</w:t>
      </w:r>
      <w:r w:rsidRPr="00981A9D">
        <w:rPr>
          <w:rFonts w:cs="Arial"/>
        </w:rPr>
        <w:t xml:space="preserve"> million GP services each year, including</w:t>
      </w:r>
      <w:r w:rsidR="00F7260D">
        <w:rPr>
          <w:rFonts w:cs="Arial"/>
        </w:rPr>
        <w:t xml:space="preserve"> where the service was provided and</w:t>
      </w:r>
      <w:r w:rsidRPr="00981A9D">
        <w:rPr>
          <w:rFonts w:cs="Arial"/>
        </w:rPr>
        <w:t xml:space="preserve"> how much a patient was charged if that service wasn't bulk billed.</w:t>
      </w:r>
    </w:p>
    <w:p w14:paraId="0055A5F5" w14:textId="32266A9C" w:rsidR="00CB7E45" w:rsidRPr="00981A9D" w:rsidRDefault="00CB7E45" w:rsidP="00CB7E45">
      <w:pPr>
        <w:rPr>
          <w:rFonts w:cs="Arial"/>
        </w:rPr>
      </w:pPr>
      <w:r w:rsidRPr="00981A9D">
        <w:rPr>
          <w:rFonts w:cs="Arial"/>
        </w:rPr>
        <w:t xml:space="preserve">The </w:t>
      </w:r>
      <w:r w:rsidR="0020130C">
        <w:rPr>
          <w:rFonts w:cs="Arial"/>
        </w:rPr>
        <w:t>d</w:t>
      </w:r>
      <w:r w:rsidRPr="00981A9D">
        <w:rPr>
          <w:rFonts w:cs="Arial"/>
        </w:rPr>
        <w:t xml:space="preserve">epartment also has Medicare data for more than 6,500 general practices enrolled in the </w:t>
      </w:r>
      <w:r w:rsidR="00FA76F1" w:rsidRPr="00981A9D">
        <w:rPr>
          <w:rFonts w:cs="Arial"/>
        </w:rPr>
        <w:t>Practice Incentives Program (PIP)</w:t>
      </w:r>
      <w:r w:rsidRPr="00981A9D">
        <w:rPr>
          <w:rFonts w:cs="Arial"/>
        </w:rPr>
        <w:t>, in what is the largest dataset of general practice billing in Australia.</w:t>
      </w:r>
      <w:r w:rsidR="00BD743E">
        <w:rPr>
          <w:rFonts w:cs="Arial"/>
        </w:rPr>
        <w:t xml:space="preserve"> </w:t>
      </w:r>
    </w:p>
    <w:p w14:paraId="70CC5243" w14:textId="05F49F58" w:rsidR="00CB7E45" w:rsidRDefault="00C57C02" w:rsidP="00CB7E45">
      <w:pPr>
        <w:rPr>
          <w:rFonts w:cs="Arial"/>
        </w:rPr>
      </w:pPr>
      <w:r>
        <w:rPr>
          <w:rFonts w:cs="Arial"/>
        </w:rPr>
        <w:t xml:space="preserve">Using both the PIP and Medicare datasets, the </w:t>
      </w:r>
      <w:r w:rsidR="00FA76F1">
        <w:rPr>
          <w:rFonts w:cs="Arial"/>
        </w:rPr>
        <w:t>d</w:t>
      </w:r>
      <w:r>
        <w:rPr>
          <w:rFonts w:cs="Arial"/>
        </w:rPr>
        <w:t xml:space="preserve">epartment has modelled </w:t>
      </w:r>
      <w:r w:rsidR="00CB7E45" w:rsidRPr="00981A9D">
        <w:rPr>
          <w:rFonts w:cs="Arial"/>
        </w:rPr>
        <w:t>the following information down to the individual practice level:</w:t>
      </w:r>
    </w:p>
    <w:p w14:paraId="697CBF43" w14:textId="403318D0" w:rsidR="00CB7E45" w:rsidRPr="00CB7E45" w:rsidRDefault="00B23C2A" w:rsidP="00CB7E45">
      <w:pPr>
        <w:pStyle w:val="ListBullet"/>
      </w:pPr>
      <w:r>
        <w:t>l</w:t>
      </w:r>
      <w:r w:rsidR="00CB7E45" w:rsidRPr="00CB7E45">
        <w:t>ocation and remoteness classification</w:t>
      </w:r>
      <w:r w:rsidR="00F7260D">
        <w:t xml:space="preserve"> of practice</w:t>
      </w:r>
    </w:p>
    <w:p w14:paraId="71C25D5B" w14:textId="24CA7D66" w:rsidR="00CB7E45" w:rsidRPr="00CB7E45" w:rsidRDefault="00B23C2A" w:rsidP="00CB7E45">
      <w:pPr>
        <w:pStyle w:val="ListBullet"/>
      </w:pPr>
      <w:r>
        <w:t>b</w:t>
      </w:r>
      <w:r w:rsidR="00CB7E45" w:rsidRPr="00CB7E45">
        <w:t>ulk billing rate</w:t>
      </w:r>
      <w:r w:rsidR="00F7260D">
        <w:t xml:space="preserve"> for concessional and non-concessional patients</w:t>
      </w:r>
    </w:p>
    <w:p w14:paraId="48845B1A" w14:textId="1CEF9211" w:rsidR="00CB7E45" w:rsidRPr="00CB7E45" w:rsidRDefault="00B23C2A" w:rsidP="00CB7E45">
      <w:pPr>
        <w:pStyle w:val="ListBullet"/>
      </w:pPr>
      <w:r>
        <w:t>n</w:t>
      </w:r>
      <w:r w:rsidR="00CB7E45" w:rsidRPr="00CB7E45">
        <w:t>umber and type of Medicare services billed</w:t>
      </w:r>
    </w:p>
    <w:p w14:paraId="18A7D5C8" w14:textId="34E60E85" w:rsidR="00CB7E45" w:rsidRPr="00CB7E45" w:rsidRDefault="00B23C2A" w:rsidP="00CB7E45">
      <w:pPr>
        <w:pStyle w:val="ListBullet"/>
      </w:pPr>
      <w:r>
        <w:t>r</w:t>
      </w:r>
      <w:r w:rsidR="00CB7E45" w:rsidRPr="00CB7E45">
        <w:t xml:space="preserve">evenue from Medicare </w:t>
      </w:r>
      <w:r w:rsidR="00F7260D">
        <w:t>benefits</w:t>
      </w:r>
    </w:p>
    <w:p w14:paraId="79C10B41" w14:textId="16F61CA9" w:rsidR="00CB7E45" w:rsidRPr="00CB7E45" w:rsidRDefault="00B23C2A" w:rsidP="00CB7E45">
      <w:pPr>
        <w:pStyle w:val="ListBullet"/>
      </w:pPr>
      <w:r>
        <w:t>r</w:t>
      </w:r>
      <w:r w:rsidR="00CB7E45" w:rsidRPr="00CB7E45">
        <w:t>evenue from patient charges</w:t>
      </w:r>
      <w:r>
        <w:t>.</w:t>
      </w:r>
    </w:p>
    <w:p w14:paraId="7DD9C641" w14:textId="7614519A" w:rsidR="00CB7E45" w:rsidRPr="00981A9D" w:rsidRDefault="00CB7E45" w:rsidP="00CB7E45">
      <w:pPr>
        <w:rPr>
          <w:rFonts w:cs="Arial"/>
        </w:rPr>
      </w:pPr>
      <w:r w:rsidRPr="00981A9D">
        <w:rPr>
          <w:rFonts w:cs="Arial"/>
        </w:rPr>
        <w:t>To understand the impact of the</w:t>
      </w:r>
      <w:r w:rsidR="000A709B">
        <w:rPr>
          <w:rFonts w:cs="Arial"/>
        </w:rPr>
        <w:t xml:space="preserve"> Australian</w:t>
      </w:r>
      <w:r w:rsidRPr="00981A9D">
        <w:rPr>
          <w:rFonts w:cs="Arial"/>
        </w:rPr>
        <w:t xml:space="preserve"> Government's additional investment in bulk billing, the impact on every general practice in the PIP dataset has been modelled.</w:t>
      </w:r>
    </w:p>
    <w:p w14:paraId="26979F61" w14:textId="77777777" w:rsidR="00CB7E45" w:rsidRPr="00981A9D" w:rsidRDefault="00CB7E45" w:rsidP="00CB7E45">
      <w:pPr>
        <w:rPr>
          <w:rFonts w:cs="Arial"/>
        </w:rPr>
      </w:pPr>
      <w:r w:rsidRPr="00981A9D">
        <w:rPr>
          <w:rFonts w:cs="Arial"/>
        </w:rPr>
        <w:t>If an individual practice would receive more in additional Medicare payments from bulk billing every patient than it currently receives from charging some patients, then that practice would be in a better financial position from adopting full bulk billing.</w:t>
      </w:r>
    </w:p>
    <w:p w14:paraId="21CA1825" w14:textId="0A7A9C92" w:rsidR="00CB7E45" w:rsidRPr="00981A9D" w:rsidRDefault="003673AE" w:rsidP="00CB7E45">
      <w:pPr>
        <w:rPr>
          <w:rFonts w:cs="Arial"/>
        </w:rPr>
      </w:pPr>
      <w:r>
        <w:rPr>
          <w:rFonts w:cs="Arial"/>
        </w:rPr>
        <w:lastRenderedPageBreak/>
        <w:t xml:space="preserve">The </w:t>
      </w:r>
      <w:r w:rsidR="00370DDE">
        <w:rPr>
          <w:rFonts w:cs="Arial"/>
        </w:rPr>
        <w:t>d</w:t>
      </w:r>
      <w:r>
        <w:rPr>
          <w:rFonts w:cs="Arial"/>
        </w:rPr>
        <w:t>epartment’s modelling estimates</w:t>
      </w:r>
      <w:r w:rsidR="00CB7E45" w:rsidRPr="00981A9D">
        <w:rPr>
          <w:rFonts w:cs="Arial"/>
        </w:rPr>
        <w:t xml:space="preserve"> around 4,800 general practices will be in a better financial position if they adopt full bulk billing - meaning they will gain more in additional Medicare payments than they would lose in patient fees.</w:t>
      </w:r>
    </w:p>
    <w:p w14:paraId="610CF6FE" w14:textId="77C13BDF" w:rsidR="00CB7E45" w:rsidRPr="00981A9D" w:rsidRDefault="00CB7E45" w:rsidP="00CB7E45">
      <w:pPr>
        <w:rPr>
          <w:rFonts w:cs="Arial"/>
        </w:rPr>
      </w:pPr>
      <w:r w:rsidRPr="00981A9D">
        <w:rPr>
          <w:rFonts w:cs="Arial"/>
        </w:rPr>
        <w:t xml:space="preserve">Those 4,800 practices will receive an average of $344,000 in additional </w:t>
      </w:r>
      <w:r w:rsidR="00C15672">
        <w:rPr>
          <w:rFonts w:cs="Arial"/>
        </w:rPr>
        <w:t>funding</w:t>
      </w:r>
      <w:r w:rsidR="00C15672" w:rsidRPr="00981A9D">
        <w:rPr>
          <w:rFonts w:cs="Arial"/>
        </w:rPr>
        <w:t xml:space="preserve"> </w:t>
      </w:r>
      <w:r w:rsidRPr="00981A9D">
        <w:rPr>
          <w:rFonts w:cs="Arial"/>
        </w:rPr>
        <w:t>a year, with the exact amount depending on a range of factors like the number and type of services delivered, its location and remoteness classification, its bulk billing rate and revenue from patient charges.</w:t>
      </w:r>
    </w:p>
    <w:bookmarkEnd w:id="1"/>
    <w:p w14:paraId="30691208" w14:textId="0B047BEB" w:rsidR="004668E4" w:rsidRPr="00140741" w:rsidRDefault="0047060F" w:rsidP="004668E4">
      <w:pPr>
        <w:pStyle w:val="Heading3"/>
      </w:pPr>
      <w:r>
        <w:t>What does the in</w:t>
      </w:r>
      <w:r w:rsidR="0035071C">
        <w:t xml:space="preserve">vestment mean for a GP that provides </w:t>
      </w:r>
      <w:r>
        <w:t>longer consultations?</w:t>
      </w:r>
    </w:p>
    <w:p w14:paraId="7F59F09C" w14:textId="3122549C" w:rsidR="004668E4" w:rsidRDefault="00AD668B" w:rsidP="004668E4">
      <w:pPr>
        <w:rPr>
          <w:rFonts w:cs="Arial"/>
        </w:rPr>
      </w:pPr>
      <w:r>
        <w:rPr>
          <w:rFonts w:cs="Arial"/>
        </w:rPr>
        <w:t xml:space="preserve">The calculations in this fact sheet show that </w:t>
      </w:r>
      <w:r w:rsidR="001A360C">
        <w:rPr>
          <w:rFonts w:cs="Arial"/>
        </w:rPr>
        <w:t>a GP that bulk bills every visit will earn the same</w:t>
      </w:r>
      <w:r w:rsidR="00EA4CBF">
        <w:rPr>
          <w:rFonts w:cs="Arial"/>
        </w:rPr>
        <w:t>,</w:t>
      </w:r>
      <w:r w:rsidR="009238E3">
        <w:rPr>
          <w:rFonts w:cs="Arial"/>
        </w:rPr>
        <w:t xml:space="preserve"> or more</w:t>
      </w:r>
      <w:r w:rsidR="00EA4CBF">
        <w:rPr>
          <w:rFonts w:cs="Arial"/>
        </w:rPr>
        <w:t>,</w:t>
      </w:r>
      <w:r w:rsidR="009238E3">
        <w:rPr>
          <w:rFonts w:cs="Arial"/>
        </w:rPr>
        <w:t xml:space="preserve"> than a mixed billing GP</w:t>
      </w:r>
      <w:r w:rsidR="00927B7A">
        <w:rPr>
          <w:rFonts w:cs="Arial"/>
        </w:rPr>
        <w:t>,</w:t>
      </w:r>
      <w:r w:rsidR="009238E3">
        <w:rPr>
          <w:rFonts w:cs="Arial"/>
        </w:rPr>
        <w:t xml:space="preserve"> </w:t>
      </w:r>
      <w:r w:rsidR="00927B7A">
        <w:rPr>
          <w:rFonts w:cs="Arial"/>
        </w:rPr>
        <w:t>for</w:t>
      </w:r>
      <w:r w:rsidR="009238E3">
        <w:rPr>
          <w:rFonts w:cs="Arial"/>
        </w:rPr>
        <w:t xml:space="preserve"> provid</w:t>
      </w:r>
      <w:r w:rsidR="00927B7A">
        <w:rPr>
          <w:rFonts w:cs="Arial"/>
        </w:rPr>
        <w:t>ing</w:t>
      </w:r>
      <w:r w:rsidR="009238E3">
        <w:rPr>
          <w:rFonts w:cs="Arial"/>
        </w:rPr>
        <w:t xml:space="preserve"> the same number of services.</w:t>
      </w:r>
    </w:p>
    <w:p w14:paraId="350E5E35" w14:textId="67C21844" w:rsidR="00927B7A" w:rsidRDefault="00246BC9" w:rsidP="00246BC9">
      <w:pPr>
        <w:rPr>
          <w:rFonts w:cs="Arial"/>
        </w:rPr>
      </w:pPr>
      <w:r w:rsidRPr="00246BC9">
        <w:rPr>
          <w:rFonts w:cs="Arial"/>
        </w:rPr>
        <w:t xml:space="preserve">This investment boosts Medicare payments for </w:t>
      </w:r>
      <w:r w:rsidR="00953C32">
        <w:rPr>
          <w:rFonts w:cs="Arial"/>
        </w:rPr>
        <w:t xml:space="preserve">a range of GP NRA services, including </w:t>
      </w:r>
      <w:r w:rsidR="00953C32">
        <w:t>most time-tiered consultation items</w:t>
      </w:r>
      <w:r w:rsidR="006E45D5">
        <w:t>,</w:t>
      </w:r>
      <w:r w:rsidR="00953C32">
        <w:t xml:space="preserve"> </w:t>
      </w:r>
      <w:r w:rsidR="006E45D5">
        <w:t>for example</w:t>
      </w:r>
      <w:r w:rsidR="00953C32">
        <w:t xml:space="preserve"> longer </w:t>
      </w:r>
      <w:r w:rsidR="00914A4C">
        <w:t>consultations</w:t>
      </w:r>
      <w:r w:rsidR="004F2FBD">
        <w:t xml:space="preserve">, </w:t>
      </w:r>
      <w:r w:rsidR="00953C32">
        <w:t>health assessments, mental health treatment items and chronic disease management items</w:t>
      </w:r>
      <w:r w:rsidRPr="00246BC9">
        <w:rPr>
          <w:rFonts w:cs="Arial"/>
        </w:rPr>
        <w:t>, mental health plans and chronic condition management.</w:t>
      </w:r>
    </w:p>
    <w:p w14:paraId="3F759BC6" w14:textId="0288EBFE" w:rsidR="00246BC9" w:rsidRPr="00246BC9" w:rsidRDefault="003B4797" w:rsidP="00246BC9">
      <w:pPr>
        <w:rPr>
          <w:rFonts w:cs="Arial"/>
        </w:rPr>
      </w:pPr>
      <w:r>
        <w:rPr>
          <w:rFonts w:cs="Arial"/>
        </w:rPr>
        <w:t xml:space="preserve">The table below </w:t>
      </w:r>
      <w:r w:rsidR="00BF7B37">
        <w:rPr>
          <w:rFonts w:cs="Arial"/>
        </w:rPr>
        <w:t>includes</w:t>
      </w:r>
      <w:r>
        <w:rPr>
          <w:rFonts w:cs="Arial"/>
        </w:rPr>
        <w:t xml:space="preserve"> some</w:t>
      </w:r>
      <w:r w:rsidR="006E45D5">
        <w:rPr>
          <w:rFonts w:cs="Arial"/>
        </w:rPr>
        <w:t xml:space="preserve">, </w:t>
      </w:r>
      <w:r w:rsidR="00BF7B37">
        <w:rPr>
          <w:rFonts w:cs="Arial"/>
        </w:rPr>
        <w:t>not all</w:t>
      </w:r>
      <w:r w:rsidR="006E45D5">
        <w:rPr>
          <w:rFonts w:cs="Arial"/>
        </w:rPr>
        <w:t xml:space="preserve">, </w:t>
      </w:r>
      <w:r>
        <w:rPr>
          <w:rFonts w:cs="Arial"/>
        </w:rPr>
        <w:t xml:space="preserve">of </w:t>
      </w:r>
      <w:r w:rsidR="00BF7B37">
        <w:rPr>
          <w:rFonts w:cs="Arial"/>
        </w:rPr>
        <w:t xml:space="preserve">the common GP NRA services that will increase </w:t>
      </w:r>
      <w:proofErr w:type="gramStart"/>
      <w:r w:rsidR="00BF7B37">
        <w:rPr>
          <w:rFonts w:cs="Arial"/>
        </w:rPr>
        <w:t>as a result of</w:t>
      </w:r>
      <w:proofErr w:type="gramEnd"/>
      <w:r w:rsidR="00BF7B37">
        <w:rPr>
          <w:rFonts w:cs="Arial"/>
        </w:rPr>
        <w:t xml:space="preserve"> the expansion of </w:t>
      </w:r>
      <w:r w:rsidR="00D16952">
        <w:rPr>
          <w:rFonts w:cs="Arial"/>
        </w:rPr>
        <w:t xml:space="preserve">bulk billing incentives to all </w:t>
      </w:r>
      <w:r w:rsidR="000B1B8A">
        <w:rPr>
          <w:rFonts w:cs="Arial"/>
        </w:rPr>
        <w:t>Medicare-eligible patients</w:t>
      </w:r>
      <w:r w:rsidR="00D16952">
        <w:rPr>
          <w:rFonts w:cs="Arial"/>
        </w:rPr>
        <w:t>, and the new Bulk Billing Practice Incentive Program payment.</w:t>
      </w:r>
    </w:p>
    <w:tbl>
      <w:tblPr>
        <w:tblStyle w:val="TableGrid"/>
        <w:tblW w:w="9815" w:type="dxa"/>
        <w:jc w:val="center"/>
        <w:tblLayout w:type="fixed"/>
        <w:tblLook w:val="04A0" w:firstRow="1" w:lastRow="0" w:firstColumn="1" w:lastColumn="0" w:noHBand="0" w:noVBand="1"/>
      </w:tblPr>
      <w:tblGrid>
        <w:gridCol w:w="2689"/>
        <w:gridCol w:w="1134"/>
        <w:gridCol w:w="1198"/>
        <w:gridCol w:w="1198"/>
        <w:gridCol w:w="1199"/>
        <w:gridCol w:w="1198"/>
        <w:gridCol w:w="1199"/>
      </w:tblGrid>
      <w:tr w:rsidR="003B1CAA" w:rsidRPr="00FA35C3" w14:paraId="1EDC58BE" w14:textId="77777777" w:rsidTr="003B1CAA">
        <w:trPr>
          <w:trHeight w:val="344"/>
          <w:jc w:val="center"/>
        </w:trPr>
        <w:tc>
          <w:tcPr>
            <w:tcW w:w="2689" w:type="dxa"/>
            <w:vMerge w:val="restart"/>
            <w:shd w:val="clear" w:color="auto" w:fill="3F4A75"/>
            <w:vAlign w:val="center"/>
          </w:tcPr>
          <w:p w14:paraId="5168CB39" w14:textId="77777777" w:rsidR="00FA35C3" w:rsidRPr="003A5247" w:rsidRDefault="00FA35C3" w:rsidP="003A5247">
            <w:pPr>
              <w:jc w:val="center"/>
              <w:rPr>
                <w:rFonts w:cs="Arial"/>
                <w:b/>
                <w:bCs/>
                <w:color w:val="FFFFFF" w:themeColor="background1"/>
                <w:sz w:val="20"/>
                <w:szCs w:val="20"/>
              </w:rPr>
            </w:pPr>
            <w:r w:rsidRPr="003A5247">
              <w:rPr>
                <w:rFonts w:cs="Arial"/>
                <w:b/>
                <w:bCs/>
                <w:color w:val="FFFFFF" w:themeColor="background1"/>
                <w:sz w:val="20"/>
                <w:szCs w:val="20"/>
              </w:rPr>
              <w:t>Common GP visits</w:t>
            </w:r>
          </w:p>
        </w:tc>
        <w:tc>
          <w:tcPr>
            <w:tcW w:w="1134" w:type="dxa"/>
            <w:vMerge w:val="restart"/>
            <w:shd w:val="clear" w:color="auto" w:fill="3F4A75"/>
            <w:vAlign w:val="center"/>
          </w:tcPr>
          <w:p w14:paraId="3C492F3C" w14:textId="2035FD97" w:rsidR="00FA35C3" w:rsidRPr="003A5247" w:rsidRDefault="00FA35C3" w:rsidP="003A5247">
            <w:pPr>
              <w:jc w:val="center"/>
              <w:rPr>
                <w:rFonts w:cs="Arial"/>
                <w:b/>
                <w:bCs/>
                <w:color w:val="FFFFFF" w:themeColor="background1"/>
                <w:sz w:val="20"/>
                <w:szCs w:val="20"/>
              </w:rPr>
            </w:pPr>
            <w:r w:rsidRPr="003A5247">
              <w:rPr>
                <w:rFonts w:cs="Arial"/>
                <w:b/>
                <w:bCs/>
                <w:color w:val="FFFFFF" w:themeColor="background1"/>
                <w:sz w:val="20"/>
                <w:szCs w:val="20"/>
              </w:rPr>
              <w:t>Current Medicare rebate</w:t>
            </w:r>
            <w:r w:rsidR="004A69EF" w:rsidRPr="003A5247">
              <w:rPr>
                <w:rFonts w:cs="Arial"/>
                <w:b/>
                <w:bCs/>
                <w:color w:val="FFFFFF" w:themeColor="background1"/>
                <w:sz w:val="20"/>
                <w:szCs w:val="20"/>
              </w:rPr>
              <w:t>**</w:t>
            </w:r>
          </w:p>
        </w:tc>
        <w:tc>
          <w:tcPr>
            <w:tcW w:w="5992" w:type="dxa"/>
            <w:gridSpan w:val="5"/>
            <w:shd w:val="clear" w:color="auto" w:fill="3F4A75"/>
            <w:vAlign w:val="center"/>
          </w:tcPr>
          <w:p w14:paraId="5EA5EF5B" w14:textId="77777777" w:rsidR="00FA35C3" w:rsidRPr="003A5247" w:rsidRDefault="00FA35C3" w:rsidP="003A5247">
            <w:pPr>
              <w:jc w:val="center"/>
              <w:rPr>
                <w:rFonts w:cs="Arial"/>
                <w:b/>
                <w:bCs/>
                <w:color w:val="FFFFFF" w:themeColor="background1"/>
                <w:sz w:val="20"/>
                <w:szCs w:val="20"/>
              </w:rPr>
            </w:pPr>
            <w:r w:rsidRPr="003A5247">
              <w:rPr>
                <w:rFonts w:cs="Arial"/>
                <w:b/>
                <w:bCs/>
                <w:color w:val="FFFFFF" w:themeColor="background1"/>
                <w:sz w:val="20"/>
                <w:szCs w:val="20"/>
              </w:rPr>
              <w:t>New total Medicare payment at a Bulk Billing Practice*</w:t>
            </w:r>
          </w:p>
        </w:tc>
      </w:tr>
      <w:tr w:rsidR="003B1CAA" w:rsidRPr="00FA35C3" w14:paraId="15CB0038" w14:textId="77777777" w:rsidTr="003A5247">
        <w:trPr>
          <w:trHeight w:val="344"/>
          <w:jc w:val="center"/>
        </w:trPr>
        <w:tc>
          <w:tcPr>
            <w:tcW w:w="2689" w:type="dxa"/>
            <w:vMerge/>
            <w:tcBorders>
              <w:bottom w:val="single" w:sz="4" w:space="0" w:color="auto"/>
            </w:tcBorders>
            <w:shd w:val="clear" w:color="auto" w:fill="3F4A75"/>
            <w:vAlign w:val="center"/>
          </w:tcPr>
          <w:p w14:paraId="06452CF8" w14:textId="77777777" w:rsidR="00FA35C3" w:rsidRPr="003A5247" w:rsidRDefault="00FA35C3" w:rsidP="003A5247">
            <w:pPr>
              <w:jc w:val="center"/>
              <w:rPr>
                <w:rFonts w:cs="Arial"/>
                <w:b/>
                <w:bCs/>
                <w:color w:val="FFFFFF" w:themeColor="background1"/>
                <w:sz w:val="20"/>
                <w:szCs w:val="20"/>
              </w:rPr>
            </w:pPr>
          </w:p>
        </w:tc>
        <w:tc>
          <w:tcPr>
            <w:tcW w:w="1134" w:type="dxa"/>
            <w:vMerge/>
            <w:tcBorders>
              <w:bottom w:val="single" w:sz="4" w:space="0" w:color="auto"/>
            </w:tcBorders>
            <w:shd w:val="clear" w:color="auto" w:fill="3F4A75"/>
            <w:vAlign w:val="center"/>
          </w:tcPr>
          <w:p w14:paraId="26DAE58F" w14:textId="77777777" w:rsidR="00FA35C3" w:rsidRPr="003A5247" w:rsidRDefault="00FA35C3" w:rsidP="003A5247">
            <w:pPr>
              <w:jc w:val="center"/>
              <w:rPr>
                <w:rFonts w:cs="Arial"/>
                <w:b/>
                <w:bCs/>
                <w:color w:val="FFFFFF" w:themeColor="background1"/>
                <w:sz w:val="20"/>
                <w:szCs w:val="20"/>
              </w:rPr>
            </w:pPr>
          </w:p>
        </w:tc>
        <w:tc>
          <w:tcPr>
            <w:tcW w:w="1198" w:type="dxa"/>
            <w:tcBorders>
              <w:bottom w:val="single" w:sz="4" w:space="0" w:color="auto"/>
            </w:tcBorders>
            <w:shd w:val="clear" w:color="auto" w:fill="3F4A75"/>
            <w:vAlign w:val="center"/>
          </w:tcPr>
          <w:p w14:paraId="36A57305" w14:textId="19C0FB5F" w:rsidR="00FA35C3" w:rsidRPr="003A5247" w:rsidRDefault="00424579" w:rsidP="003A5247">
            <w:pPr>
              <w:jc w:val="center"/>
              <w:rPr>
                <w:rFonts w:cs="Arial"/>
                <w:b/>
                <w:bCs/>
                <w:color w:val="FFFFFF" w:themeColor="background1"/>
                <w:sz w:val="20"/>
                <w:szCs w:val="20"/>
              </w:rPr>
            </w:pPr>
            <w:r>
              <w:rPr>
                <w:rFonts w:cs="Arial"/>
                <w:b/>
                <w:bCs/>
                <w:color w:val="FFFFFF" w:themeColor="background1"/>
                <w:sz w:val="20"/>
                <w:szCs w:val="20"/>
              </w:rPr>
              <w:t>MM1</w:t>
            </w:r>
          </w:p>
        </w:tc>
        <w:tc>
          <w:tcPr>
            <w:tcW w:w="1198" w:type="dxa"/>
            <w:tcBorders>
              <w:bottom w:val="single" w:sz="4" w:space="0" w:color="auto"/>
            </w:tcBorders>
            <w:shd w:val="clear" w:color="auto" w:fill="3F4A75"/>
            <w:vAlign w:val="center"/>
          </w:tcPr>
          <w:p w14:paraId="043A5904" w14:textId="47BA2BC5" w:rsidR="00FA35C3" w:rsidRPr="003A5247" w:rsidRDefault="00424579" w:rsidP="003A5247">
            <w:pPr>
              <w:jc w:val="center"/>
              <w:rPr>
                <w:rFonts w:cs="Arial"/>
                <w:b/>
                <w:bCs/>
                <w:color w:val="FFFFFF" w:themeColor="background1"/>
                <w:sz w:val="20"/>
                <w:szCs w:val="20"/>
              </w:rPr>
            </w:pPr>
            <w:r>
              <w:rPr>
                <w:rFonts w:cs="Arial"/>
                <w:b/>
                <w:bCs/>
                <w:color w:val="FFFFFF" w:themeColor="background1"/>
                <w:sz w:val="20"/>
                <w:szCs w:val="20"/>
              </w:rPr>
              <w:t>MM2</w:t>
            </w:r>
          </w:p>
        </w:tc>
        <w:tc>
          <w:tcPr>
            <w:tcW w:w="1199" w:type="dxa"/>
            <w:tcBorders>
              <w:bottom w:val="single" w:sz="4" w:space="0" w:color="auto"/>
            </w:tcBorders>
            <w:shd w:val="clear" w:color="auto" w:fill="3F4A75"/>
            <w:vAlign w:val="center"/>
          </w:tcPr>
          <w:p w14:paraId="4D75ABE5" w14:textId="414D861F" w:rsidR="00FA35C3" w:rsidRPr="003A5247" w:rsidRDefault="009C7D8F" w:rsidP="003A5247">
            <w:pPr>
              <w:jc w:val="center"/>
              <w:rPr>
                <w:rFonts w:cs="Arial"/>
                <w:b/>
                <w:bCs/>
                <w:color w:val="FFFFFF" w:themeColor="background1"/>
                <w:sz w:val="20"/>
                <w:szCs w:val="20"/>
              </w:rPr>
            </w:pPr>
            <w:r w:rsidRPr="003A5247">
              <w:rPr>
                <w:rFonts w:cs="Arial"/>
                <w:b/>
                <w:bCs/>
                <w:color w:val="FFFFFF" w:themeColor="background1"/>
                <w:sz w:val="20"/>
                <w:szCs w:val="20"/>
              </w:rPr>
              <w:t>MM3-4</w:t>
            </w:r>
          </w:p>
        </w:tc>
        <w:tc>
          <w:tcPr>
            <w:tcW w:w="1198" w:type="dxa"/>
            <w:tcBorders>
              <w:bottom w:val="single" w:sz="4" w:space="0" w:color="auto"/>
            </w:tcBorders>
            <w:shd w:val="clear" w:color="auto" w:fill="3F4A75"/>
            <w:vAlign w:val="center"/>
          </w:tcPr>
          <w:p w14:paraId="365047EF" w14:textId="520B4327" w:rsidR="00FA35C3" w:rsidRPr="003A5247" w:rsidRDefault="009C7D8F" w:rsidP="003A5247">
            <w:pPr>
              <w:jc w:val="center"/>
              <w:rPr>
                <w:rFonts w:cs="Arial"/>
                <w:b/>
                <w:bCs/>
                <w:color w:val="FFFFFF" w:themeColor="background1"/>
                <w:sz w:val="20"/>
                <w:szCs w:val="20"/>
              </w:rPr>
            </w:pPr>
            <w:r w:rsidRPr="003A5247">
              <w:rPr>
                <w:rFonts w:cs="Arial"/>
                <w:b/>
                <w:bCs/>
                <w:color w:val="FFFFFF" w:themeColor="background1"/>
                <w:sz w:val="20"/>
                <w:szCs w:val="20"/>
              </w:rPr>
              <w:t>MM5</w:t>
            </w:r>
          </w:p>
        </w:tc>
        <w:tc>
          <w:tcPr>
            <w:tcW w:w="1199" w:type="dxa"/>
            <w:tcBorders>
              <w:bottom w:val="single" w:sz="4" w:space="0" w:color="auto"/>
            </w:tcBorders>
            <w:shd w:val="clear" w:color="auto" w:fill="3F4A75"/>
            <w:vAlign w:val="center"/>
          </w:tcPr>
          <w:p w14:paraId="40E46A33" w14:textId="55A7142C" w:rsidR="00FA35C3" w:rsidRPr="003A5247" w:rsidRDefault="003B7067" w:rsidP="003A5247">
            <w:pPr>
              <w:jc w:val="center"/>
              <w:rPr>
                <w:rFonts w:cs="Arial"/>
                <w:b/>
                <w:bCs/>
                <w:color w:val="FFFFFF" w:themeColor="background1"/>
                <w:sz w:val="20"/>
                <w:szCs w:val="20"/>
              </w:rPr>
            </w:pPr>
            <w:r w:rsidRPr="003A5247">
              <w:rPr>
                <w:rFonts w:cs="Arial"/>
                <w:b/>
                <w:bCs/>
                <w:color w:val="FFFFFF" w:themeColor="background1"/>
                <w:sz w:val="20"/>
                <w:szCs w:val="20"/>
              </w:rPr>
              <w:t>MM6</w:t>
            </w:r>
          </w:p>
        </w:tc>
      </w:tr>
      <w:tr w:rsidR="007D4EB2" w:rsidRPr="00FA35C3" w14:paraId="3CF983F2" w14:textId="77777777" w:rsidTr="003A5247">
        <w:trPr>
          <w:trHeight w:val="344"/>
          <w:jc w:val="center"/>
        </w:trPr>
        <w:tc>
          <w:tcPr>
            <w:tcW w:w="2689" w:type="dxa"/>
            <w:tcBorders>
              <w:top w:val="single" w:sz="4" w:space="0" w:color="auto"/>
              <w:left w:val="nil"/>
              <w:bottom w:val="single" w:sz="4" w:space="0" w:color="auto"/>
              <w:right w:val="nil"/>
            </w:tcBorders>
            <w:shd w:val="clear" w:color="auto" w:fill="FFFFFF" w:themeFill="background1"/>
            <w:vAlign w:val="center"/>
          </w:tcPr>
          <w:p w14:paraId="27D42815" w14:textId="77777777" w:rsidR="00FA35C3" w:rsidRPr="003A5247" w:rsidRDefault="00FA35C3" w:rsidP="00FA35C3">
            <w:pPr>
              <w:rPr>
                <w:rFonts w:cs="Arial"/>
                <w:sz w:val="20"/>
                <w:szCs w:val="20"/>
              </w:rPr>
            </w:pPr>
            <w:r w:rsidRPr="003A5247">
              <w:rPr>
                <w:rFonts w:cs="Arial"/>
                <w:b/>
                <w:bCs/>
                <w:sz w:val="20"/>
                <w:szCs w:val="20"/>
              </w:rPr>
              <w:t>Standard consultation</w:t>
            </w:r>
            <w:r w:rsidRPr="003A5247">
              <w:rPr>
                <w:rFonts w:cs="Arial"/>
                <w:sz w:val="20"/>
                <w:szCs w:val="20"/>
              </w:rPr>
              <w:br/>
            </w:r>
            <w:r w:rsidRPr="003A5247">
              <w:rPr>
                <w:rFonts w:cs="Arial"/>
                <w:i/>
                <w:iCs/>
                <w:sz w:val="20"/>
                <w:szCs w:val="20"/>
              </w:rPr>
              <w:t>6 to &lt;20 minutes (Level B)</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11268E6" w14:textId="77777777" w:rsidR="00FA35C3" w:rsidRPr="003A5247" w:rsidRDefault="00FA35C3" w:rsidP="003A5247">
            <w:pPr>
              <w:jc w:val="center"/>
              <w:rPr>
                <w:rFonts w:cs="Arial"/>
                <w:b/>
                <w:bCs/>
                <w:sz w:val="20"/>
                <w:szCs w:val="20"/>
              </w:rPr>
            </w:pPr>
            <w:r w:rsidRPr="003A5247">
              <w:rPr>
                <w:rFonts w:cs="Arial"/>
                <w:b/>
                <w:bCs/>
                <w:sz w:val="20"/>
                <w:szCs w:val="20"/>
              </w:rPr>
              <w:t>$42.85</w:t>
            </w:r>
          </w:p>
        </w:tc>
        <w:tc>
          <w:tcPr>
            <w:tcW w:w="1198" w:type="dxa"/>
            <w:tcBorders>
              <w:top w:val="single" w:sz="4" w:space="0" w:color="auto"/>
              <w:left w:val="nil"/>
              <w:bottom w:val="single" w:sz="4" w:space="0" w:color="auto"/>
              <w:right w:val="nil"/>
            </w:tcBorders>
            <w:shd w:val="clear" w:color="auto" w:fill="FFFFFF" w:themeFill="background1"/>
            <w:vAlign w:val="center"/>
          </w:tcPr>
          <w:p w14:paraId="0A4F0D09" w14:textId="77777777" w:rsidR="00FA35C3" w:rsidRPr="003A5247" w:rsidRDefault="00FA35C3" w:rsidP="003A5247">
            <w:pPr>
              <w:jc w:val="center"/>
              <w:rPr>
                <w:rFonts w:cs="Arial"/>
                <w:sz w:val="20"/>
                <w:szCs w:val="20"/>
              </w:rPr>
            </w:pPr>
            <w:r w:rsidRPr="003A5247">
              <w:rPr>
                <w:rFonts w:cs="Arial"/>
                <w:b/>
                <w:bCs/>
                <w:sz w:val="20"/>
                <w:szCs w:val="20"/>
              </w:rPr>
              <w:t>$69.56</w:t>
            </w:r>
            <w:r w:rsidRPr="003A5247">
              <w:rPr>
                <w:rFonts w:cs="Arial"/>
                <w:b/>
                <w:bCs/>
                <w:sz w:val="20"/>
                <w:szCs w:val="20"/>
              </w:rPr>
              <w:br/>
            </w:r>
            <w:r w:rsidRPr="003A5247">
              <w:rPr>
                <w:rFonts w:cs="Arial"/>
                <w:i/>
                <w:iCs/>
                <w:sz w:val="20"/>
                <w:szCs w:val="20"/>
              </w:rPr>
              <w:t>(up 62%)</w:t>
            </w:r>
          </w:p>
        </w:tc>
        <w:tc>
          <w:tcPr>
            <w:tcW w:w="1198" w:type="dxa"/>
            <w:tcBorders>
              <w:top w:val="single" w:sz="4" w:space="0" w:color="auto"/>
              <w:left w:val="nil"/>
              <w:bottom w:val="single" w:sz="4" w:space="0" w:color="auto"/>
              <w:right w:val="nil"/>
            </w:tcBorders>
            <w:shd w:val="clear" w:color="auto" w:fill="FFFFFF" w:themeFill="background1"/>
            <w:vAlign w:val="center"/>
          </w:tcPr>
          <w:p w14:paraId="15B3BEB4" w14:textId="77777777" w:rsidR="00FA35C3" w:rsidRPr="003A5247" w:rsidRDefault="00FA35C3" w:rsidP="003A5247">
            <w:pPr>
              <w:jc w:val="center"/>
              <w:rPr>
                <w:rFonts w:cs="Arial"/>
                <w:sz w:val="20"/>
                <w:szCs w:val="20"/>
              </w:rPr>
            </w:pPr>
            <w:r w:rsidRPr="003A5247">
              <w:rPr>
                <w:rFonts w:cs="Arial"/>
                <w:b/>
                <w:bCs/>
                <w:sz w:val="20"/>
                <w:szCs w:val="20"/>
              </w:rPr>
              <w:t>$80.71</w:t>
            </w:r>
            <w:r w:rsidRPr="003A5247">
              <w:rPr>
                <w:rFonts w:cs="Arial"/>
                <w:sz w:val="20"/>
                <w:szCs w:val="20"/>
              </w:rPr>
              <w:br/>
            </w:r>
            <w:r w:rsidRPr="003A5247">
              <w:rPr>
                <w:rFonts w:cs="Arial"/>
                <w:i/>
                <w:iCs/>
                <w:sz w:val="20"/>
                <w:szCs w:val="20"/>
              </w:rPr>
              <w:t>(up 88%)</w:t>
            </w:r>
          </w:p>
        </w:tc>
        <w:tc>
          <w:tcPr>
            <w:tcW w:w="1199" w:type="dxa"/>
            <w:tcBorders>
              <w:top w:val="single" w:sz="4" w:space="0" w:color="auto"/>
              <w:left w:val="nil"/>
              <w:bottom w:val="single" w:sz="4" w:space="0" w:color="auto"/>
              <w:right w:val="nil"/>
            </w:tcBorders>
            <w:shd w:val="clear" w:color="auto" w:fill="FFFFFF" w:themeFill="background1"/>
            <w:vAlign w:val="center"/>
          </w:tcPr>
          <w:p w14:paraId="2BA7CE37" w14:textId="77777777" w:rsidR="00FA35C3" w:rsidRPr="003A5247" w:rsidRDefault="00FA35C3" w:rsidP="003A5247">
            <w:pPr>
              <w:jc w:val="center"/>
              <w:rPr>
                <w:rFonts w:cs="Arial"/>
                <w:b/>
                <w:bCs/>
                <w:sz w:val="20"/>
                <w:szCs w:val="20"/>
              </w:rPr>
            </w:pPr>
            <w:r w:rsidRPr="003A5247">
              <w:rPr>
                <w:rFonts w:cs="Arial"/>
                <w:b/>
                <w:bCs/>
                <w:sz w:val="20"/>
                <w:szCs w:val="20"/>
              </w:rPr>
              <w:t>$82.71</w:t>
            </w:r>
            <w:r w:rsidRPr="003A5247">
              <w:rPr>
                <w:rFonts w:cs="Arial"/>
                <w:sz w:val="20"/>
                <w:szCs w:val="20"/>
              </w:rPr>
              <w:br/>
            </w:r>
            <w:r w:rsidRPr="003A5247">
              <w:rPr>
                <w:rFonts w:cs="Arial"/>
                <w:i/>
                <w:iCs/>
                <w:sz w:val="20"/>
                <w:szCs w:val="20"/>
              </w:rPr>
              <w:t>(up 93%)</w:t>
            </w:r>
          </w:p>
        </w:tc>
        <w:tc>
          <w:tcPr>
            <w:tcW w:w="1198" w:type="dxa"/>
            <w:tcBorders>
              <w:top w:val="single" w:sz="4" w:space="0" w:color="auto"/>
              <w:left w:val="nil"/>
              <w:bottom w:val="single" w:sz="4" w:space="0" w:color="auto"/>
              <w:right w:val="nil"/>
            </w:tcBorders>
            <w:shd w:val="clear" w:color="auto" w:fill="FFFFFF" w:themeFill="background1"/>
            <w:vAlign w:val="center"/>
          </w:tcPr>
          <w:p w14:paraId="5F9EF11D" w14:textId="77777777" w:rsidR="00FA35C3" w:rsidRPr="003A5247" w:rsidRDefault="00FA35C3" w:rsidP="003A5247">
            <w:pPr>
              <w:jc w:val="center"/>
              <w:rPr>
                <w:rFonts w:cs="Arial"/>
                <w:b/>
                <w:bCs/>
                <w:sz w:val="20"/>
                <w:szCs w:val="20"/>
              </w:rPr>
            </w:pPr>
            <w:r w:rsidRPr="003A5247">
              <w:rPr>
                <w:rFonts w:cs="Arial"/>
                <w:b/>
                <w:bCs/>
                <w:sz w:val="20"/>
                <w:szCs w:val="20"/>
              </w:rPr>
              <w:t>$84.86</w:t>
            </w:r>
            <w:r w:rsidRPr="003A5247">
              <w:rPr>
                <w:rFonts w:cs="Arial"/>
                <w:sz w:val="20"/>
                <w:szCs w:val="20"/>
              </w:rPr>
              <w:br/>
            </w:r>
            <w:r w:rsidRPr="003A5247">
              <w:rPr>
                <w:rFonts w:cs="Arial"/>
                <w:i/>
                <w:iCs/>
                <w:sz w:val="20"/>
                <w:szCs w:val="20"/>
              </w:rPr>
              <w:t>(up 98%)</w:t>
            </w:r>
          </w:p>
        </w:tc>
        <w:tc>
          <w:tcPr>
            <w:tcW w:w="1199" w:type="dxa"/>
            <w:tcBorders>
              <w:top w:val="single" w:sz="4" w:space="0" w:color="auto"/>
              <w:left w:val="nil"/>
              <w:bottom w:val="single" w:sz="4" w:space="0" w:color="auto"/>
              <w:right w:val="nil"/>
            </w:tcBorders>
            <w:shd w:val="clear" w:color="auto" w:fill="FFFFFF" w:themeFill="background1"/>
            <w:vAlign w:val="center"/>
          </w:tcPr>
          <w:p w14:paraId="6F94DD45" w14:textId="77777777" w:rsidR="00FA35C3" w:rsidRPr="003A5247" w:rsidRDefault="00FA35C3" w:rsidP="003A5247">
            <w:pPr>
              <w:jc w:val="center"/>
              <w:rPr>
                <w:rFonts w:cs="Arial"/>
                <w:i/>
                <w:iCs/>
                <w:sz w:val="20"/>
                <w:szCs w:val="20"/>
              </w:rPr>
            </w:pPr>
            <w:r w:rsidRPr="003A5247">
              <w:rPr>
                <w:rFonts w:cs="Arial"/>
                <w:b/>
                <w:bCs/>
                <w:sz w:val="20"/>
                <w:szCs w:val="20"/>
              </w:rPr>
              <w:t>$86.91</w:t>
            </w:r>
            <w:r w:rsidRPr="003A5247">
              <w:rPr>
                <w:rFonts w:cs="Arial"/>
                <w:sz w:val="20"/>
                <w:szCs w:val="20"/>
              </w:rPr>
              <w:br/>
            </w:r>
            <w:r w:rsidRPr="003A5247">
              <w:rPr>
                <w:rFonts w:cs="Arial"/>
                <w:i/>
                <w:iCs/>
                <w:sz w:val="20"/>
                <w:szCs w:val="20"/>
              </w:rPr>
              <w:t>(up 103%)</w:t>
            </w:r>
          </w:p>
        </w:tc>
      </w:tr>
      <w:tr w:rsidR="007D4EB2" w:rsidRPr="00FA35C3" w14:paraId="10360861" w14:textId="77777777" w:rsidTr="003A5247">
        <w:trPr>
          <w:trHeight w:val="536"/>
          <w:jc w:val="center"/>
        </w:trPr>
        <w:tc>
          <w:tcPr>
            <w:tcW w:w="2689" w:type="dxa"/>
            <w:tcBorders>
              <w:top w:val="single" w:sz="4" w:space="0" w:color="auto"/>
              <w:left w:val="nil"/>
              <w:bottom w:val="single" w:sz="4" w:space="0" w:color="auto"/>
              <w:right w:val="nil"/>
            </w:tcBorders>
            <w:shd w:val="clear" w:color="auto" w:fill="FFFFFF" w:themeFill="background1"/>
            <w:vAlign w:val="center"/>
          </w:tcPr>
          <w:p w14:paraId="4B47B9B3" w14:textId="77777777" w:rsidR="00FA35C3" w:rsidRPr="003A5247" w:rsidRDefault="00FA35C3" w:rsidP="00FA35C3">
            <w:pPr>
              <w:rPr>
                <w:rFonts w:cs="Arial"/>
                <w:sz w:val="20"/>
                <w:szCs w:val="20"/>
              </w:rPr>
            </w:pPr>
            <w:r w:rsidRPr="003A5247">
              <w:rPr>
                <w:rFonts w:cs="Arial"/>
                <w:b/>
                <w:bCs/>
                <w:sz w:val="20"/>
                <w:szCs w:val="20"/>
              </w:rPr>
              <w:t>Long consultation</w:t>
            </w:r>
            <w:r w:rsidRPr="003A5247">
              <w:rPr>
                <w:rFonts w:cs="Arial"/>
                <w:sz w:val="20"/>
                <w:szCs w:val="20"/>
              </w:rPr>
              <w:br/>
            </w:r>
            <w:r w:rsidRPr="003A5247">
              <w:rPr>
                <w:rFonts w:cs="Arial"/>
                <w:i/>
                <w:iCs/>
                <w:sz w:val="20"/>
                <w:szCs w:val="20"/>
              </w:rPr>
              <w:t>20 to &lt;40 minutes (Level C)</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9ABD941" w14:textId="77777777" w:rsidR="00FA35C3" w:rsidRPr="003A5247" w:rsidRDefault="00FA35C3" w:rsidP="003A5247">
            <w:pPr>
              <w:jc w:val="center"/>
              <w:rPr>
                <w:rFonts w:cs="Arial"/>
                <w:b/>
                <w:bCs/>
                <w:sz w:val="20"/>
                <w:szCs w:val="20"/>
              </w:rPr>
            </w:pPr>
            <w:r w:rsidRPr="003A5247">
              <w:rPr>
                <w:rFonts w:cs="Arial"/>
                <w:b/>
                <w:bCs/>
                <w:sz w:val="20"/>
                <w:szCs w:val="20"/>
              </w:rPr>
              <w:t>$82.90</w:t>
            </w:r>
          </w:p>
        </w:tc>
        <w:tc>
          <w:tcPr>
            <w:tcW w:w="1198" w:type="dxa"/>
            <w:tcBorders>
              <w:top w:val="single" w:sz="4" w:space="0" w:color="auto"/>
              <w:left w:val="nil"/>
              <w:bottom w:val="single" w:sz="4" w:space="0" w:color="auto"/>
              <w:right w:val="nil"/>
            </w:tcBorders>
            <w:shd w:val="clear" w:color="auto" w:fill="FFFFFF" w:themeFill="background1"/>
            <w:vAlign w:val="center"/>
          </w:tcPr>
          <w:p w14:paraId="70BA4231" w14:textId="77777777" w:rsidR="00FA35C3" w:rsidRPr="003A5247" w:rsidRDefault="00FA35C3" w:rsidP="003A5247">
            <w:pPr>
              <w:jc w:val="center"/>
              <w:rPr>
                <w:rFonts w:cs="Arial"/>
                <w:sz w:val="20"/>
                <w:szCs w:val="20"/>
              </w:rPr>
            </w:pPr>
            <w:r w:rsidRPr="003A5247">
              <w:rPr>
                <w:rFonts w:cs="Arial"/>
                <w:b/>
                <w:bCs/>
                <w:sz w:val="20"/>
                <w:szCs w:val="20"/>
              </w:rPr>
              <w:t>$114.61</w:t>
            </w:r>
            <w:r w:rsidRPr="003A5247">
              <w:rPr>
                <w:rFonts w:cs="Arial"/>
                <w:b/>
                <w:bCs/>
                <w:sz w:val="20"/>
                <w:szCs w:val="20"/>
              </w:rPr>
              <w:br/>
            </w:r>
            <w:r w:rsidRPr="003A5247">
              <w:rPr>
                <w:rFonts w:cs="Arial"/>
                <w:i/>
                <w:iCs/>
                <w:sz w:val="20"/>
                <w:szCs w:val="20"/>
              </w:rPr>
              <w:t>(up 38%)</w:t>
            </w:r>
          </w:p>
        </w:tc>
        <w:tc>
          <w:tcPr>
            <w:tcW w:w="1198" w:type="dxa"/>
            <w:tcBorders>
              <w:top w:val="single" w:sz="4" w:space="0" w:color="auto"/>
              <w:left w:val="nil"/>
              <w:bottom w:val="single" w:sz="4" w:space="0" w:color="auto"/>
              <w:right w:val="nil"/>
            </w:tcBorders>
            <w:shd w:val="clear" w:color="auto" w:fill="FFFFFF" w:themeFill="background1"/>
            <w:vAlign w:val="center"/>
          </w:tcPr>
          <w:p w14:paraId="348A38C1" w14:textId="77777777" w:rsidR="00FA35C3" w:rsidRPr="003A5247" w:rsidRDefault="00FA35C3" w:rsidP="003A5247">
            <w:pPr>
              <w:jc w:val="center"/>
              <w:rPr>
                <w:rFonts w:cs="Arial"/>
                <w:sz w:val="20"/>
                <w:szCs w:val="20"/>
              </w:rPr>
            </w:pPr>
            <w:r w:rsidRPr="003A5247">
              <w:rPr>
                <w:rFonts w:cs="Arial"/>
                <w:b/>
                <w:bCs/>
                <w:sz w:val="20"/>
                <w:szCs w:val="20"/>
              </w:rPr>
              <w:t>$125.76</w:t>
            </w:r>
            <w:r w:rsidRPr="003A5247">
              <w:rPr>
                <w:rFonts w:cs="Arial"/>
                <w:sz w:val="20"/>
                <w:szCs w:val="20"/>
              </w:rPr>
              <w:br/>
            </w:r>
            <w:r w:rsidRPr="003A5247">
              <w:rPr>
                <w:rFonts w:cs="Arial"/>
                <w:i/>
                <w:iCs/>
                <w:sz w:val="20"/>
                <w:szCs w:val="20"/>
              </w:rPr>
              <w:t>(up 52%)</w:t>
            </w:r>
          </w:p>
        </w:tc>
        <w:tc>
          <w:tcPr>
            <w:tcW w:w="1199" w:type="dxa"/>
            <w:tcBorders>
              <w:top w:val="single" w:sz="4" w:space="0" w:color="auto"/>
              <w:left w:val="nil"/>
              <w:bottom w:val="single" w:sz="4" w:space="0" w:color="auto"/>
              <w:right w:val="nil"/>
            </w:tcBorders>
            <w:shd w:val="clear" w:color="auto" w:fill="FFFFFF" w:themeFill="background1"/>
            <w:vAlign w:val="center"/>
          </w:tcPr>
          <w:p w14:paraId="35B00DC5" w14:textId="77777777" w:rsidR="00FA35C3" w:rsidRPr="003A5247" w:rsidRDefault="00FA35C3" w:rsidP="003A5247">
            <w:pPr>
              <w:jc w:val="center"/>
              <w:rPr>
                <w:rFonts w:cs="Arial"/>
                <w:b/>
                <w:bCs/>
                <w:sz w:val="20"/>
                <w:szCs w:val="20"/>
              </w:rPr>
            </w:pPr>
            <w:r w:rsidRPr="003A5247">
              <w:rPr>
                <w:rFonts w:cs="Arial"/>
                <w:b/>
                <w:bCs/>
                <w:sz w:val="20"/>
                <w:szCs w:val="20"/>
              </w:rPr>
              <w:t>$127.76</w:t>
            </w:r>
            <w:r w:rsidRPr="003A5247">
              <w:rPr>
                <w:rFonts w:cs="Arial"/>
                <w:sz w:val="20"/>
                <w:szCs w:val="20"/>
              </w:rPr>
              <w:br/>
            </w:r>
            <w:r w:rsidRPr="003A5247">
              <w:rPr>
                <w:rFonts w:cs="Arial"/>
                <w:i/>
                <w:iCs/>
                <w:sz w:val="20"/>
                <w:szCs w:val="20"/>
              </w:rPr>
              <w:t>(up 54%)</w:t>
            </w:r>
          </w:p>
        </w:tc>
        <w:tc>
          <w:tcPr>
            <w:tcW w:w="1198" w:type="dxa"/>
            <w:tcBorders>
              <w:top w:val="single" w:sz="4" w:space="0" w:color="auto"/>
              <w:left w:val="nil"/>
              <w:bottom w:val="single" w:sz="4" w:space="0" w:color="auto"/>
              <w:right w:val="nil"/>
            </w:tcBorders>
            <w:shd w:val="clear" w:color="auto" w:fill="FFFFFF" w:themeFill="background1"/>
            <w:vAlign w:val="center"/>
          </w:tcPr>
          <w:p w14:paraId="3E0D073F" w14:textId="77777777" w:rsidR="00FA35C3" w:rsidRPr="003A5247" w:rsidRDefault="00FA35C3" w:rsidP="003A5247">
            <w:pPr>
              <w:jc w:val="center"/>
              <w:rPr>
                <w:rFonts w:cs="Arial"/>
                <w:b/>
                <w:bCs/>
                <w:sz w:val="20"/>
                <w:szCs w:val="20"/>
              </w:rPr>
            </w:pPr>
            <w:r w:rsidRPr="003A5247">
              <w:rPr>
                <w:rFonts w:cs="Arial"/>
                <w:b/>
                <w:bCs/>
                <w:sz w:val="20"/>
                <w:szCs w:val="20"/>
              </w:rPr>
              <w:t>$129.91</w:t>
            </w:r>
            <w:r w:rsidRPr="003A5247">
              <w:rPr>
                <w:rFonts w:cs="Arial"/>
                <w:sz w:val="20"/>
                <w:szCs w:val="20"/>
              </w:rPr>
              <w:br/>
            </w:r>
            <w:r w:rsidRPr="003A5247">
              <w:rPr>
                <w:rFonts w:cs="Arial"/>
                <w:i/>
                <w:iCs/>
                <w:sz w:val="20"/>
                <w:szCs w:val="20"/>
              </w:rPr>
              <w:t>(up 57%)</w:t>
            </w:r>
          </w:p>
        </w:tc>
        <w:tc>
          <w:tcPr>
            <w:tcW w:w="1199" w:type="dxa"/>
            <w:tcBorders>
              <w:top w:val="single" w:sz="4" w:space="0" w:color="auto"/>
              <w:left w:val="nil"/>
              <w:bottom w:val="single" w:sz="4" w:space="0" w:color="auto"/>
              <w:right w:val="nil"/>
            </w:tcBorders>
            <w:shd w:val="clear" w:color="auto" w:fill="FFFFFF" w:themeFill="background1"/>
            <w:vAlign w:val="center"/>
          </w:tcPr>
          <w:p w14:paraId="14DBDD12" w14:textId="77777777" w:rsidR="00FA35C3" w:rsidRPr="003A5247" w:rsidRDefault="00FA35C3" w:rsidP="003A5247">
            <w:pPr>
              <w:jc w:val="center"/>
              <w:rPr>
                <w:rFonts w:cs="Arial"/>
                <w:i/>
                <w:iCs/>
                <w:sz w:val="20"/>
                <w:szCs w:val="20"/>
              </w:rPr>
            </w:pPr>
            <w:r w:rsidRPr="003A5247">
              <w:rPr>
                <w:rFonts w:cs="Arial"/>
                <w:b/>
                <w:bCs/>
                <w:sz w:val="20"/>
                <w:szCs w:val="20"/>
              </w:rPr>
              <w:t>$131.96</w:t>
            </w:r>
            <w:r w:rsidRPr="003A5247">
              <w:rPr>
                <w:rFonts w:cs="Arial"/>
                <w:sz w:val="20"/>
                <w:szCs w:val="20"/>
              </w:rPr>
              <w:br/>
            </w:r>
            <w:r w:rsidRPr="003A5247">
              <w:rPr>
                <w:rFonts w:cs="Arial"/>
                <w:i/>
                <w:iCs/>
                <w:sz w:val="20"/>
                <w:szCs w:val="20"/>
              </w:rPr>
              <w:t>(up 59%)</w:t>
            </w:r>
          </w:p>
        </w:tc>
      </w:tr>
      <w:tr w:rsidR="00424579" w:rsidRPr="00FA35C3" w14:paraId="200AEB06" w14:textId="77777777" w:rsidTr="003A5247">
        <w:trPr>
          <w:trHeight w:val="433"/>
          <w:jc w:val="center"/>
        </w:trPr>
        <w:tc>
          <w:tcPr>
            <w:tcW w:w="2689" w:type="dxa"/>
            <w:tcBorders>
              <w:top w:val="single" w:sz="4" w:space="0" w:color="auto"/>
              <w:left w:val="nil"/>
              <w:bottom w:val="single" w:sz="4" w:space="0" w:color="auto"/>
              <w:right w:val="nil"/>
            </w:tcBorders>
            <w:shd w:val="clear" w:color="auto" w:fill="FFFFFF" w:themeFill="background1"/>
            <w:vAlign w:val="center"/>
          </w:tcPr>
          <w:p w14:paraId="51F43732" w14:textId="77777777" w:rsidR="00FA35C3" w:rsidRPr="003A5247" w:rsidRDefault="00FA35C3" w:rsidP="00FA35C3">
            <w:pPr>
              <w:rPr>
                <w:rFonts w:cs="Arial"/>
                <w:sz w:val="20"/>
                <w:szCs w:val="20"/>
              </w:rPr>
            </w:pPr>
            <w:r w:rsidRPr="003A5247">
              <w:rPr>
                <w:rFonts w:cs="Arial"/>
                <w:b/>
                <w:bCs/>
                <w:sz w:val="20"/>
                <w:szCs w:val="20"/>
              </w:rPr>
              <w:t>Longer consultation</w:t>
            </w:r>
            <w:r w:rsidRPr="003A5247">
              <w:rPr>
                <w:rFonts w:cs="Arial"/>
                <w:sz w:val="20"/>
                <w:szCs w:val="20"/>
              </w:rPr>
              <w:br/>
            </w:r>
            <w:r w:rsidRPr="003A5247">
              <w:rPr>
                <w:rFonts w:cs="Arial"/>
                <w:i/>
                <w:iCs/>
                <w:sz w:val="20"/>
                <w:szCs w:val="20"/>
              </w:rPr>
              <w:t>40 to &lt;60 minutes (Level D)</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0F66C1B" w14:textId="77777777" w:rsidR="00FA35C3" w:rsidRPr="003A5247" w:rsidRDefault="00FA35C3" w:rsidP="003A5247">
            <w:pPr>
              <w:jc w:val="center"/>
              <w:rPr>
                <w:rFonts w:cs="Arial"/>
                <w:b/>
                <w:bCs/>
                <w:sz w:val="20"/>
                <w:szCs w:val="20"/>
              </w:rPr>
            </w:pPr>
            <w:r w:rsidRPr="003A5247">
              <w:rPr>
                <w:rFonts w:cs="Arial"/>
                <w:b/>
                <w:bCs/>
                <w:sz w:val="20"/>
                <w:szCs w:val="20"/>
              </w:rPr>
              <w:t>$122.15</w:t>
            </w:r>
          </w:p>
        </w:tc>
        <w:tc>
          <w:tcPr>
            <w:tcW w:w="1198" w:type="dxa"/>
            <w:tcBorders>
              <w:top w:val="single" w:sz="4" w:space="0" w:color="auto"/>
              <w:left w:val="nil"/>
              <w:bottom w:val="single" w:sz="4" w:space="0" w:color="auto"/>
              <w:right w:val="nil"/>
            </w:tcBorders>
            <w:shd w:val="clear" w:color="auto" w:fill="FFFFFF" w:themeFill="background1"/>
            <w:vAlign w:val="center"/>
          </w:tcPr>
          <w:p w14:paraId="289E13B6" w14:textId="77777777" w:rsidR="00FA35C3" w:rsidRPr="003A5247" w:rsidRDefault="00FA35C3" w:rsidP="003A5247">
            <w:pPr>
              <w:jc w:val="center"/>
              <w:rPr>
                <w:rFonts w:cs="Arial"/>
                <w:sz w:val="20"/>
                <w:szCs w:val="20"/>
              </w:rPr>
            </w:pPr>
            <w:r w:rsidRPr="003A5247">
              <w:rPr>
                <w:rFonts w:cs="Arial"/>
                <w:b/>
                <w:bCs/>
                <w:sz w:val="20"/>
                <w:szCs w:val="20"/>
              </w:rPr>
              <w:t>$158.77</w:t>
            </w:r>
            <w:r w:rsidRPr="003A5247">
              <w:rPr>
                <w:rFonts w:cs="Arial"/>
                <w:b/>
                <w:bCs/>
                <w:sz w:val="20"/>
                <w:szCs w:val="20"/>
              </w:rPr>
              <w:br/>
            </w:r>
            <w:r w:rsidRPr="003A5247">
              <w:rPr>
                <w:rFonts w:cs="Arial"/>
                <w:i/>
                <w:iCs/>
                <w:sz w:val="20"/>
                <w:szCs w:val="20"/>
              </w:rPr>
              <w:t>(up 30%)</w:t>
            </w:r>
          </w:p>
        </w:tc>
        <w:tc>
          <w:tcPr>
            <w:tcW w:w="1198" w:type="dxa"/>
            <w:tcBorders>
              <w:top w:val="single" w:sz="4" w:space="0" w:color="auto"/>
              <w:left w:val="nil"/>
              <w:bottom w:val="single" w:sz="4" w:space="0" w:color="auto"/>
              <w:right w:val="nil"/>
            </w:tcBorders>
            <w:shd w:val="clear" w:color="auto" w:fill="FFFFFF" w:themeFill="background1"/>
            <w:vAlign w:val="center"/>
          </w:tcPr>
          <w:p w14:paraId="53670708" w14:textId="77777777" w:rsidR="00FA35C3" w:rsidRPr="003A5247" w:rsidRDefault="00FA35C3" w:rsidP="003A5247">
            <w:pPr>
              <w:jc w:val="center"/>
              <w:rPr>
                <w:rFonts w:cs="Arial"/>
                <w:sz w:val="20"/>
                <w:szCs w:val="20"/>
              </w:rPr>
            </w:pPr>
            <w:r w:rsidRPr="003A5247">
              <w:rPr>
                <w:rFonts w:cs="Arial"/>
                <w:b/>
                <w:bCs/>
                <w:sz w:val="20"/>
                <w:szCs w:val="20"/>
              </w:rPr>
              <w:t>$169.92</w:t>
            </w:r>
            <w:r w:rsidRPr="003A5247">
              <w:rPr>
                <w:rFonts w:cs="Arial"/>
                <w:sz w:val="20"/>
                <w:szCs w:val="20"/>
              </w:rPr>
              <w:br/>
            </w:r>
            <w:r w:rsidRPr="003A5247">
              <w:rPr>
                <w:rFonts w:cs="Arial"/>
                <w:i/>
                <w:iCs/>
                <w:sz w:val="20"/>
                <w:szCs w:val="20"/>
              </w:rPr>
              <w:t>(up 39%)</w:t>
            </w:r>
          </w:p>
        </w:tc>
        <w:tc>
          <w:tcPr>
            <w:tcW w:w="1199" w:type="dxa"/>
            <w:tcBorders>
              <w:top w:val="single" w:sz="4" w:space="0" w:color="auto"/>
              <w:left w:val="nil"/>
              <w:bottom w:val="single" w:sz="4" w:space="0" w:color="auto"/>
              <w:right w:val="nil"/>
            </w:tcBorders>
            <w:shd w:val="clear" w:color="auto" w:fill="FFFFFF" w:themeFill="background1"/>
            <w:vAlign w:val="center"/>
          </w:tcPr>
          <w:p w14:paraId="3285968C" w14:textId="77777777" w:rsidR="00FA35C3" w:rsidRPr="003A5247" w:rsidRDefault="00FA35C3" w:rsidP="003A5247">
            <w:pPr>
              <w:jc w:val="center"/>
              <w:rPr>
                <w:rFonts w:cs="Arial"/>
                <w:b/>
                <w:bCs/>
                <w:sz w:val="20"/>
                <w:szCs w:val="20"/>
              </w:rPr>
            </w:pPr>
            <w:r w:rsidRPr="003A5247">
              <w:rPr>
                <w:rFonts w:cs="Arial"/>
                <w:b/>
                <w:bCs/>
                <w:sz w:val="20"/>
                <w:szCs w:val="20"/>
              </w:rPr>
              <w:t>$171.92</w:t>
            </w:r>
            <w:r w:rsidRPr="003A5247">
              <w:rPr>
                <w:rFonts w:cs="Arial"/>
                <w:sz w:val="20"/>
                <w:szCs w:val="20"/>
              </w:rPr>
              <w:br/>
            </w:r>
            <w:r w:rsidRPr="003A5247">
              <w:rPr>
                <w:rFonts w:cs="Arial"/>
                <w:i/>
                <w:iCs/>
                <w:sz w:val="20"/>
                <w:szCs w:val="20"/>
              </w:rPr>
              <w:t>(up 41%)</w:t>
            </w:r>
          </w:p>
        </w:tc>
        <w:tc>
          <w:tcPr>
            <w:tcW w:w="1198" w:type="dxa"/>
            <w:tcBorders>
              <w:top w:val="single" w:sz="4" w:space="0" w:color="auto"/>
              <w:left w:val="nil"/>
              <w:bottom w:val="single" w:sz="4" w:space="0" w:color="auto"/>
              <w:right w:val="nil"/>
            </w:tcBorders>
            <w:shd w:val="clear" w:color="auto" w:fill="FFFFFF" w:themeFill="background1"/>
            <w:vAlign w:val="center"/>
          </w:tcPr>
          <w:p w14:paraId="49ED4E21" w14:textId="77777777" w:rsidR="00FA35C3" w:rsidRPr="003A5247" w:rsidRDefault="00FA35C3" w:rsidP="003A5247">
            <w:pPr>
              <w:jc w:val="center"/>
              <w:rPr>
                <w:rFonts w:cs="Arial"/>
                <w:b/>
                <w:bCs/>
                <w:sz w:val="20"/>
                <w:szCs w:val="20"/>
              </w:rPr>
            </w:pPr>
            <w:r w:rsidRPr="003A5247">
              <w:rPr>
                <w:rFonts w:cs="Arial"/>
                <w:b/>
                <w:bCs/>
                <w:sz w:val="20"/>
                <w:szCs w:val="20"/>
              </w:rPr>
              <w:t>$174.07</w:t>
            </w:r>
            <w:r w:rsidRPr="003A5247">
              <w:rPr>
                <w:rFonts w:cs="Arial"/>
                <w:sz w:val="20"/>
                <w:szCs w:val="20"/>
              </w:rPr>
              <w:br/>
            </w:r>
            <w:r w:rsidRPr="003A5247">
              <w:rPr>
                <w:rFonts w:cs="Arial"/>
                <w:i/>
                <w:iCs/>
                <w:sz w:val="20"/>
                <w:szCs w:val="20"/>
              </w:rPr>
              <w:t>(up 43%)</w:t>
            </w:r>
          </w:p>
        </w:tc>
        <w:tc>
          <w:tcPr>
            <w:tcW w:w="1199" w:type="dxa"/>
            <w:tcBorders>
              <w:top w:val="single" w:sz="4" w:space="0" w:color="auto"/>
              <w:left w:val="nil"/>
              <w:bottom w:val="single" w:sz="4" w:space="0" w:color="auto"/>
              <w:right w:val="nil"/>
            </w:tcBorders>
            <w:shd w:val="clear" w:color="auto" w:fill="FFFFFF" w:themeFill="background1"/>
            <w:vAlign w:val="center"/>
          </w:tcPr>
          <w:p w14:paraId="2FDB1697" w14:textId="77777777" w:rsidR="00FA35C3" w:rsidRPr="003A5247" w:rsidRDefault="00FA35C3" w:rsidP="003A5247">
            <w:pPr>
              <w:jc w:val="center"/>
              <w:rPr>
                <w:rFonts w:cs="Arial"/>
                <w:i/>
                <w:iCs/>
                <w:sz w:val="20"/>
                <w:szCs w:val="20"/>
              </w:rPr>
            </w:pPr>
            <w:r w:rsidRPr="003A5247">
              <w:rPr>
                <w:rFonts w:cs="Arial"/>
                <w:b/>
                <w:bCs/>
                <w:sz w:val="20"/>
                <w:szCs w:val="20"/>
              </w:rPr>
              <w:t>$176.12</w:t>
            </w:r>
            <w:r w:rsidRPr="003A5247">
              <w:rPr>
                <w:rFonts w:cs="Arial"/>
                <w:sz w:val="20"/>
                <w:szCs w:val="20"/>
              </w:rPr>
              <w:br/>
            </w:r>
            <w:r w:rsidRPr="003A5247">
              <w:rPr>
                <w:rFonts w:cs="Arial"/>
                <w:i/>
                <w:iCs/>
                <w:sz w:val="20"/>
                <w:szCs w:val="20"/>
              </w:rPr>
              <w:t>(up 44%)</w:t>
            </w:r>
          </w:p>
        </w:tc>
      </w:tr>
      <w:tr w:rsidR="00424579" w:rsidRPr="00FA35C3" w14:paraId="5AE78654" w14:textId="77777777" w:rsidTr="003A5247">
        <w:trPr>
          <w:trHeight w:val="187"/>
          <w:jc w:val="center"/>
        </w:trPr>
        <w:tc>
          <w:tcPr>
            <w:tcW w:w="9815" w:type="dxa"/>
            <w:gridSpan w:val="7"/>
            <w:tcBorders>
              <w:top w:val="single" w:sz="4" w:space="0" w:color="auto"/>
              <w:left w:val="nil"/>
              <w:bottom w:val="single" w:sz="4" w:space="0" w:color="auto"/>
              <w:right w:val="nil"/>
            </w:tcBorders>
            <w:shd w:val="clear" w:color="auto" w:fill="3F4A75"/>
            <w:vAlign w:val="center"/>
          </w:tcPr>
          <w:p w14:paraId="74C594B9" w14:textId="77777777" w:rsidR="00FA35C3" w:rsidRPr="003A5247" w:rsidRDefault="00FA35C3" w:rsidP="003A5247">
            <w:pPr>
              <w:spacing w:before="0" w:after="0" w:line="240" w:lineRule="auto"/>
              <w:jc w:val="center"/>
              <w:rPr>
                <w:rFonts w:cs="Arial"/>
                <w:b/>
                <w:bCs/>
                <w:sz w:val="12"/>
                <w:szCs w:val="12"/>
                <w:lang w:val="en-US"/>
              </w:rPr>
            </w:pPr>
          </w:p>
        </w:tc>
      </w:tr>
      <w:tr w:rsidR="00424579" w:rsidRPr="00FA35C3" w14:paraId="4F92188E" w14:textId="77777777" w:rsidTr="003A5247">
        <w:trPr>
          <w:trHeight w:val="536"/>
          <w:jc w:val="center"/>
        </w:trPr>
        <w:tc>
          <w:tcPr>
            <w:tcW w:w="2689" w:type="dxa"/>
            <w:tcBorders>
              <w:left w:val="nil"/>
              <w:bottom w:val="single" w:sz="4" w:space="0" w:color="auto"/>
              <w:right w:val="nil"/>
            </w:tcBorders>
            <w:shd w:val="clear" w:color="auto" w:fill="FFFFFF" w:themeFill="background1"/>
            <w:vAlign w:val="center"/>
          </w:tcPr>
          <w:p w14:paraId="7F191E80" w14:textId="7313DE29" w:rsidR="00FA35C3" w:rsidRPr="003A5247" w:rsidRDefault="00FA35C3" w:rsidP="00FA35C3">
            <w:pPr>
              <w:rPr>
                <w:rFonts w:cs="Arial"/>
                <w:sz w:val="20"/>
                <w:szCs w:val="20"/>
              </w:rPr>
            </w:pPr>
            <w:r w:rsidRPr="003A5247">
              <w:rPr>
                <w:rFonts w:cs="Arial"/>
                <w:b/>
                <w:bCs/>
                <w:sz w:val="20"/>
                <w:szCs w:val="20"/>
              </w:rPr>
              <w:t>Mental Health Plan</w:t>
            </w:r>
            <w:r w:rsidRPr="003A5247">
              <w:rPr>
                <w:rFonts w:cs="Arial"/>
                <w:b/>
                <w:bCs/>
                <w:sz w:val="20"/>
                <w:szCs w:val="20"/>
              </w:rPr>
              <w:br/>
            </w:r>
            <w:r w:rsidRPr="003A5247">
              <w:rPr>
                <w:rFonts w:cs="Arial"/>
                <w:i/>
                <w:iCs/>
                <w:sz w:val="20"/>
                <w:szCs w:val="20"/>
              </w:rPr>
              <w:t>20 to &lt;40 minutes</w:t>
            </w:r>
            <w:r w:rsidR="00EF4688">
              <w:rPr>
                <w:rFonts w:cs="Arial"/>
                <w:i/>
                <w:iCs/>
                <w:sz w:val="20"/>
                <w:szCs w:val="20"/>
              </w:rPr>
              <w:t xml:space="preserve"> (</w:t>
            </w:r>
            <w:r w:rsidR="00EF4688" w:rsidRPr="00EF4688">
              <w:rPr>
                <w:rFonts w:cs="Arial"/>
                <w:i/>
                <w:iCs/>
                <w:sz w:val="20"/>
                <w:szCs w:val="20"/>
              </w:rPr>
              <w:t>#2700</w:t>
            </w:r>
            <w:r w:rsidR="00EF4688">
              <w:rPr>
                <w:rFonts w:cs="Arial"/>
                <w:i/>
                <w:iCs/>
                <w:sz w:val="20"/>
                <w:szCs w:val="20"/>
              </w:rPr>
              <w:t>)</w:t>
            </w:r>
          </w:p>
        </w:tc>
        <w:tc>
          <w:tcPr>
            <w:tcW w:w="1134" w:type="dxa"/>
            <w:tcBorders>
              <w:left w:val="nil"/>
              <w:bottom w:val="single" w:sz="4" w:space="0" w:color="auto"/>
              <w:right w:val="nil"/>
            </w:tcBorders>
            <w:shd w:val="clear" w:color="auto" w:fill="F2F2F2" w:themeFill="background1" w:themeFillShade="F2"/>
            <w:vAlign w:val="center"/>
          </w:tcPr>
          <w:p w14:paraId="01B41A7A" w14:textId="77777777" w:rsidR="00FA35C3" w:rsidRPr="003A5247" w:rsidRDefault="00FA35C3" w:rsidP="003A5247">
            <w:pPr>
              <w:jc w:val="center"/>
              <w:rPr>
                <w:rFonts w:cs="Arial"/>
                <w:b/>
                <w:bCs/>
                <w:sz w:val="20"/>
                <w:szCs w:val="20"/>
              </w:rPr>
            </w:pPr>
            <w:r w:rsidRPr="003A5247">
              <w:rPr>
                <w:rFonts w:cs="Arial"/>
                <w:b/>
                <w:bCs/>
                <w:sz w:val="20"/>
                <w:szCs w:val="20"/>
              </w:rPr>
              <w:t>$81.70</w:t>
            </w:r>
          </w:p>
        </w:tc>
        <w:tc>
          <w:tcPr>
            <w:tcW w:w="1198" w:type="dxa"/>
            <w:tcBorders>
              <w:left w:val="nil"/>
              <w:bottom w:val="single" w:sz="4" w:space="0" w:color="auto"/>
              <w:right w:val="nil"/>
            </w:tcBorders>
            <w:shd w:val="clear" w:color="auto" w:fill="FFFFFF" w:themeFill="background1"/>
            <w:vAlign w:val="center"/>
          </w:tcPr>
          <w:p w14:paraId="7568651A" w14:textId="77777777" w:rsidR="00FA35C3" w:rsidRPr="003A5247" w:rsidRDefault="00FA35C3" w:rsidP="003A5247">
            <w:pPr>
              <w:jc w:val="center"/>
              <w:rPr>
                <w:rFonts w:cs="Arial"/>
                <w:sz w:val="20"/>
                <w:szCs w:val="20"/>
              </w:rPr>
            </w:pPr>
            <w:r w:rsidRPr="003A5247">
              <w:rPr>
                <w:rFonts w:cs="Arial"/>
                <w:b/>
                <w:bCs/>
                <w:sz w:val="20"/>
                <w:szCs w:val="20"/>
              </w:rPr>
              <w:t>$99.06</w:t>
            </w:r>
            <w:r w:rsidRPr="003A5247">
              <w:rPr>
                <w:rFonts w:cs="Arial"/>
                <w:b/>
                <w:bCs/>
                <w:sz w:val="20"/>
                <w:szCs w:val="20"/>
              </w:rPr>
              <w:br/>
            </w:r>
            <w:r w:rsidRPr="003A5247">
              <w:rPr>
                <w:rFonts w:cs="Arial"/>
                <w:i/>
                <w:iCs/>
                <w:sz w:val="20"/>
                <w:szCs w:val="20"/>
              </w:rPr>
              <w:t>(up 21%)</w:t>
            </w:r>
          </w:p>
        </w:tc>
        <w:tc>
          <w:tcPr>
            <w:tcW w:w="1198" w:type="dxa"/>
            <w:tcBorders>
              <w:left w:val="nil"/>
              <w:bottom w:val="single" w:sz="4" w:space="0" w:color="auto"/>
              <w:right w:val="nil"/>
            </w:tcBorders>
            <w:shd w:val="clear" w:color="auto" w:fill="FFFFFF" w:themeFill="background1"/>
            <w:vAlign w:val="center"/>
          </w:tcPr>
          <w:p w14:paraId="40FB8BC9" w14:textId="77777777" w:rsidR="00FA35C3" w:rsidRPr="003A5247" w:rsidRDefault="00FA35C3" w:rsidP="003A5247">
            <w:pPr>
              <w:jc w:val="center"/>
              <w:rPr>
                <w:rFonts w:cs="Arial"/>
                <w:sz w:val="20"/>
                <w:szCs w:val="20"/>
              </w:rPr>
            </w:pPr>
            <w:r w:rsidRPr="003A5247">
              <w:rPr>
                <w:rFonts w:cs="Arial"/>
                <w:b/>
                <w:bCs/>
                <w:sz w:val="20"/>
                <w:szCs w:val="20"/>
              </w:rPr>
              <w:t>$102.71</w:t>
            </w:r>
            <w:r w:rsidRPr="003A5247">
              <w:rPr>
                <w:rFonts w:cs="Arial"/>
                <w:sz w:val="20"/>
                <w:szCs w:val="20"/>
              </w:rPr>
              <w:br/>
            </w:r>
            <w:r w:rsidRPr="003A5247">
              <w:rPr>
                <w:rFonts w:cs="Arial"/>
                <w:i/>
                <w:iCs/>
                <w:sz w:val="20"/>
                <w:szCs w:val="20"/>
              </w:rPr>
              <w:t>(up 26%)</w:t>
            </w:r>
          </w:p>
        </w:tc>
        <w:tc>
          <w:tcPr>
            <w:tcW w:w="1199" w:type="dxa"/>
            <w:tcBorders>
              <w:left w:val="nil"/>
              <w:bottom w:val="single" w:sz="4" w:space="0" w:color="auto"/>
              <w:right w:val="nil"/>
            </w:tcBorders>
            <w:shd w:val="clear" w:color="auto" w:fill="FFFFFF" w:themeFill="background1"/>
            <w:vAlign w:val="center"/>
          </w:tcPr>
          <w:p w14:paraId="0D2E79CF" w14:textId="77777777" w:rsidR="00FA35C3" w:rsidRPr="003A5247" w:rsidRDefault="00FA35C3" w:rsidP="003A5247">
            <w:pPr>
              <w:jc w:val="center"/>
              <w:rPr>
                <w:rFonts w:cs="Arial"/>
                <w:b/>
                <w:bCs/>
                <w:sz w:val="20"/>
                <w:szCs w:val="20"/>
              </w:rPr>
            </w:pPr>
            <w:r w:rsidRPr="003A5247">
              <w:rPr>
                <w:rFonts w:cs="Arial"/>
                <w:b/>
                <w:bCs/>
                <w:sz w:val="20"/>
                <w:szCs w:val="20"/>
              </w:rPr>
              <w:t>$103.36</w:t>
            </w:r>
            <w:r w:rsidRPr="003A5247">
              <w:rPr>
                <w:rFonts w:cs="Arial"/>
                <w:sz w:val="20"/>
                <w:szCs w:val="20"/>
              </w:rPr>
              <w:br/>
            </w:r>
            <w:r w:rsidRPr="003A5247">
              <w:rPr>
                <w:rFonts w:cs="Arial"/>
                <w:i/>
                <w:iCs/>
                <w:sz w:val="20"/>
                <w:szCs w:val="20"/>
              </w:rPr>
              <w:t>(up 27%)</w:t>
            </w:r>
          </w:p>
        </w:tc>
        <w:tc>
          <w:tcPr>
            <w:tcW w:w="1198" w:type="dxa"/>
            <w:tcBorders>
              <w:left w:val="nil"/>
              <w:bottom w:val="single" w:sz="4" w:space="0" w:color="auto"/>
              <w:right w:val="nil"/>
            </w:tcBorders>
            <w:shd w:val="clear" w:color="auto" w:fill="FFFFFF" w:themeFill="background1"/>
            <w:vAlign w:val="center"/>
          </w:tcPr>
          <w:p w14:paraId="4B03C13B" w14:textId="77777777" w:rsidR="00FA35C3" w:rsidRPr="003A5247" w:rsidRDefault="00FA35C3" w:rsidP="003A5247">
            <w:pPr>
              <w:jc w:val="center"/>
              <w:rPr>
                <w:rFonts w:cs="Arial"/>
                <w:b/>
                <w:bCs/>
                <w:sz w:val="20"/>
                <w:szCs w:val="20"/>
              </w:rPr>
            </w:pPr>
            <w:r w:rsidRPr="003A5247">
              <w:rPr>
                <w:rFonts w:cs="Arial"/>
                <w:b/>
                <w:bCs/>
                <w:sz w:val="20"/>
                <w:szCs w:val="20"/>
              </w:rPr>
              <w:t>$104.11</w:t>
            </w:r>
            <w:r w:rsidRPr="003A5247">
              <w:rPr>
                <w:rFonts w:cs="Arial"/>
                <w:sz w:val="20"/>
                <w:szCs w:val="20"/>
              </w:rPr>
              <w:br/>
            </w:r>
            <w:r w:rsidRPr="003A5247">
              <w:rPr>
                <w:rFonts w:cs="Arial"/>
                <w:i/>
                <w:iCs/>
                <w:sz w:val="20"/>
                <w:szCs w:val="20"/>
              </w:rPr>
              <w:t>(up 27%)</w:t>
            </w:r>
          </w:p>
        </w:tc>
        <w:tc>
          <w:tcPr>
            <w:tcW w:w="1199" w:type="dxa"/>
            <w:tcBorders>
              <w:left w:val="nil"/>
              <w:bottom w:val="single" w:sz="4" w:space="0" w:color="auto"/>
              <w:right w:val="nil"/>
            </w:tcBorders>
            <w:shd w:val="clear" w:color="auto" w:fill="FFFFFF" w:themeFill="background1"/>
            <w:vAlign w:val="center"/>
          </w:tcPr>
          <w:p w14:paraId="6A18D5C3" w14:textId="77777777" w:rsidR="00FA35C3" w:rsidRPr="003A5247" w:rsidRDefault="00FA35C3" w:rsidP="003A5247">
            <w:pPr>
              <w:jc w:val="center"/>
              <w:rPr>
                <w:rFonts w:cs="Arial"/>
                <w:i/>
                <w:iCs/>
                <w:sz w:val="20"/>
                <w:szCs w:val="20"/>
              </w:rPr>
            </w:pPr>
            <w:r w:rsidRPr="003A5247">
              <w:rPr>
                <w:rFonts w:cs="Arial"/>
                <w:b/>
                <w:bCs/>
                <w:sz w:val="20"/>
                <w:szCs w:val="20"/>
              </w:rPr>
              <w:t>$104.76</w:t>
            </w:r>
            <w:r w:rsidRPr="003A5247">
              <w:rPr>
                <w:rFonts w:cs="Arial"/>
                <w:sz w:val="20"/>
                <w:szCs w:val="20"/>
              </w:rPr>
              <w:br/>
            </w:r>
            <w:r w:rsidRPr="003A5247">
              <w:rPr>
                <w:rFonts w:cs="Arial"/>
                <w:i/>
                <w:iCs/>
                <w:sz w:val="20"/>
                <w:szCs w:val="20"/>
              </w:rPr>
              <w:t>(up 28%)</w:t>
            </w:r>
          </w:p>
        </w:tc>
      </w:tr>
      <w:tr w:rsidR="00424579" w:rsidRPr="00FA35C3" w14:paraId="683C38D0" w14:textId="77777777" w:rsidTr="003A5247">
        <w:trPr>
          <w:trHeight w:val="536"/>
          <w:jc w:val="center"/>
        </w:trPr>
        <w:tc>
          <w:tcPr>
            <w:tcW w:w="2689" w:type="dxa"/>
            <w:tcBorders>
              <w:top w:val="single" w:sz="4" w:space="0" w:color="auto"/>
              <w:left w:val="nil"/>
              <w:right w:val="nil"/>
            </w:tcBorders>
            <w:shd w:val="clear" w:color="auto" w:fill="FFFFFF" w:themeFill="background1"/>
            <w:vAlign w:val="center"/>
          </w:tcPr>
          <w:p w14:paraId="4B538CE7" w14:textId="71F95A53" w:rsidR="00FA35C3" w:rsidRPr="003A5247" w:rsidRDefault="00FA35C3" w:rsidP="00FA35C3">
            <w:pPr>
              <w:rPr>
                <w:rFonts w:cs="Arial"/>
                <w:sz w:val="20"/>
                <w:szCs w:val="20"/>
              </w:rPr>
            </w:pPr>
            <w:r w:rsidRPr="003A5247">
              <w:rPr>
                <w:rFonts w:cs="Arial"/>
                <w:b/>
                <w:bCs/>
                <w:sz w:val="20"/>
                <w:szCs w:val="20"/>
              </w:rPr>
              <w:t>Mental Health Plan</w:t>
            </w:r>
            <w:r w:rsidRPr="003A5247">
              <w:rPr>
                <w:rFonts w:cs="Arial"/>
                <w:b/>
                <w:bCs/>
                <w:sz w:val="20"/>
                <w:szCs w:val="20"/>
              </w:rPr>
              <w:br/>
            </w:r>
            <w:r w:rsidRPr="003A5247">
              <w:rPr>
                <w:rFonts w:cs="Arial"/>
                <w:i/>
                <w:iCs/>
                <w:sz w:val="20"/>
                <w:szCs w:val="20"/>
              </w:rPr>
              <w:t>40+ minutes</w:t>
            </w:r>
            <w:r w:rsidR="002D0135">
              <w:rPr>
                <w:rFonts w:cs="Arial"/>
                <w:i/>
                <w:iCs/>
                <w:sz w:val="20"/>
                <w:szCs w:val="20"/>
              </w:rPr>
              <w:t xml:space="preserve"> (</w:t>
            </w:r>
            <w:r w:rsidR="002D0135" w:rsidRPr="002D0135">
              <w:rPr>
                <w:rFonts w:cs="Arial"/>
                <w:i/>
                <w:iCs/>
                <w:sz w:val="20"/>
                <w:szCs w:val="20"/>
              </w:rPr>
              <w:t>#270</w:t>
            </w:r>
            <w:r w:rsidR="002D0135">
              <w:rPr>
                <w:rFonts w:cs="Arial"/>
                <w:i/>
                <w:iCs/>
                <w:sz w:val="20"/>
                <w:szCs w:val="20"/>
              </w:rPr>
              <w:t>1)</w:t>
            </w:r>
          </w:p>
        </w:tc>
        <w:tc>
          <w:tcPr>
            <w:tcW w:w="1134" w:type="dxa"/>
            <w:tcBorders>
              <w:top w:val="single" w:sz="4" w:space="0" w:color="auto"/>
              <w:left w:val="nil"/>
              <w:right w:val="nil"/>
            </w:tcBorders>
            <w:shd w:val="clear" w:color="auto" w:fill="F2F2F2" w:themeFill="background1" w:themeFillShade="F2"/>
            <w:vAlign w:val="center"/>
          </w:tcPr>
          <w:p w14:paraId="5F51473E" w14:textId="77777777" w:rsidR="00FA35C3" w:rsidRPr="003A5247" w:rsidRDefault="00FA35C3" w:rsidP="003A5247">
            <w:pPr>
              <w:jc w:val="center"/>
              <w:rPr>
                <w:rFonts w:cs="Arial"/>
                <w:b/>
                <w:bCs/>
                <w:sz w:val="20"/>
                <w:szCs w:val="20"/>
              </w:rPr>
            </w:pPr>
            <w:r w:rsidRPr="003A5247">
              <w:rPr>
                <w:rFonts w:cs="Arial"/>
                <w:b/>
                <w:bCs/>
                <w:sz w:val="20"/>
                <w:szCs w:val="20"/>
              </w:rPr>
              <w:t>$120.25</w:t>
            </w:r>
          </w:p>
        </w:tc>
        <w:tc>
          <w:tcPr>
            <w:tcW w:w="1198" w:type="dxa"/>
            <w:tcBorders>
              <w:top w:val="single" w:sz="4" w:space="0" w:color="auto"/>
              <w:left w:val="nil"/>
              <w:right w:val="nil"/>
            </w:tcBorders>
            <w:shd w:val="clear" w:color="auto" w:fill="FFFFFF" w:themeFill="background1"/>
            <w:vAlign w:val="center"/>
          </w:tcPr>
          <w:p w14:paraId="4C2700BF" w14:textId="77777777" w:rsidR="00FA35C3" w:rsidRPr="003A5247" w:rsidRDefault="00FA35C3" w:rsidP="003A5247">
            <w:pPr>
              <w:jc w:val="center"/>
              <w:rPr>
                <w:rFonts w:cs="Arial"/>
                <w:i/>
                <w:iCs/>
                <w:sz w:val="20"/>
                <w:szCs w:val="20"/>
              </w:rPr>
            </w:pPr>
            <w:r w:rsidRPr="003A5247">
              <w:rPr>
                <w:rFonts w:cs="Arial"/>
                <w:b/>
                <w:bCs/>
                <w:sz w:val="20"/>
                <w:szCs w:val="20"/>
              </w:rPr>
              <w:t>$142.43</w:t>
            </w:r>
            <w:r w:rsidRPr="003A5247">
              <w:rPr>
                <w:rFonts w:cs="Arial"/>
                <w:b/>
                <w:bCs/>
                <w:sz w:val="20"/>
                <w:szCs w:val="20"/>
              </w:rPr>
              <w:br/>
            </w:r>
            <w:r w:rsidRPr="003A5247">
              <w:rPr>
                <w:rFonts w:cs="Arial"/>
                <w:i/>
                <w:iCs/>
                <w:sz w:val="20"/>
                <w:szCs w:val="20"/>
              </w:rPr>
              <w:t>(up 18%)</w:t>
            </w:r>
          </w:p>
        </w:tc>
        <w:tc>
          <w:tcPr>
            <w:tcW w:w="1198" w:type="dxa"/>
            <w:tcBorders>
              <w:top w:val="single" w:sz="4" w:space="0" w:color="auto"/>
              <w:left w:val="nil"/>
              <w:right w:val="nil"/>
            </w:tcBorders>
            <w:shd w:val="clear" w:color="auto" w:fill="FFFFFF" w:themeFill="background1"/>
            <w:vAlign w:val="center"/>
          </w:tcPr>
          <w:p w14:paraId="0F547675" w14:textId="77777777" w:rsidR="00FA35C3" w:rsidRPr="003A5247" w:rsidRDefault="00FA35C3" w:rsidP="003A5247">
            <w:pPr>
              <w:jc w:val="center"/>
              <w:rPr>
                <w:rFonts w:cs="Arial"/>
                <w:sz w:val="20"/>
                <w:szCs w:val="20"/>
              </w:rPr>
            </w:pPr>
            <w:r w:rsidRPr="003A5247">
              <w:rPr>
                <w:rFonts w:cs="Arial"/>
                <w:b/>
                <w:bCs/>
                <w:sz w:val="20"/>
                <w:szCs w:val="20"/>
              </w:rPr>
              <w:t>$146.08</w:t>
            </w:r>
            <w:r w:rsidRPr="003A5247">
              <w:rPr>
                <w:rFonts w:cs="Arial"/>
                <w:sz w:val="20"/>
                <w:szCs w:val="20"/>
              </w:rPr>
              <w:br/>
            </w:r>
            <w:r w:rsidRPr="003A5247">
              <w:rPr>
                <w:rFonts w:cs="Arial"/>
                <w:i/>
                <w:iCs/>
                <w:sz w:val="20"/>
                <w:szCs w:val="20"/>
              </w:rPr>
              <w:t>(up 22%)</w:t>
            </w:r>
          </w:p>
        </w:tc>
        <w:tc>
          <w:tcPr>
            <w:tcW w:w="1199" w:type="dxa"/>
            <w:tcBorders>
              <w:top w:val="single" w:sz="4" w:space="0" w:color="auto"/>
              <w:left w:val="nil"/>
              <w:right w:val="nil"/>
            </w:tcBorders>
            <w:shd w:val="clear" w:color="auto" w:fill="FFFFFF" w:themeFill="background1"/>
            <w:vAlign w:val="center"/>
          </w:tcPr>
          <w:p w14:paraId="36511C87" w14:textId="77777777" w:rsidR="00FA35C3" w:rsidRPr="003A5247" w:rsidRDefault="00FA35C3" w:rsidP="003A5247">
            <w:pPr>
              <w:jc w:val="center"/>
              <w:rPr>
                <w:rFonts w:cs="Arial"/>
                <w:b/>
                <w:bCs/>
                <w:sz w:val="20"/>
                <w:szCs w:val="20"/>
              </w:rPr>
            </w:pPr>
            <w:r w:rsidRPr="003A5247">
              <w:rPr>
                <w:rFonts w:cs="Arial"/>
                <w:b/>
                <w:bCs/>
                <w:sz w:val="20"/>
                <w:szCs w:val="20"/>
              </w:rPr>
              <w:t>$146.73</w:t>
            </w:r>
            <w:r w:rsidRPr="003A5247">
              <w:rPr>
                <w:rFonts w:cs="Arial"/>
                <w:sz w:val="20"/>
                <w:szCs w:val="20"/>
              </w:rPr>
              <w:br/>
            </w:r>
            <w:r w:rsidRPr="003A5247">
              <w:rPr>
                <w:rFonts w:cs="Arial"/>
                <w:i/>
                <w:iCs/>
                <w:sz w:val="20"/>
                <w:szCs w:val="20"/>
              </w:rPr>
              <w:t>(up 22%)</w:t>
            </w:r>
          </w:p>
        </w:tc>
        <w:tc>
          <w:tcPr>
            <w:tcW w:w="1198" w:type="dxa"/>
            <w:tcBorders>
              <w:top w:val="single" w:sz="4" w:space="0" w:color="auto"/>
              <w:left w:val="nil"/>
              <w:right w:val="nil"/>
            </w:tcBorders>
            <w:shd w:val="clear" w:color="auto" w:fill="FFFFFF" w:themeFill="background1"/>
            <w:vAlign w:val="center"/>
          </w:tcPr>
          <w:p w14:paraId="60C03F75" w14:textId="77777777" w:rsidR="00FA35C3" w:rsidRPr="003A5247" w:rsidRDefault="00FA35C3" w:rsidP="003A5247">
            <w:pPr>
              <w:jc w:val="center"/>
              <w:rPr>
                <w:rFonts w:cs="Arial"/>
                <w:b/>
                <w:bCs/>
                <w:sz w:val="20"/>
                <w:szCs w:val="20"/>
              </w:rPr>
            </w:pPr>
            <w:r w:rsidRPr="003A5247">
              <w:rPr>
                <w:rFonts w:cs="Arial"/>
                <w:b/>
                <w:bCs/>
                <w:sz w:val="20"/>
                <w:szCs w:val="20"/>
              </w:rPr>
              <w:t>$147.48</w:t>
            </w:r>
            <w:r w:rsidRPr="003A5247">
              <w:rPr>
                <w:rFonts w:cs="Arial"/>
                <w:sz w:val="20"/>
                <w:szCs w:val="20"/>
              </w:rPr>
              <w:br/>
            </w:r>
            <w:r w:rsidRPr="003A5247">
              <w:rPr>
                <w:rFonts w:cs="Arial"/>
                <w:i/>
                <w:iCs/>
                <w:sz w:val="20"/>
                <w:szCs w:val="20"/>
              </w:rPr>
              <w:t>(up 23%)</w:t>
            </w:r>
          </w:p>
        </w:tc>
        <w:tc>
          <w:tcPr>
            <w:tcW w:w="1199" w:type="dxa"/>
            <w:tcBorders>
              <w:top w:val="single" w:sz="4" w:space="0" w:color="auto"/>
              <w:left w:val="nil"/>
              <w:right w:val="nil"/>
            </w:tcBorders>
            <w:shd w:val="clear" w:color="auto" w:fill="FFFFFF" w:themeFill="background1"/>
            <w:vAlign w:val="center"/>
          </w:tcPr>
          <w:p w14:paraId="4A4F523B" w14:textId="77777777" w:rsidR="00FA35C3" w:rsidRPr="003A5247" w:rsidRDefault="00FA35C3" w:rsidP="003A5247">
            <w:pPr>
              <w:jc w:val="center"/>
              <w:rPr>
                <w:rFonts w:cs="Arial"/>
                <w:i/>
                <w:iCs/>
                <w:sz w:val="20"/>
                <w:szCs w:val="20"/>
              </w:rPr>
            </w:pPr>
            <w:r w:rsidRPr="003A5247">
              <w:rPr>
                <w:rFonts w:cs="Arial"/>
                <w:b/>
                <w:bCs/>
                <w:sz w:val="20"/>
                <w:szCs w:val="20"/>
              </w:rPr>
              <w:t>$148.13</w:t>
            </w:r>
            <w:r w:rsidRPr="003A5247">
              <w:rPr>
                <w:rFonts w:cs="Arial"/>
                <w:sz w:val="20"/>
                <w:szCs w:val="20"/>
              </w:rPr>
              <w:br/>
            </w:r>
            <w:r w:rsidRPr="003A5247">
              <w:rPr>
                <w:rFonts w:cs="Arial"/>
                <w:i/>
                <w:iCs/>
                <w:sz w:val="20"/>
                <w:szCs w:val="20"/>
              </w:rPr>
              <w:t>(up 23%)</w:t>
            </w:r>
          </w:p>
        </w:tc>
      </w:tr>
      <w:tr w:rsidR="005C27E8" w:rsidRPr="00FA35C3" w14:paraId="1F499873" w14:textId="77777777" w:rsidTr="003A5247">
        <w:trPr>
          <w:trHeight w:val="187"/>
          <w:jc w:val="center"/>
        </w:trPr>
        <w:tc>
          <w:tcPr>
            <w:tcW w:w="9815" w:type="dxa"/>
            <w:gridSpan w:val="7"/>
            <w:tcBorders>
              <w:left w:val="nil"/>
              <w:bottom w:val="single" w:sz="4" w:space="0" w:color="auto"/>
              <w:right w:val="nil"/>
            </w:tcBorders>
            <w:shd w:val="clear" w:color="auto" w:fill="3F4A75"/>
            <w:vAlign w:val="center"/>
          </w:tcPr>
          <w:p w14:paraId="1DA36A33" w14:textId="77777777" w:rsidR="005C27E8" w:rsidRPr="00944E13" w:rsidRDefault="005C27E8" w:rsidP="003A5247">
            <w:pPr>
              <w:spacing w:before="0" w:after="0" w:line="240" w:lineRule="auto"/>
              <w:jc w:val="center"/>
              <w:rPr>
                <w:rFonts w:cs="Arial"/>
                <w:b/>
                <w:bCs/>
                <w:sz w:val="12"/>
                <w:szCs w:val="12"/>
                <w:lang w:val="en-US"/>
              </w:rPr>
            </w:pPr>
          </w:p>
        </w:tc>
      </w:tr>
      <w:tr w:rsidR="005C27E8" w:rsidRPr="00FA35C3" w14:paraId="6F6FDE0C" w14:textId="77777777" w:rsidTr="003A5247">
        <w:trPr>
          <w:trHeight w:val="536"/>
          <w:jc w:val="center"/>
        </w:trPr>
        <w:tc>
          <w:tcPr>
            <w:tcW w:w="2689" w:type="dxa"/>
            <w:tcBorders>
              <w:left w:val="nil"/>
              <w:right w:val="nil"/>
            </w:tcBorders>
            <w:shd w:val="clear" w:color="auto" w:fill="FFFFFF" w:themeFill="background1"/>
            <w:vAlign w:val="center"/>
          </w:tcPr>
          <w:p w14:paraId="0D7972DB" w14:textId="6BAFC0A1" w:rsidR="005C27E8" w:rsidRPr="003A5247" w:rsidRDefault="00F360B7" w:rsidP="005C27E8">
            <w:pPr>
              <w:rPr>
                <w:rFonts w:cs="Arial"/>
                <w:i/>
                <w:iCs/>
                <w:sz w:val="20"/>
                <w:szCs w:val="20"/>
              </w:rPr>
            </w:pPr>
            <w:r w:rsidRPr="00F360B7">
              <w:rPr>
                <w:rFonts w:cs="Arial"/>
                <w:b/>
                <w:bCs/>
                <w:sz w:val="20"/>
                <w:szCs w:val="20"/>
              </w:rPr>
              <w:t>GP Management Plan</w:t>
            </w:r>
            <w:r w:rsidR="002D0135">
              <w:rPr>
                <w:rFonts w:cs="Arial"/>
                <w:b/>
                <w:bCs/>
                <w:sz w:val="20"/>
                <w:szCs w:val="20"/>
              </w:rPr>
              <w:br/>
            </w:r>
            <w:r w:rsidR="002D0135">
              <w:rPr>
                <w:rFonts w:cs="Arial"/>
                <w:i/>
                <w:iCs/>
                <w:sz w:val="20"/>
                <w:szCs w:val="20"/>
              </w:rPr>
              <w:t>(</w:t>
            </w:r>
            <w:r w:rsidR="00121AB7">
              <w:rPr>
                <w:rFonts w:cs="Arial"/>
                <w:i/>
                <w:iCs/>
                <w:sz w:val="20"/>
                <w:szCs w:val="20"/>
              </w:rPr>
              <w:t>#721)</w:t>
            </w:r>
          </w:p>
        </w:tc>
        <w:tc>
          <w:tcPr>
            <w:tcW w:w="1134" w:type="dxa"/>
            <w:tcBorders>
              <w:left w:val="nil"/>
              <w:right w:val="nil"/>
            </w:tcBorders>
            <w:shd w:val="clear" w:color="auto" w:fill="F2F2F2" w:themeFill="background1" w:themeFillShade="F2"/>
            <w:vAlign w:val="center"/>
          </w:tcPr>
          <w:p w14:paraId="07380571" w14:textId="46D2CB57" w:rsidR="005C27E8" w:rsidRPr="009C7D8F" w:rsidRDefault="005C27E8" w:rsidP="003A5247">
            <w:pPr>
              <w:jc w:val="center"/>
              <w:rPr>
                <w:rFonts w:cs="Arial"/>
                <w:b/>
                <w:bCs/>
                <w:sz w:val="20"/>
                <w:szCs w:val="20"/>
              </w:rPr>
            </w:pPr>
            <w:r w:rsidRPr="00944E13">
              <w:rPr>
                <w:rFonts w:cs="Arial"/>
                <w:b/>
                <w:bCs/>
                <w:sz w:val="20"/>
                <w:szCs w:val="20"/>
              </w:rPr>
              <w:t>$</w:t>
            </w:r>
            <w:r w:rsidR="0063252E">
              <w:rPr>
                <w:rFonts w:cs="Arial"/>
                <w:b/>
                <w:bCs/>
                <w:sz w:val="20"/>
                <w:szCs w:val="20"/>
              </w:rPr>
              <w:t>164.35</w:t>
            </w:r>
          </w:p>
        </w:tc>
        <w:tc>
          <w:tcPr>
            <w:tcW w:w="1198" w:type="dxa"/>
            <w:tcBorders>
              <w:left w:val="nil"/>
              <w:right w:val="nil"/>
            </w:tcBorders>
            <w:shd w:val="clear" w:color="auto" w:fill="FFFFFF" w:themeFill="background1"/>
            <w:vAlign w:val="center"/>
          </w:tcPr>
          <w:p w14:paraId="0B357747" w14:textId="344BAAF8" w:rsidR="005C27E8" w:rsidRPr="009C7D8F" w:rsidRDefault="005C27E8" w:rsidP="003A5247">
            <w:pPr>
              <w:jc w:val="center"/>
              <w:rPr>
                <w:rFonts w:cs="Arial"/>
                <w:b/>
                <w:bCs/>
                <w:sz w:val="20"/>
                <w:szCs w:val="20"/>
              </w:rPr>
            </w:pPr>
            <w:r w:rsidRPr="00944E13">
              <w:rPr>
                <w:rFonts w:cs="Arial"/>
                <w:b/>
                <w:bCs/>
                <w:sz w:val="20"/>
                <w:szCs w:val="20"/>
              </w:rPr>
              <w:t>$</w:t>
            </w:r>
            <w:r w:rsidR="0063252E">
              <w:rPr>
                <w:rFonts w:cs="Arial"/>
                <w:b/>
                <w:bCs/>
                <w:sz w:val="20"/>
                <w:szCs w:val="20"/>
              </w:rPr>
              <w:t>192.04</w:t>
            </w:r>
            <w:r w:rsidRPr="00944E13">
              <w:rPr>
                <w:rFonts w:cs="Arial"/>
                <w:b/>
                <w:bCs/>
                <w:sz w:val="20"/>
                <w:szCs w:val="20"/>
              </w:rPr>
              <w:br/>
            </w:r>
            <w:r w:rsidRPr="00944E13">
              <w:rPr>
                <w:rFonts w:cs="Arial"/>
                <w:i/>
                <w:iCs/>
                <w:sz w:val="20"/>
                <w:szCs w:val="20"/>
              </w:rPr>
              <w:t xml:space="preserve">(up </w:t>
            </w:r>
            <w:r w:rsidR="00E15FA8">
              <w:rPr>
                <w:rFonts w:cs="Arial"/>
                <w:i/>
                <w:iCs/>
                <w:sz w:val="20"/>
                <w:szCs w:val="20"/>
              </w:rPr>
              <w:t>17</w:t>
            </w:r>
            <w:r w:rsidRPr="00944E13">
              <w:rPr>
                <w:rFonts w:cs="Arial"/>
                <w:i/>
                <w:iCs/>
                <w:sz w:val="20"/>
                <w:szCs w:val="20"/>
              </w:rPr>
              <w:t>%)</w:t>
            </w:r>
          </w:p>
        </w:tc>
        <w:tc>
          <w:tcPr>
            <w:tcW w:w="1198" w:type="dxa"/>
            <w:tcBorders>
              <w:left w:val="nil"/>
              <w:right w:val="nil"/>
            </w:tcBorders>
            <w:shd w:val="clear" w:color="auto" w:fill="FFFFFF" w:themeFill="background1"/>
            <w:vAlign w:val="center"/>
          </w:tcPr>
          <w:p w14:paraId="1D2D8D40" w14:textId="02A3F57A" w:rsidR="005C27E8" w:rsidRPr="009C7D8F" w:rsidRDefault="005C27E8" w:rsidP="003A5247">
            <w:pPr>
              <w:jc w:val="center"/>
              <w:rPr>
                <w:rFonts w:cs="Arial"/>
                <w:b/>
                <w:bCs/>
                <w:sz w:val="20"/>
                <w:szCs w:val="20"/>
              </w:rPr>
            </w:pPr>
            <w:r w:rsidRPr="00944E13">
              <w:rPr>
                <w:rFonts w:cs="Arial"/>
                <w:b/>
                <w:bCs/>
                <w:sz w:val="20"/>
                <w:szCs w:val="20"/>
              </w:rPr>
              <w:t>$1</w:t>
            </w:r>
            <w:r w:rsidR="006B43FE">
              <w:rPr>
                <w:rFonts w:cs="Arial"/>
                <w:b/>
                <w:bCs/>
                <w:sz w:val="20"/>
                <w:szCs w:val="20"/>
              </w:rPr>
              <w:t>95.69</w:t>
            </w:r>
            <w:r w:rsidRPr="00944E13">
              <w:rPr>
                <w:rFonts w:cs="Arial"/>
                <w:sz w:val="20"/>
                <w:szCs w:val="20"/>
              </w:rPr>
              <w:br/>
            </w:r>
            <w:r w:rsidRPr="00944E13">
              <w:rPr>
                <w:rFonts w:cs="Arial"/>
                <w:i/>
                <w:iCs/>
                <w:sz w:val="20"/>
                <w:szCs w:val="20"/>
              </w:rPr>
              <w:t xml:space="preserve">(up </w:t>
            </w:r>
            <w:r w:rsidR="00E15FA8">
              <w:rPr>
                <w:rFonts w:cs="Arial"/>
                <w:i/>
                <w:iCs/>
                <w:sz w:val="20"/>
                <w:szCs w:val="20"/>
              </w:rPr>
              <w:t>19</w:t>
            </w:r>
            <w:r w:rsidRPr="00944E13">
              <w:rPr>
                <w:rFonts w:cs="Arial"/>
                <w:i/>
                <w:iCs/>
                <w:sz w:val="20"/>
                <w:szCs w:val="20"/>
              </w:rPr>
              <w:t>%)</w:t>
            </w:r>
          </w:p>
        </w:tc>
        <w:tc>
          <w:tcPr>
            <w:tcW w:w="1199" w:type="dxa"/>
            <w:tcBorders>
              <w:left w:val="nil"/>
              <w:right w:val="nil"/>
            </w:tcBorders>
            <w:shd w:val="clear" w:color="auto" w:fill="FFFFFF" w:themeFill="background1"/>
            <w:vAlign w:val="center"/>
          </w:tcPr>
          <w:p w14:paraId="77909B66" w14:textId="298ABFC5" w:rsidR="005C27E8" w:rsidRPr="009C7D8F" w:rsidRDefault="005C27E8" w:rsidP="003A5247">
            <w:pPr>
              <w:jc w:val="center"/>
              <w:rPr>
                <w:rFonts w:cs="Arial"/>
                <w:b/>
                <w:bCs/>
                <w:sz w:val="20"/>
                <w:szCs w:val="20"/>
              </w:rPr>
            </w:pPr>
            <w:r w:rsidRPr="00944E13">
              <w:rPr>
                <w:rFonts w:cs="Arial"/>
                <w:b/>
                <w:bCs/>
                <w:sz w:val="20"/>
                <w:szCs w:val="20"/>
              </w:rPr>
              <w:t>$</w:t>
            </w:r>
            <w:r w:rsidR="00844C41">
              <w:rPr>
                <w:rFonts w:cs="Arial"/>
                <w:b/>
                <w:bCs/>
                <w:sz w:val="20"/>
                <w:szCs w:val="20"/>
              </w:rPr>
              <w:t>196.34</w:t>
            </w:r>
            <w:r w:rsidRPr="00944E13">
              <w:rPr>
                <w:rFonts w:cs="Arial"/>
                <w:sz w:val="20"/>
                <w:szCs w:val="20"/>
              </w:rPr>
              <w:br/>
            </w:r>
            <w:r w:rsidRPr="00944E13">
              <w:rPr>
                <w:rFonts w:cs="Arial"/>
                <w:i/>
                <w:iCs/>
                <w:sz w:val="20"/>
                <w:szCs w:val="20"/>
              </w:rPr>
              <w:t xml:space="preserve">(up </w:t>
            </w:r>
            <w:r w:rsidR="00E15FA8">
              <w:rPr>
                <w:rFonts w:cs="Arial"/>
                <w:i/>
                <w:iCs/>
                <w:sz w:val="20"/>
                <w:szCs w:val="20"/>
              </w:rPr>
              <w:t>19</w:t>
            </w:r>
            <w:r w:rsidRPr="00944E13">
              <w:rPr>
                <w:rFonts w:cs="Arial"/>
                <w:i/>
                <w:iCs/>
                <w:sz w:val="20"/>
                <w:szCs w:val="20"/>
              </w:rPr>
              <w:t>%)</w:t>
            </w:r>
          </w:p>
        </w:tc>
        <w:tc>
          <w:tcPr>
            <w:tcW w:w="1198" w:type="dxa"/>
            <w:tcBorders>
              <w:left w:val="nil"/>
              <w:right w:val="nil"/>
            </w:tcBorders>
            <w:shd w:val="clear" w:color="auto" w:fill="FFFFFF" w:themeFill="background1"/>
            <w:vAlign w:val="center"/>
          </w:tcPr>
          <w:p w14:paraId="01A69F61" w14:textId="60676868" w:rsidR="005C27E8" w:rsidRPr="009C7D8F" w:rsidRDefault="005C27E8" w:rsidP="003A5247">
            <w:pPr>
              <w:jc w:val="center"/>
              <w:rPr>
                <w:rFonts w:cs="Arial"/>
                <w:b/>
                <w:bCs/>
                <w:sz w:val="20"/>
                <w:szCs w:val="20"/>
              </w:rPr>
            </w:pPr>
            <w:r w:rsidRPr="00944E13">
              <w:rPr>
                <w:rFonts w:cs="Arial"/>
                <w:b/>
                <w:bCs/>
                <w:sz w:val="20"/>
                <w:szCs w:val="20"/>
              </w:rPr>
              <w:t>$1</w:t>
            </w:r>
            <w:r w:rsidR="00EE571D">
              <w:rPr>
                <w:rFonts w:cs="Arial"/>
                <w:b/>
                <w:bCs/>
                <w:sz w:val="20"/>
                <w:szCs w:val="20"/>
              </w:rPr>
              <w:t>97.09</w:t>
            </w:r>
            <w:r w:rsidRPr="00944E13">
              <w:rPr>
                <w:rFonts w:cs="Arial"/>
                <w:sz w:val="20"/>
                <w:szCs w:val="20"/>
              </w:rPr>
              <w:br/>
            </w:r>
            <w:r w:rsidRPr="00944E13">
              <w:rPr>
                <w:rFonts w:cs="Arial"/>
                <w:i/>
                <w:iCs/>
                <w:sz w:val="20"/>
                <w:szCs w:val="20"/>
              </w:rPr>
              <w:t xml:space="preserve">(up </w:t>
            </w:r>
            <w:r w:rsidR="00E15FA8">
              <w:rPr>
                <w:rFonts w:cs="Arial"/>
                <w:i/>
                <w:iCs/>
                <w:sz w:val="20"/>
                <w:szCs w:val="20"/>
              </w:rPr>
              <w:t>20</w:t>
            </w:r>
            <w:r w:rsidRPr="00944E13">
              <w:rPr>
                <w:rFonts w:cs="Arial"/>
                <w:i/>
                <w:iCs/>
                <w:sz w:val="20"/>
                <w:szCs w:val="20"/>
              </w:rPr>
              <w:t>%)</w:t>
            </w:r>
          </w:p>
        </w:tc>
        <w:tc>
          <w:tcPr>
            <w:tcW w:w="1199" w:type="dxa"/>
            <w:tcBorders>
              <w:left w:val="nil"/>
              <w:right w:val="nil"/>
            </w:tcBorders>
            <w:shd w:val="clear" w:color="auto" w:fill="FFFFFF" w:themeFill="background1"/>
            <w:vAlign w:val="center"/>
          </w:tcPr>
          <w:p w14:paraId="703D0182" w14:textId="6146F013" w:rsidR="005C27E8" w:rsidRPr="009C7D8F" w:rsidRDefault="005C27E8" w:rsidP="003A5247">
            <w:pPr>
              <w:jc w:val="center"/>
              <w:rPr>
                <w:rFonts w:cs="Arial"/>
                <w:b/>
                <w:bCs/>
                <w:sz w:val="20"/>
                <w:szCs w:val="20"/>
              </w:rPr>
            </w:pPr>
            <w:r w:rsidRPr="00944E13">
              <w:rPr>
                <w:rFonts w:cs="Arial"/>
                <w:b/>
                <w:bCs/>
                <w:sz w:val="20"/>
                <w:szCs w:val="20"/>
              </w:rPr>
              <w:t>$1</w:t>
            </w:r>
            <w:r w:rsidR="005114E9">
              <w:rPr>
                <w:rFonts w:cs="Arial"/>
                <w:b/>
                <w:bCs/>
                <w:sz w:val="20"/>
                <w:szCs w:val="20"/>
              </w:rPr>
              <w:t>97</w:t>
            </w:r>
            <w:r w:rsidRPr="00944E13">
              <w:rPr>
                <w:rFonts w:cs="Arial"/>
                <w:b/>
                <w:bCs/>
                <w:sz w:val="20"/>
                <w:szCs w:val="20"/>
              </w:rPr>
              <w:t>.7</w:t>
            </w:r>
            <w:r w:rsidR="005114E9">
              <w:rPr>
                <w:rFonts w:cs="Arial"/>
                <w:b/>
                <w:bCs/>
                <w:sz w:val="20"/>
                <w:szCs w:val="20"/>
              </w:rPr>
              <w:t>4</w:t>
            </w:r>
            <w:r w:rsidRPr="00944E13">
              <w:rPr>
                <w:rFonts w:cs="Arial"/>
                <w:sz w:val="20"/>
                <w:szCs w:val="20"/>
              </w:rPr>
              <w:br/>
            </w:r>
            <w:r w:rsidRPr="00944E13">
              <w:rPr>
                <w:rFonts w:cs="Arial"/>
                <w:i/>
                <w:iCs/>
                <w:sz w:val="20"/>
                <w:szCs w:val="20"/>
              </w:rPr>
              <w:t>(up 2</w:t>
            </w:r>
            <w:r w:rsidR="00E15FA8">
              <w:rPr>
                <w:rFonts w:cs="Arial"/>
                <w:i/>
                <w:iCs/>
                <w:sz w:val="20"/>
                <w:szCs w:val="20"/>
              </w:rPr>
              <w:t>0</w:t>
            </w:r>
            <w:r w:rsidRPr="00944E13">
              <w:rPr>
                <w:rFonts w:cs="Arial"/>
                <w:i/>
                <w:iCs/>
                <w:sz w:val="20"/>
                <w:szCs w:val="20"/>
              </w:rPr>
              <w:t>%)</w:t>
            </w:r>
          </w:p>
        </w:tc>
      </w:tr>
    </w:tbl>
    <w:p w14:paraId="403B1C29" w14:textId="77777777" w:rsidR="00FA35C3" w:rsidRDefault="00FA35C3" w:rsidP="00FA35C3">
      <w:pPr>
        <w:rPr>
          <w:rFonts w:cs="Arial"/>
        </w:rPr>
      </w:pPr>
      <w:r w:rsidRPr="00FA35C3">
        <w:rPr>
          <w:rFonts w:cs="Arial"/>
        </w:rPr>
        <w:t>* Totals include item Medicare rebate, Bulk Billing Incentive item rebate, and 12.5% Bulk Billing Practice Incentive Program payment.</w:t>
      </w:r>
    </w:p>
    <w:p w14:paraId="4129929B" w14:textId="2328A86E" w:rsidR="004A69EF" w:rsidRPr="00FA35C3" w:rsidRDefault="004A69EF" w:rsidP="00FA35C3">
      <w:pPr>
        <w:rPr>
          <w:rFonts w:cs="Arial"/>
        </w:rPr>
      </w:pPr>
      <w:r>
        <w:rPr>
          <w:rFonts w:cs="Arial"/>
        </w:rPr>
        <w:t xml:space="preserve">** Rebates will increase in line with indexation on </w:t>
      </w:r>
      <w:r w:rsidR="00D752BA">
        <w:rPr>
          <w:rFonts w:cs="Arial"/>
        </w:rPr>
        <w:t>1 July 2024.</w:t>
      </w:r>
    </w:p>
    <w:p w14:paraId="36B58C77" w14:textId="7E3588ED" w:rsidR="00056DFF" w:rsidRPr="00140741" w:rsidRDefault="00056DFF" w:rsidP="00056DFF">
      <w:pPr>
        <w:pStyle w:val="Heading3"/>
      </w:pPr>
      <w:r w:rsidRPr="00CB7E45">
        <w:lastRenderedPageBreak/>
        <w:t xml:space="preserve">Why does a GP with </w:t>
      </w:r>
      <w:r>
        <w:t>‘</w:t>
      </w:r>
      <w:r w:rsidRPr="00CB7E45">
        <w:t>average bulk billing</w:t>
      </w:r>
      <w:r>
        <w:t>’</w:t>
      </w:r>
      <w:r w:rsidRPr="00CB7E45">
        <w:t xml:space="preserve"> earn more from 1 November</w:t>
      </w:r>
      <w:r w:rsidR="00767705">
        <w:t xml:space="preserve"> 2025</w:t>
      </w:r>
      <w:r w:rsidRPr="00CB7E45">
        <w:t>, without increasing how much they bulk bill?</w:t>
      </w:r>
    </w:p>
    <w:p w14:paraId="6DDA934F" w14:textId="77777777" w:rsidR="00056DFF" w:rsidRPr="00981A9D" w:rsidRDefault="00056DFF" w:rsidP="00056DFF">
      <w:pPr>
        <w:rPr>
          <w:rFonts w:cs="Arial"/>
        </w:rPr>
      </w:pPr>
      <w:r w:rsidRPr="00385E93">
        <w:rPr>
          <w:rFonts w:cs="Arial"/>
        </w:rPr>
        <w:t xml:space="preserve">Around </w:t>
      </w:r>
      <w:r w:rsidRPr="00662EED">
        <w:rPr>
          <w:rFonts w:cs="Arial"/>
        </w:rPr>
        <w:t xml:space="preserve">1 in 4 services </w:t>
      </w:r>
      <w:r w:rsidRPr="00385E93">
        <w:rPr>
          <w:rFonts w:cs="Arial"/>
        </w:rPr>
        <w:t>that</w:t>
      </w:r>
      <w:r w:rsidRPr="00981A9D">
        <w:rPr>
          <w:rFonts w:cs="Arial"/>
        </w:rPr>
        <w:t xml:space="preserve"> GP</w:t>
      </w:r>
      <w:r>
        <w:rPr>
          <w:rFonts w:cs="Arial"/>
        </w:rPr>
        <w:t>s</w:t>
      </w:r>
      <w:r w:rsidRPr="00981A9D">
        <w:rPr>
          <w:rFonts w:cs="Arial"/>
        </w:rPr>
        <w:t xml:space="preserve"> provide are bulk billed services to non-concessional patients (adults without a concession card) for which the GP receives only the Medicare </w:t>
      </w:r>
      <w:r>
        <w:rPr>
          <w:rFonts w:cs="Arial"/>
        </w:rPr>
        <w:t>benefit</w:t>
      </w:r>
      <w:r w:rsidRPr="00981A9D">
        <w:rPr>
          <w:rFonts w:cs="Arial"/>
        </w:rPr>
        <w:t>.</w:t>
      </w:r>
    </w:p>
    <w:p w14:paraId="755234FB" w14:textId="77777777" w:rsidR="00056DFF" w:rsidRPr="00981A9D" w:rsidRDefault="00056DFF" w:rsidP="00056DFF">
      <w:pPr>
        <w:rPr>
          <w:rFonts w:cs="Arial"/>
        </w:rPr>
      </w:pPr>
      <w:r w:rsidRPr="00981A9D">
        <w:rPr>
          <w:rFonts w:cs="Arial"/>
        </w:rPr>
        <w:t xml:space="preserve">That </w:t>
      </w:r>
      <w:r w:rsidRPr="00662EED">
        <w:rPr>
          <w:rFonts w:cs="Arial"/>
        </w:rPr>
        <w:t>means 1 in 4 services</w:t>
      </w:r>
      <w:r w:rsidRPr="00981A9D">
        <w:rPr>
          <w:rFonts w:cs="Arial"/>
        </w:rPr>
        <w:t xml:space="preserve"> that a GP delivers are bulk billed, without receiving a bulk billing incentive.</w:t>
      </w:r>
    </w:p>
    <w:p w14:paraId="6DC787FA" w14:textId="77777777" w:rsidR="00056DFF" w:rsidRPr="00981A9D" w:rsidRDefault="00056DFF" w:rsidP="00056DFF">
      <w:pPr>
        <w:rPr>
          <w:rFonts w:cs="Arial"/>
        </w:rPr>
      </w:pPr>
      <w:r w:rsidRPr="00981A9D">
        <w:rPr>
          <w:rFonts w:cs="Arial"/>
        </w:rPr>
        <w:t>From 1 November</w:t>
      </w:r>
      <w:r>
        <w:rPr>
          <w:rFonts w:cs="Arial"/>
        </w:rPr>
        <w:t xml:space="preserve"> 2025</w:t>
      </w:r>
      <w:r w:rsidRPr="00981A9D">
        <w:rPr>
          <w:rFonts w:cs="Arial"/>
        </w:rPr>
        <w:t xml:space="preserve">, </w:t>
      </w:r>
      <w:r w:rsidRPr="00662EED">
        <w:rPr>
          <w:rFonts w:cs="Arial"/>
        </w:rPr>
        <w:t>those 1 in 4 services</w:t>
      </w:r>
      <w:r w:rsidRPr="00981A9D">
        <w:rPr>
          <w:rFonts w:cs="Arial"/>
        </w:rPr>
        <w:t xml:space="preserve"> will receive a bulk billing incentive on top of the Medicare </w:t>
      </w:r>
      <w:r>
        <w:rPr>
          <w:rFonts w:cs="Arial"/>
        </w:rPr>
        <w:t>benefit</w:t>
      </w:r>
      <w:r w:rsidRPr="00981A9D">
        <w:rPr>
          <w:rFonts w:cs="Arial"/>
        </w:rPr>
        <w:t>.</w:t>
      </w:r>
    </w:p>
    <w:p w14:paraId="1AB87955" w14:textId="77777777" w:rsidR="00056DFF" w:rsidRDefault="00056DFF" w:rsidP="00056DFF">
      <w:pPr>
        <w:rPr>
          <w:rFonts w:cs="Arial"/>
        </w:rPr>
      </w:pPr>
      <w:r w:rsidRPr="00981A9D">
        <w:rPr>
          <w:rFonts w:cs="Arial"/>
        </w:rPr>
        <w:t>This will support GPs to reduce their reliance on patient fees and increase the availability of bulk billing for all their patients.</w:t>
      </w:r>
    </w:p>
    <w:p w14:paraId="488AB0F9" w14:textId="4BA29D16" w:rsidR="004920EE" w:rsidRPr="0091025D" w:rsidRDefault="004920EE" w:rsidP="004920EE">
      <w:pPr>
        <w:pStyle w:val="Heading3"/>
      </w:pPr>
      <w:r w:rsidRPr="0091025D">
        <w:t xml:space="preserve">Will any general practices </w:t>
      </w:r>
      <w:r>
        <w:t>have lower billings or earnings from 1 November</w:t>
      </w:r>
      <w:r w:rsidR="00767705">
        <w:t xml:space="preserve"> 2025</w:t>
      </w:r>
      <w:r w:rsidRPr="0091025D">
        <w:t>?</w:t>
      </w:r>
    </w:p>
    <w:p w14:paraId="0BB421A4" w14:textId="5C8D2C84" w:rsidR="004920EE" w:rsidRDefault="004920EE" w:rsidP="004920EE">
      <w:pPr>
        <w:rPr>
          <w:rFonts w:cs="Arial"/>
        </w:rPr>
      </w:pPr>
      <w:r w:rsidRPr="0091025D">
        <w:rPr>
          <w:rFonts w:cs="Arial"/>
        </w:rPr>
        <w:t xml:space="preserve">No. Every single GP and </w:t>
      </w:r>
      <w:r>
        <w:rPr>
          <w:rFonts w:cs="Arial"/>
        </w:rPr>
        <w:t>general</w:t>
      </w:r>
      <w:r w:rsidRPr="0091025D">
        <w:rPr>
          <w:rFonts w:cs="Arial"/>
        </w:rPr>
        <w:t xml:space="preserve"> practice will receive </w:t>
      </w:r>
      <w:r>
        <w:rPr>
          <w:rFonts w:cs="Arial"/>
        </w:rPr>
        <w:t>additional Medicare payments from 1 November</w:t>
      </w:r>
      <w:r w:rsidR="00767705">
        <w:rPr>
          <w:rFonts w:cs="Arial"/>
        </w:rPr>
        <w:t xml:space="preserve"> 2025</w:t>
      </w:r>
      <w:r>
        <w:rPr>
          <w:rFonts w:cs="Arial"/>
        </w:rPr>
        <w:t xml:space="preserve">, because every patient will be eligible for bulk billing incentives. </w:t>
      </w:r>
    </w:p>
    <w:p w14:paraId="187B5A9C" w14:textId="77777777" w:rsidR="004920EE" w:rsidRPr="00981A9D" w:rsidRDefault="004920EE" w:rsidP="004920EE">
      <w:pPr>
        <w:rPr>
          <w:rFonts w:cs="Arial"/>
        </w:rPr>
      </w:pPr>
      <w:proofErr w:type="gramStart"/>
      <w:r>
        <w:rPr>
          <w:rFonts w:cs="Arial"/>
        </w:rPr>
        <w:t>At the moment</w:t>
      </w:r>
      <w:proofErr w:type="gramEnd"/>
      <w:r>
        <w:rPr>
          <w:rFonts w:cs="Arial"/>
        </w:rPr>
        <w:t>, a</w:t>
      </w:r>
      <w:r w:rsidRPr="00385E93">
        <w:rPr>
          <w:rFonts w:cs="Arial"/>
        </w:rPr>
        <w:t xml:space="preserve">round </w:t>
      </w:r>
      <w:r w:rsidRPr="00662EED">
        <w:rPr>
          <w:rFonts w:cs="Arial"/>
        </w:rPr>
        <w:t xml:space="preserve">1 in 4 services </w:t>
      </w:r>
      <w:r w:rsidRPr="00385E93">
        <w:rPr>
          <w:rFonts w:cs="Arial"/>
        </w:rPr>
        <w:t>that</w:t>
      </w:r>
      <w:r w:rsidRPr="00981A9D">
        <w:rPr>
          <w:rFonts w:cs="Arial"/>
        </w:rPr>
        <w:t xml:space="preserve"> GP</w:t>
      </w:r>
      <w:r>
        <w:rPr>
          <w:rFonts w:cs="Arial"/>
        </w:rPr>
        <w:t>s</w:t>
      </w:r>
      <w:r w:rsidRPr="00981A9D">
        <w:rPr>
          <w:rFonts w:cs="Arial"/>
        </w:rPr>
        <w:t xml:space="preserve"> provide are bulk billed services to non-concessional patients (adults without a concession card) for which the GP receives only the Medicare </w:t>
      </w:r>
      <w:r>
        <w:rPr>
          <w:rFonts w:cs="Arial"/>
        </w:rPr>
        <w:t>benefit</w:t>
      </w:r>
      <w:r w:rsidRPr="00981A9D">
        <w:rPr>
          <w:rFonts w:cs="Arial"/>
        </w:rPr>
        <w:t>.</w:t>
      </w:r>
    </w:p>
    <w:p w14:paraId="4F4FD7D5" w14:textId="77777777" w:rsidR="004920EE" w:rsidRPr="00981A9D" w:rsidRDefault="004920EE" w:rsidP="004920EE">
      <w:pPr>
        <w:rPr>
          <w:rFonts w:cs="Arial"/>
        </w:rPr>
      </w:pPr>
      <w:r w:rsidRPr="00981A9D">
        <w:rPr>
          <w:rFonts w:cs="Arial"/>
        </w:rPr>
        <w:t xml:space="preserve">That </w:t>
      </w:r>
      <w:r w:rsidRPr="00662EED">
        <w:rPr>
          <w:rFonts w:cs="Arial"/>
        </w:rPr>
        <w:t>means 1 in 4 services</w:t>
      </w:r>
      <w:r w:rsidRPr="00981A9D">
        <w:rPr>
          <w:rFonts w:cs="Arial"/>
        </w:rPr>
        <w:t xml:space="preserve"> that a GP delivers are bulk billed, without receiving a bulk billing incentive.</w:t>
      </w:r>
      <w:r>
        <w:rPr>
          <w:rFonts w:cs="Arial"/>
        </w:rPr>
        <w:t xml:space="preserve"> </w:t>
      </w:r>
      <w:r w:rsidRPr="00981A9D">
        <w:rPr>
          <w:rFonts w:cs="Arial"/>
        </w:rPr>
        <w:t>From 1 November</w:t>
      </w:r>
      <w:r>
        <w:rPr>
          <w:rFonts w:cs="Arial"/>
        </w:rPr>
        <w:t xml:space="preserve"> 2025</w:t>
      </w:r>
      <w:r w:rsidRPr="00981A9D">
        <w:rPr>
          <w:rFonts w:cs="Arial"/>
        </w:rPr>
        <w:t xml:space="preserve">, </w:t>
      </w:r>
      <w:r w:rsidRPr="00662EED">
        <w:rPr>
          <w:rFonts w:cs="Arial"/>
        </w:rPr>
        <w:t>those 1 in 4 services</w:t>
      </w:r>
      <w:r w:rsidRPr="00981A9D">
        <w:rPr>
          <w:rFonts w:cs="Arial"/>
        </w:rPr>
        <w:t xml:space="preserve"> will receive a bulk billing incentive on top of the Medicare </w:t>
      </w:r>
      <w:r>
        <w:rPr>
          <w:rFonts w:cs="Arial"/>
        </w:rPr>
        <w:t>benefit</w:t>
      </w:r>
      <w:r w:rsidRPr="00981A9D">
        <w:rPr>
          <w:rFonts w:cs="Arial"/>
        </w:rPr>
        <w:t>.</w:t>
      </w:r>
    </w:p>
    <w:p w14:paraId="4517D2F5" w14:textId="77777777" w:rsidR="004920EE" w:rsidRDefault="004920EE" w:rsidP="004920EE">
      <w:pPr>
        <w:rPr>
          <w:rFonts w:cs="Arial"/>
        </w:rPr>
      </w:pPr>
      <w:r>
        <w:rPr>
          <w:rFonts w:cs="Arial"/>
        </w:rPr>
        <w:t>This means every GP and general practice will receive have higher billings and larger earnings from 1 November 2025, if they maintain their current billings. GPs and practices that are fully bulk billing will see the largest increase to billings and earnings.</w:t>
      </w:r>
    </w:p>
    <w:p w14:paraId="33C5807B" w14:textId="77777777" w:rsidR="00CB7E45" w:rsidRPr="00140741" w:rsidRDefault="00CB7E45" w:rsidP="00140741">
      <w:pPr>
        <w:pStyle w:val="Heading3"/>
      </w:pPr>
      <w:r w:rsidRPr="00CB7E45">
        <w:t>Are the new bulk billing incentives indexed?</w:t>
      </w:r>
    </w:p>
    <w:p w14:paraId="3ADEBCE9" w14:textId="67906A79" w:rsidR="00CB7E45" w:rsidRDefault="00CB7E45" w:rsidP="00CB7E45">
      <w:pPr>
        <w:rPr>
          <w:rFonts w:cs="Arial"/>
        </w:rPr>
      </w:pPr>
      <w:r>
        <w:rPr>
          <w:rFonts w:cs="Arial"/>
        </w:rPr>
        <w:t xml:space="preserve">Bulk billing incentives are indexed </w:t>
      </w:r>
      <w:r w:rsidR="002332B2">
        <w:rPr>
          <w:rFonts w:cs="Arial"/>
        </w:rPr>
        <w:t>annually</w:t>
      </w:r>
      <w:r>
        <w:rPr>
          <w:rFonts w:cs="Arial"/>
        </w:rPr>
        <w:t>.</w:t>
      </w:r>
    </w:p>
    <w:p w14:paraId="0E020267" w14:textId="77777777" w:rsidR="00CB7E45" w:rsidRDefault="00CB7E45" w:rsidP="00CB7E45">
      <w:pPr>
        <w:rPr>
          <w:rFonts w:cs="Arial"/>
        </w:rPr>
      </w:pPr>
      <w:r>
        <w:rPr>
          <w:rFonts w:cs="Arial"/>
        </w:rPr>
        <w:t xml:space="preserve">In the 2023-24 Budget, the Australian Government updated the indexation methodology for Medicare benefits to increase the rate of annual indexation and included an additional one-off boost to indexation in the 2023-24 financial year. </w:t>
      </w:r>
    </w:p>
    <w:p w14:paraId="186D46CB" w14:textId="552AB2F1" w:rsidR="00CB7E45" w:rsidRPr="00981A9D" w:rsidRDefault="00CB7E45" w:rsidP="00CB7E45">
      <w:pPr>
        <w:rPr>
          <w:rFonts w:cs="Arial"/>
        </w:rPr>
      </w:pPr>
      <w:r>
        <w:rPr>
          <w:rFonts w:cs="Arial"/>
        </w:rPr>
        <w:t xml:space="preserve">The new Bulk Billing Practice Incentive Program provides a </w:t>
      </w:r>
      <w:r w:rsidR="002B40BB">
        <w:rPr>
          <w:rFonts w:cs="Arial"/>
        </w:rPr>
        <w:t xml:space="preserve">quarterly </w:t>
      </w:r>
      <w:r>
        <w:rPr>
          <w:rFonts w:cs="Arial"/>
        </w:rPr>
        <w:t xml:space="preserve">12.5% </w:t>
      </w:r>
      <w:r w:rsidR="002B40BB">
        <w:rPr>
          <w:rFonts w:cs="Arial"/>
        </w:rPr>
        <w:t xml:space="preserve">incentive </w:t>
      </w:r>
      <w:r>
        <w:rPr>
          <w:rFonts w:cs="Arial"/>
        </w:rPr>
        <w:t>on top of the Medicare benefit</w:t>
      </w:r>
      <w:r w:rsidR="00C03C5D">
        <w:rPr>
          <w:rFonts w:cs="Arial"/>
        </w:rPr>
        <w:t xml:space="preserve"> for the service delivered</w:t>
      </w:r>
      <w:r>
        <w:rPr>
          <w:rFonts w:cs="Arial"/>
        </w:rPr>
        <w:t xml:space="preserve">. As the Medicare benefit for those services is indexed each year, the value of the 12.5% will also increase, since </w:t>
      </w:r>
      <w:r w:rsidR="002B40BB">
        <w:rPr>
          <w:rFonts w:cs="Arial"/>
        </w:rPr>
        <w:t>it</w:t>
      </w:r>
      <w:r>
        <w:rPr>
          <w:rFonts w:cs="Arial"/>
        </w:rPr>
        <w:t xml:space="preserve"> is calculated on the value of the underlying Medicare benefit.</w:t>
      </w:r>
    </w:p>
    <w:p w14:paraId="334187FA" w14:textId="77777777" w:rsidR="00CB7E45" w:rsidRPr="00140741" w:rsidRDefault="00CB7E45" w:rsidP="00140741">
      <w:pPr>
        <w:pStyle w:val="Heading3"/>
      </w:pPr>
      <w:r w:rsidRPr="00CB7E45">
        <w:t>Why do the calculations include a Medicare benefit higher than a standard Level B consultation?</w:t>
      </w:r>
    </w:p>
    <w:p w14:paraId="740A5E6E" w14:textId="77777777" w:rsidR="00CB7E45" w:rsidRDefault="00CB7E45" w:rsidP="00CB7E45">
      <w:pPr>
        <w:rPr>
          <w:rFonts w:cs="Arial"/>
        </w:rPr>
      </w:pPr>
      <w:r w:rsidRPr="00981A9D">
        <w:rPr>
          <w:rFonts w:cs="Arial"/>
        </w:rPr>
        <w:t xml:space="preserve">While a standard Level B consultation (MBS item 23) is the </w:t>
      </w:r>
      <w:proofErr w:type="gramStart"/>
      <w:r w:rsidRPr="00981A9D">
        <w:rPr>
          <w:rFonts w:cs="Arial"/>
        </w:rPr>
        <w:t>most commonly provided</w:t>
      </w:r>
      <w:proofErr w:type="gramEnd"/>
      <w:r w:rsidRPr="00981A9D">
        <w:rPr>
          <w:rFonts w:cs="Arial"/>
        </w:rPr>
        <w:t xml:space="preserve"> GP service, it is not the only service that GPs provide.</w:t>
      </w:r>
    </w:p>
    <w:p w14:paraId="4CD58F48" w14:textId="11179F08" w:rsidR="00CB7E45" w:rsidRPr="00981A9D" w:rsidRDefault="00CB7E45" w:rsidP="00CB7E45">
      <w:pPr>
        <w:rPr>
          <w:rFonts w:cs="Arial"/>
        </w:rPr>
      </w:pPr>
      <w:r w:rsidRPr="00981A9D">
        <w:rPr>
          <w:rFonts w:cs="Arial"/>
        </w:rPr>
        <w:lastRenderedPageBreak/>
        <w:t xml:space="preserve">GPs also provide longer consultations, Mental Health Care Plans and </w:t>
      </w:r>
      <w:r>
        <w:rPr>
          <w:rFonts w:cs="Arial"/>
        </w:rPr>
        <w:t>GP Management Plans</w:t>
      </w:r>
      <w:r w:rsidRPr="00981A9D">
        <w:rPr>
          <w:rFonts w:cs="Arial"/>
        </w:rPr>
        <w:t xml:space="preserve"> which have higher Medicare </w:t>
      </w:r>
      <w:r>
        <w:rPr>
          <w:rFonts w:cs="Arial"/>
        </w:rPr>
        <w:t>benefit</w:t>
      </w:r>
      <w:r w:rsidRPr="00981A9D">
        <w:rPr>
          <w:rFonts w:cs="Arial"/>
        </w:rPr>
        <w:t>s</w:t>
      </w:r>
      <w:r w:rsidR="00751A72">
        <w:rPr>
          <w:rFonts w:cs="Arial"/>
        </w:rPr>
        <w:t>,</w:t>
      </w:r>
      <w:r w:rsidR="002332B2" w:rsidRPr="00981A9D">
        <w:rPr>
          <w:rFonts w:cs="Arial"/>
        </w:rPr>
        <w:t xml:space="preserve"> </w:t>
      </w:r>
      <w:r w:rsidRPr="00981A9D">
        <w:rPr>
          <w:rFonts w:cs="Arial"/>
        </w:rPr>
        <w:t xml:space="preserve">as well as shorter consultations like Level A consultations, which have lower Medicare </w:t>
      </w:r>
      <w:r>
        <w:rPr>
          <w:rFonts w:cs="Arial"/>
        </w:rPr>
        <w:t>benefit</w:t>
      </w:r>
      <w:r w:rsidRPr="00981A9D">
        <w:rPr>
          <w:rFonts w:cs="Arial"/>
        </w:rPr>
        <w:t>s.</w:t>
      </w:r>
    </w:p>
    <w:p w14:paraId="37E69798" w14:textId="79D457E8" w:rsidR="00CB7E45" w:rsidRPr="00981A9D" w:rsidRDefault="00CB7E45" w:rsidP="00CB7E45">
      <w:pPr>
        <w:rPr>
          <w:rFonts w:cs="Arial"/>
        </w:rPr>
      </w:pPr>
      <w:r w:rsidRPr="00981A9D">
        <w:rPr>
          <w:rFonts w:cs="Arial"/>
        </w:rPr>
        <w:t xml:space="preserve">The average Medicare benefit used in the calculation is the average Medicare benefit across all GP services provided in </w:t>
      </w:r>
      <w:r w:rsidR="00235567">
        <w:rPr>
          <w:rFonts w:cs="Arial"/>
        </w:rPr>
        <w:t xml:space="preserve">metropolitan and rural areas in </w:t>
      </w:r>
      <w:r w:rsidRPr="00981A9D">
        <w:rPr>
          <w:rFonts w:cs="Arial"/>
        </w:rPr>
        <w:t>2023-24 and thus provides a more accurate picture of the mix of services that a GP provides</w:t>
      </w:r>
      <w:r>
        <w:rPr>
          <w:rFonts w:cs="Arial"/>
        </w:rPr>
        <w:t>, than just using the Level B benefit.</w:t>
      </w:r>
    </w:p>
    <w:p w14:paraId="24528547" w14:textId="746265B5" w:rsidR="00CB7E45" w:rsidRPr="00CB7E45" w:rsidRDefault="009C2C0F" w:rsidP="00CB7E45">
      <w:pPr>
        <w:pStyle w:val="Heading3"/>
      </w:pPr>
      <w:r>
        <w:t>Why don’t t</w:t>
      </w:r>
      <w:r w:rsidR="00CB7E45" w:rsidRPr="00981A9D">
        <w:t>he annual GP billings match my annual billings</w:t>
      </w:r>
      <w:r w:rsidR="00CB7E45">
        <w:t>?</w:t>
      </w:r>
    </w:p>
    <w:p w14:paraId="0CCFAD38" w14:textId="17A96C02" w:rsidR="00CB7E45" w:rsidRPr="00981A9D" w:rsidRDefault="00CB7E45" w:rsidP="00CB7E45">
      <w:pPr>
        <w:rPr>
          <w:rFonts w:cs="Arial"/>
        </w:rPr>
      </w:pPr>
      <w:r w:rsidRPr="00981A9D">
        <w:rPr>
          <w:rFonts w:cs="Arial"/>
        </w:rPr>
        <w:t xml:space="preserve">The annual billings in the calculations are based on averages of every GP service provided </w:t>
      </w:r>
      <w:r w:rsidR="00D25251">
        <w:rPr>
          <w:rFonts w:cs="Arial"/>
        </w:rPr>
        <w:t xml:space="preserve">in </w:t>
      </w:r>
      <w:r w:rsidR="00DD10A4">
        <w:rPr>
          <w:rFonts w:cs="Arial"/>
        </w:rPr>
        <w:t xml:space="preserve">metropolitan and rural areas </w:t>
      </w:r>
      <w:r w:rsidRPr="00981A9D">
        <w:rPr>
          <w:rFonts w:cs="Arial"/>
        </w:rPr>
        <w:t>in the 2023-24 financial year, with the assumptions included above.</w:t>
      </w:r>
      <w:r w:rsidR="00BE6F3E">
        <w:rPr>
          <w:rFonts w:cs="Arial"/>
        </w:rPr>
        <w:t xml:space="preserve"> The analysis is based on </w:t>
      </w:r>
      <w:r w:rsidR="00485D44">
        <w:rPr>
          <w:rFonts w:cs="Arial"/>
        </w:rPr>
        <w:t xml:space="preserve">the </w:t>
      </w:r>
      <w:r w:rsidR="00344C5E">
        <w:rPr>
          <w:rFonts w:cs="Arial"/>
        </w:rPr>
        <w:t xml:space="preserve">location of the </w:t>
      </w:r>
      <w:r w:rsidR="00485D44">
        <w:rPr>
          <w:rFonts w:cs="Arial"/>
        </w:rPr>
        <w:t>individual</w:t>
      </w:r>
      <w:r w:rsidR="009F525E">
        <w:rPr>
          <w:rFonts w:cs="Arial"/>
        </w:rPr>
        <w:t xml:space="preserve"> </w:t>
      </w:r>
      <w:r w:rsidR="00344C5E">
        <w:rPr>
          <w:rFonts w:cs="Arial"/>
        </w:rPr>
        <w:t xml:space="preserve">GP providers that deliver services </w:t>
      </w:r>
      <w:r w:rsidR="009F525E">
        <w:rPr>
          <w:rFonts w:cs="Arial"/>
        </w:rPr>
        <w:t>within metropolitan (</w:t>
      </w:r>
      <w:r w:rsidR="00344C5E">
        <w:rPr>
          <w:rFonts w:cs="Arial"/>
        </w:rPr>
        <w:t>MM</w:t>
      </w:r>
      <w:r w:rsidR="009F525E">
        <w:rPr>
          <w:rFonts w:cs="Arial"/>
        </w:rPr>
        <w:t xml:space="preserve">1) and rural (MM3 and MM4) areas. </w:t>
      </w:r>
    </w:p>
    <w:p w14:paraId="1634E835" w14:textId="7DE4D84C" w:rsidR="00CB7E45" w:rsidRDefault="00CB7E45" w:rsidP="00CB7E45">
      <w:pPr>
        <w:rPr>
          <w:rFonts w:cs="Arial"/>
        </w:rPr>
      </w:pPr>
      <w:r w:rsidRPr="00981A9D">
        <w:rPr>
          <w:rFonts w:cs="Arial"/>
        </w:rPr>
        <w:t xml:space="preserve">The extent to which a GP benefits from the </w:t>
      </w:r>
      <w:r w:rsidR="002F492B">
        <w:rPr>
          <w:rFonts w:cs="Arial"/>
        </w:rPr>
        <w:t>g</w:t>
      </w:r>
      <w:r w:rsidR="002F492B" w:rsidRPr="00981A9D">
        <w:rPr>
          <w:rFonts w:cs="Arial"/>
        </w:rPr>
        <w:t xml:space="preserve">overnment's </w:t>
      </w:r>
      <w:r w:rsidRPr="00981A9D">
        <w:rPr>
          <w:rFonts w:cs="Arial"/>
        </w:rPr>
        <w:t xml:space="preserve">bulk billing investments will ultimately be determined by a range of factors, including the extent to </w:t>
      </w:r>
      <w:r w:rsidR="00514455">
        <w:rPr>
          <w:rFonts w:cs="Arial"/>
        </w:rPr>
        <w:t>which they commit to bulk billing or</w:t>
      </w:r>
      <w:r w:rsidRPr="00981A9D">
        <w:rPr>
          <w:rFonts w:cs="Arial"/>
        </w:rPr>
        <w:t xml:space="preserve"> </w:t>
      </w:r>
      <w:r w:rsidR="00514455">
        <w:rPr>
          <w:rFonts w:cs="Arial"/>
        </w:rPr>
        <w:t xml:space="preserve">become part of a GP bulk </w:t>
      </w:r>
      <w:r w:rsidRPr="00981A9D">
        <w:rPr>
          <w:rFonts w:cs="Arial"/>
        </w:rPr>
        <w:t>billing practice once the new investments take effect from 1 November</w:t>
      </w:r>
      <w:r w:rsidR="00FA59E6">
        <w:rPr>
          <w:rFonts w:cs="Arial"/>
        </w:rPr>
        <w:t xml:space="preserve"> 2025</w:t>
      </w:r>
      <w:r w:rsidRPr="00981A9D">
        <w:rPr>
          <w:rFonts w:cs="Arial"/>
        </w:rPr>
        <w:t>.</w:t>
      </w:r>
    </w:p>
    <w:p w14:paraId="64E46C0F" w14:textId="5870E694" w:rsidR="00532091" w:rsidRPr="00DF3596" w:rsidRDefault="00532091" w:rsidP="00DF3596">
      <w:pPr>
        <w:rPr>
          <w:rFonts w:cs="Arial"/>
        </w:rPr>
      </w:pPr>
    </w:p>
    <w:sectPr w:rsidR="00532091" w:rsidRPr="00DF3596" w:rsidSect="00B53987">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5470" w14:textId="77777777" w:rsidR="00DB173F" w:rsidRDefault="00DB173F" w:rsidP="006B56BB">
      <w:r>
        <w:separator/>
      </w:r>
    </w:p>
    <w:p w14:paraId="249C3930" w14:textId="77777777" w:rsidR="00DB173F" w:rsidRDefault="00DB173F"/>
  </w:endnote>
  <w:endnote w:type="continuationSeparator" w:id="0">
    <w:p w14:paraId="011676A6" w14:textId="77777777" w:rsidR="00DB173F" w:rsidRDefault="00DB173F" w:rsidP="006B56BB">
      <w:r>
        <w:continuationSeparator/>
      </w:r>
    </w:p>
    <w:p w14:paraId="55D276BA" w14:textId="77777777" w:rsidR="00DB173F" w:rsidRDefault="00DB173F"/>
  </w:endnote>
  <w:endnote w:type="continuationNotice" w:id="1">
    <w:p w14:paraId="506FE327" w14:textId="77777777" w:rsidR="00DB173F" w:rsidRDefault="00DB1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EEED" w14:textId="2B32AB46" w:rsidR="00CB7E45" w:rsidRDefault="00CB7E45" w:rsidP="00CB7E45">
    <w:pPr>
      <w:pStyle w:val="Footer"/>
      <w:jc w:val="left"/>
    </w:pPr>
    <w:r>
      <w:t>Department of Health and Aged Care –</w:t>
    </w:r>
  </w:p>
  <w:p w14:paraId="24CE72E0" w14:textId="0C9901A2" w:rsidR="00B53987" w:rsidRDefault="00CB7E45" w:rsidP="00CB7E45">
    <w:pPr>
      <w:pStyle w:val="Footer"/>
      <w:jc w:val="center"/>
    </w:pPr>
    <w:r w:rsidRPr="00CB7E45">
      <w:t xml:space="preserve">The impact of bulk billing investments on GP earnings and billings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54B2" w14:textId="17F8A701" w:rsidR="00B53987" w:rsidRDefault="00000000" w:rsidP="00F876B0">
    <w:pPr>
      <w:pStyle w:val="Footer"/>
      <w:jc w:val="left"/>
    </w:pPr>
    <w:sdt>
      <w:sdtPr>
        <w:id w:val="-178737789"/>
        <w:docPartObj>
          <w:docPartGallery w:val="Page Numbers (Bottom of Page)"/>
          <w:docPartUnique/>
        </w:docPartObj>
      </w:sdtPr>
      <w:sdtContent>
        <w:r w:rsidR="00F876B0">
          <w:t xml:space="preserve">Department of Health and Aged Care – </w:t>
        </w:r>
        <w:r w:rsidR="00F876B0">
          <w:br/>
        </w:r>
        <w:r w:rsidR="00F876B0" w:rsidRPr="00CB7E45">
          <w:t>The impact of bulk billing investments on GP earnings and billings</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F52B" w14:textId="77777777" w:rsidR="00DB173F" w:rsidRDefault="00DB173F" w:rsidP="006B56BB">
      <w:r>
        <w:separator/>
      </w:r>
    </w:p>
    <w:p w14:paraId="2023219A" w14:textId="77777777" w:rsidR="00DB173F" w:rsidRDefault="00DB173F"/>
  </w:footnote>
  <w:footnote w:type="continuationSeparator" w:id="0">
    <w:p w14:paraId="15B41A11" w14:textId="77777777" w:rsidR="00DB173F" w:rsidRDefault="00DB173F" w:rsidP="006B56BB">
      <w:r>
        <w:continuationSeparator/>
      </w:r>
    </w:p>
    <w:p w14:paraId="3958B600" w14:textId="77777777" w:rsidR="00DB173F" w:rsidRDefault="00DB173F"/>
  </w:footnote>
  <w:footnote w:type="continuationNotice" w:id="1">
    <w:p w14:paraId="222D51A8" w14:textId="77777777" w:rsidR="00DB173F" w:rsidRDefault="00DB173F"/>
  </w:footnote>
  <w:footnote w:id="2">
    <w:p w14:paraId="03A0DD9C" w14:textId="77777777" w:rsidR="004920EE" w:rsidRPr="00944E13" w:rsidRDefault="004920EE" w:rsidP="004920EE">
      <w:pPr>
        <w:pStyle w:val="FootnoteText"/>
        <w:rPr>
          <w:sz w:val="18"/>
          <w:szCs w:val="18"/>
        </w:rPr>
      </w:pPr>
      <w:r w:rsidRPr="00944E13">
        <w:rPr>
          <w:rStyle w:val="FootnoteReference"/>
          <w:sz w:val="18"/>
          <w:szCs w:val="18"/>
        </w:rPr>
        <w:footnoteRef/>
      </w:r>
      <w:r w:rsidRPr="00944E13">
        <w:rPr>
          <w:sz w:val="18"/>
          <w:szCs w:val="18"/>
        </w:rPr>
        <w:t xml:space="preserve"> </w:t>
      </w:r>
      <w:proofErr w:type="gramStart"/>
      <w:r w:rsidRPr="00944E13">
        <w:rPr>
          <w:sz w:val="18"/>
          <w:szCs w:val="18"/>
        </w:rPr>
        <w:t>For the purpose of</w:t>
      </w:r>
      <w:proofErr w:type="gramEnd"/>
      <w:r w:rsidRPr="00944E13">
        <w:rPr>
          <w:sz w:val="18"/>
          <w:szCs w:val="18"/>
        </w:rPr>
        <w:t xml:space="preserve"> this Fact Sheet, a ‘GP with average rates of bulk billing’ refers to a GP with the average split of services to </w:t>
      </w:r>
      <w:proofErr w:type="spellStart"/>
      <w:r w:rsidRPr="00944E13">
        <w:rPr>
          <w:sz w:val="18"/>
          <w:szCs w:val="18"/>
        </w:rPr>
        <w:t>BBI</w:t>
      </w:r>
      <w:proofErr w:type="spellEnd"/>
      <w:r w:rsidRPr="00944E13">
        <w:rPr>
          <w:sz w:val="18"/>
          <w:szCs w:val="18"/>
        </w:rPr>
        <w:t xml:space="preserve"> eligible patients (aged under 16 or holders of Commonwealth concession cards) and who bulk bills each at the average rate (details in the FAQ section below).</w:t>
      </w:r>
    </w:p>
  </w:footnote>
  <w:footnote w:id="3">
    <w:p w14:paraId="3C6CEAFC" w14:textId="42511507" w:rsidR="00230A9A" w:rsidRDefault="00230A9A">
      <w:pPr>
        <w:pStyle w:val="FootnoteText"/>
      </w:pPr>
      <w:r w:rsidRPr="003A5247">
        <w:rPr>
          <w:rStyle w:val="FootnoteReference"/>
          <w:sz w:val="18"/>
          <w:szCs w:val="18"/>
        </w:rPr>
        <w:footnoteRef/>
      </w:r>
      <w:r w:rsidRPr="003A5247">
        <w:rPr>
          <w:sz w:val="18"/>
          <w:szCs w:val="18"/>
        </w:rPr>
        <w:t xml:space="preserve"> Most GPs contribute a portion of their MBS billings or patient fees to the General Practice they work at to cover costs of running the Practice. The size of the contribution varies, but recent industry benchmarks suggest a 30% practice fee is becoming the norm.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15C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B4FE" w14:textId="77777777" w:rsidR="00B53987" w:rsidRDefault="00B53987">
    <w:pPr>
      <w:pStyle w:val="Header"/>
    </w:pPr>
    <w:r>
      <w:rPr>
        <w:noProof/>
        <w:lang w:eastAsia="en-AU"/>
      </w:rPr>
      <w:drawing>
        <wp:inline distT="0" distB="0" distL="0" distR="0" wp14:anchorId="20A8091B" wp14:editId="697224B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A2C865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0751A08"/>
    <w:multiLevelType w:val="hybridMultilevel"/>
    <w:tmpl w:val="BAE8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6765BE"/>
    <w:multiLevelType w:val="hybridMultilevel"/>
    <w:tmpl w:val="D876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F7160FA"/>
    <w:multiLevelType w:val="hybridMultilevel"/>
    <w:tmpl w:val="FAA097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8187210">
    <w:abstractNumId w:val="7"/>
  </w:num>
  <w:num w:numId="2" w16cid:durableId="2105878216">
    <w:abstractNumId w:val="16"/>
  </w:num>
  <w:num w:numId="3" w16cid:durableId="671226532">
    <w:abstractNumId w:val="19"/>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4"/>
  </w:num>
  <w:num w:numId="8" w16cid:durableId="407311294">
    <w:abstractNumId w:val="18"/>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0"/>
  </w:num>
  <w:num w:numId="17" w16cid:durableId="803278780">
    <w:abstractNumId w:val="10"/>
  </w:num>
  <w:num w:numId="18" w16cid:durableId="364212072">
    <w:abstractNumId w:val="11"/>
  </w:num>
  <w:num w:numId="19" w16cid:durableId="808983311">
    <w:abstractNumId w:val="12"/>
  </w:num>
  <w:num w:numId="20" w16cid:durableId="1108499705">
    <w:abstractNumId w:val="10"/>
  </w:num>
  <w:num w:numId="21" w16cid:durableId="2135168833">
    <w:abstractNumId w:val="12"/>
  </w:num>
  <w:num w:numId="22" w16cid:durableId="1331519124">
    <w:abstractNumId w:val="20"/>
  </w:num>
  <w:num w:numId="23" w16cid:durableId="768160667">
    <w:abstractNumId w:val="16"/>
  </w:num>
  <w:num w:numId="24" w16cid:durableId="501624301">
    <w:abstractNumId w:val="19"/>
  </w:num>
  <w:num w:numId="25" w16cid:durableId="1331903733">
    <w:abstractNumId w:val="8"/>
  </w:num>
  <w:num w:numId="26" w16cid:durableId="350230098">
    <w:abstractNumId w:val="15"/>
  </w:num>
  <w:num w:numId="27" w16cid:durableId="1711959105">
    <w:abstractNumId w:val="17"/>
  </w:num>
  <w:num w:numId="28" w16cid:durableId="844517307">
    <w:abstractNumId w:val="10"/>
  </w:num>
  <w:num w:numId="29" w16cid:durableId="110370118">
    <w:abstractNumId w:val="13"/>
  </w:num>
  <w:num w:numId="30" w16cid:durableId="7022885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91"/>
    <w:rsid w:val="00001088"/>
    <w:rsid w:val="00002669"/>
    <w:rsid w:val="00003743"/>
    <w:rsid w:val="000047B4"/>
    <w:rsid w:val="00005712"/>
    <w:rsid w:val="000071B5"/>
    <w:rsid w:val="00007D27"/>
    <w:rsid w:val="00007FD8"/>
    <w:rsid w:val="000117F8"/>
    <w:rsid w:val="0001460F"/>
    <w:rsid w:val="0001466D"/>
    <w:rsid w:val="00022629"/>
    <w:rsid w:val="00025AC6"/>
    <w:rsid w:val="00026139"/>
    <w:rsid w:val="00027601"/>
    <w:rsid w:val="000313A0"/>
    <w:rsid w:val="00033321"/>
    <w:rsid w:val="000338E5"/>
    <w:rsid w:val="00033ECC"/>
    <w:rsid w:val="0003422F"/>
    <w:rsid w:val="00037558"/>
    <w:rsid w:val="00041202"/>
    <w:rsid w:val="000412D2"/>
    <w:rsid w:val="00046FF0"/>
    <w:rsid w:val="00050176"/>
    <w:rsid w:val="00050342"/>
    <w:rsid w:val="00055A0A"/>
    <w:rsid w:val="00056DFF"/>
    <w:rsid w:val="00063471"/>
    <w:rsid w:val="00066329"/>
    <w:rsid w:val="00067456"/>
    <w:rsid w:val="00071506"/>
    <w:rsid w:val="0007154F"/>
    <w:rsid w:val="0008099A"/>
    <w:rsid w:val="00081AB1"/>
    <w:rsid w:val="00082F52"/>
    <w:rsid w:val="00090316"/>
    <w:rsid w:val="00093981"/>
    <w:rsid w:val="00093DA2"/>
    <w:rsid w:val="00095998"/>
    <w:rsid w:val="0009743C"/>
    <w:rsid w:val="000A090B"/>
    <w:rsid w:val="000A5AEA"/>
    <w:rsid w:val="000A709B"/>
    <w:rsid w:val="000B067A"/>
    <w:rsid w:val="000B1540"/>
    <w:rsid w:val="000B1B8A"/>
    <w:rsid w:val="000B1E53"/>
    <w:rsid w:val="000B2726"/>
    <w:rsid w:val="000B33FD"/>
    <w:rsid w:val="000B4ABA"/>
    <w:rsid w:val="000C1BF3"/>
    <w:rsid w:val="000C4B16"/>
    <w:rsid w:val="000C4F16"/>
    <w:rsid w:val="000C50C3"/>
    <w:rsid w:val="000C5E14"/>
    <w:rsid w:val="000D11B2"/>
    <w:rsid w:val="000D21F6"/>
    <w:rsid w:val="000D3C65"/>
    <w:rsid w:val="000D4500"/>
    <w:rsid w:val="000D7AEA"/>
    <w:rsid w:val="000E08CD"/>
    <w:rsid w:val="000E2C66"/>
    <w:rsid w:val="000E2FED"/>
    <w:rsid w:val="000E7DDD"/>
    <w:rsid w:val="000F123C"/>
    <w:rsid w:val="000F2807"/>
    <w:rsid w:val="000F2FED"/>
    <w:rsid w:val="000F3C42"/>
    <w:rsid w:val="00103179"/>
    <w:rsid w:val="0010616D"/>
    <w:rsid w:val="00110478"/>
    <w:rsid w:val="00111BE4"/>
    <w:rsid w:val="0011711B"/>
    <w:rsid w:val="00117F8A"/>
    <w:rsid w:val="00121AB7"/>
    <w:rsid w:val="00121B9B"/>
    <w:rsid w:val="00122ADC"/>
    <w:rsid w:val="00123988"/>
    <w:rsid w:val="0012736F"/>
    <w:rsid w:val="00130F59"/>
    <w:rsid w:val="00133EC0"/>
    <w:rsid w:val="001348C7"/>
    <w:rsid w:val="0013533F"/>
    <w:rsid w:val="00140741"/>
    <w:rsid w:val="0014186C"/>
    <w:rsid w:val="00141CE5"/>
    <w:rsid w:val="00142EE9"/>
    <w:rsid w:val="00144908"/>
    <w:rsid w:val="0015499C"/>
    <w:rsid w:val="00156B3B"/>
    <w:rsid w:val="00156D96"/>
    <w:rsid w:val="001571C7"/>
    <w:rsid w:val="00161094"/>
    <w:rsid w:val="00164790"/>
    <w:rsid w:val="00173B0F"/>
    <w:rsid w:val="0017665C"/>
    <w:rsid w:val="00177AD2"/>
    <w:rsid w:val="001810BC"/>
    <w:rsid w:val="001815A8"/>
    <w:rsid w:val="001840FA"/>
    <w:rsid w:val="00190079"/>
    <w:rsid w:val="00190697"/>
    <w:rsid w:val="001940A8"/>
    <w:rsid w:val="0019622E"/>
    <w:rsid w:val="001966A7"/>
    <w:rsid w:val="001A360C"/>
    <w:rsid w:val="001A4627"/>
    <w:rsid w:val="001A4979"/>
    <w:rsid w:val="001A6337"/>
    <w:rsid w:val="001B15D3"/>
    <w:rsid w:val="001B3443"/>
    <w:rsid w:val="001B529A"/>
    <w:rsid w:val="001C0326"/>
    <w:rsid w:val="001C192F"/>
    <w:rsid w:val="001C35A7"/>
    <w:rsid w:val="001C3C42"/>
    <w:rsid w:val="001C460D"/>
    <w:rsid w:val="001D2F9D"/>
    <w:rsid w:val="001D334D"/>
    <w:rsid w:val="001D4095"/>
    <w:rsid w:val="001D53CC"/>
    <w:rsid w:val="001D7869"/>
    <w:rsid w:val="001E677D"/>
    <w:rsid w:val="0020130C"/>
    <w:rsid w:val="002026CD"/>
    <w:rsid w:val="002033FC"/>
    <w:rsid w:val="002044BB"/>
    <w:rsid w:val="00204793"/>
    <w:rsid w:val="002047D7"/>
    <w:rsid w:val="00204A76"/>
    <w:rsid w:val="00206000"/>
    <w:rsid w:val="00210B09"/>
    <w:rsid w:val="00210C9E"/>
    <w:rsid w:val="00211840"/>
    <w:rsid w:val="002121AD"/>
    <w:rsid w:val="00215CAF"/>
    <w:rsid w:val="00216476"/>
    <w:rsid w:val="00216759"/>
    <w:rsid w:val="002179B1"/>
    <w:rsid w:val="00220E5F"/>
    <w:rsid w:val="002212B5"/>
    <w:rsid w:val="00221A9E"/>
    <w:rsid w:val="00225094"/>
    <w:rsid w:val="00226668"/>
    <w:rsid w:val="00230A9A"/>
    <w:rsid w:val="00231134"/>
    <w:rsid w:val="00231FDC"/>
    <w:rsid w:val="00232F5D"/>
    <w:rsid w:val="002332B2"/>
    <w:rsid w:val="00233809"/>
    <w:rsid w:val="00235567"/>
    <w:rsid w:val="00240046"/>
    <w:rsid w:val="002416D6"/>
    <w:rsid w:val="00243615"/>
    <w:rsid w:val="00246BC9"/>
    <w:rsid w:val="0024797F"/>
    <w:rsid w:val="00247B0D"/>
    <w:rsid w:val="0025105E"/>
    <w:rsid w:val="0025119E"/>
    <w:rsid w:val="00251269"/>
    <w:rsid w:val="002535C0"/>
    <w:rsid w:val="00254135"/>
    <w:rsid w:val="00255BAA"/>
    <w:rsid w:val="002579FE"/>
    <w:rsid w:val="00260552"/>
    <w:rsid w:val="002620CA"/>
    <w:rsid w:val="0026311C"/>
    <w:rsid w:val="00264215"/>
    <w:rsid w:val="00264BA0"/>
    <w:rsid w:val="0026668C"/>
    <w:rsid w:val="0026694C"/>
    <w:rsid w:val="00266AC1"/>
    <w:rsid w:val="0027178C"/>
    <w:rsid w:val="0027190C"/>
    <w:rsid w:val="002719FA"/>
    <w:rsid w:val="002724F4"/>
    <w:rsid w:val="00272668"/>
    <w:rsid w:val="0027330B"/>
    <w:rsid w:val="0028036C"/>
    <w:rsid w:val="002803AD"/>
    <w:rsid w:val="00282052"/>
    <w:rsid w:val="002831A3"/>
    <w:rsid w:val="00284377"/>
    <w:rsid w:val="0028519E"/>
    <w:rsid w:val="002856A5"/>
    <w:rsid w:val="002872ED"/>
    <w:rsid w:val="00287FE1"/>
    <w:rsid w:val="002905C2"/>
    <w:rsid w:val="002926DF"/>
    <w:rsid w:val="00295AF2"/>
    <w:rsid w:val="00295C91"/>
    <w:rsid w:val="00297151"/>
    <w:rsid w:val="002A1077"/>
    <w:rsid w:val="002A337C"/>
    <w:rsid w:val="002A7E25"/>
    <w:rsid w:val="002B20E6"/>
    <w:rsid w:val="002B40BB"/>
    <w:rsid w:val="002B42A3"/>
    <w:rsid w:val="002B5120"/>
    <w:rsid w:val="002C0CDD"/>
    <w:rsid w:val="002C38C4"/>
    <w:rsid w:val="002C60D3"/>
    <w:rsid w:val="002D0135"/>
    <w:rsid w:val="002D4A64"/>
    <w:rsid w:val="002D687C"/>
    <w:rsid w:val="002D6A46"/>
    <w:rsid w:val="002D732E"/>
    <w:rsid w:val="002E1A1D"/>
    <w:rsid w:val="002E4081"/>
    <w:rsid w:val="002E5B78"/>
    <w:rsid w:val="002F2FC5"/>
    <w:rsid w:val="002F3AE3"/>
    <w:rsid w:val="002F492B"/>
    <w:rsid w:val="002F4C8B"/>
    <w:rsid w:val="002F4DEC"/>
    <w:rsid w:val="00302C5C"/>
    <w:rsid w:val="0030464B"/>
    <w:rsid w:val="0030786C"/>
    <w:rsid w:val="00314266"/>
    <w:rsid w:val="003151A6"/>
    <w:rsid w:val="003156B2"/>
    <w:rsid w:val="00316566"/>
    <w:rsid w:val="003233DE"/>
    <w:rsid w:val="00323A61"/>
    <w:rsid w:val="0032466B"/>
    <w:rsid w:val="00324D88"/>
    <w:rsid w:val="00325A82"/>
    <w:rsid w:val="00331E7D"/>
    <w:rsid w:val="003330EB"/>
    <w:rsid w:val="00336AEF"/>
    <w:rsid w:val="003371AA"/>
    <w:rsid w:val="00340E64"/>
    <w:rsid w:val="003415FD"/>
    <w:rsid w:val="0034174C"/>
    <w:rsid w:val="003425F4"/>
    <w:rsid w:val="003429F0"/>
    <w:rsid w:val="00344C5E"/>
    <w:rsid w:val="00345A82"/>
    <w:rsid w:val="0035071C"/>
    <w:rsid w:val="0035097A"/>
    <w:rsid w:val="003520DA"/>
    <w:rsid w:val="003536CC"/>
    <w:rsid w:val="003540A4"/>
    <w:rsid w:val="00357389"/>
    <w:rsid w:val="00357BCC"/>
    <w:rsid w:val="00360E4E"/>
    <w:rsid w:val="00360F16"/>
    <w:rsid w:val="003649B1"/>
    <w:rsid w:val="003673AE"/>
    <w:rsid w:val="00367EEB"/>
    <w:rsid w:val="00370AAA"/>
    <w:rsid w:val="00370AE9"/>
    <w:rsid w:val="00370DDE"/>
    <w:rsid w:val="00375F77"/>
    <w:rsid w:val="00377C2F"/>
    <w:rsid w:val="00381BBE"/>
    <w:rsid w:val="00382655"/>
    <w:rsid w:val="00382903"/>
    <w:rsid w:val="003846FF"/>
    <w:rsid w:val="003857D4"/>
    <w:rsid w:val="00385AD4"/>
    <w:rsid w:val="00385E93"/>
    <w:rsid w:val="00387924"/>
    <w:rsid w:val="0039384D"/>
    <w:rsid w:val="00395C23"/>
    <w:rsid w:val="003A28B7"/>
    <w:rsid w:val="003A2E4F"/>
    <w:rsid w:val="003A31DF"/>
    <w:rsid w:val="003A4438"/>
    <w:rsid w:val="003A4E47"/>
    <w:rsid w:val="003A5013"/>
    <w:rsid w:val="003A5078"/>
    <w:rsid w:val="003A5247"/>
    <w:rsid w:val="003A62DD"/>
    <w:rsid w:val="003A775A"/>
    <w:rsid w:val="003A7A28"/>
    <w:rsid w:val="003B0528"/>
    <w:rsid w:val="003B1CAA"/>
    <w:rsid w:val="003B213A"/>
    <w:rsid w:val="003B43AD"/>
    <w:rsid w:val="003B4797"/>
    <w:rsid w:val="003B578B"/>
    <w:rsid w:val="003B6AF7"/>
    <w:rsid w:val="003B7067"/>
    <w:rsid w:val="003C0FEC"/>
    <w:rsid w:val="003C1033"/>
    <w:rsid w:val="003C23C2"/>
    <w:rsid w:val="003C2AC8"/>
    <w:rsid w:val="003D033A"/>
    <w:rsid w:val="003D17F9"/>
    <w:rsid w:val="003D2D88"/>
    <w:rsid w:val="003D41EA"/>
    <w:rsid w:val="003D43BB"/>
    <w:rsid w:val="003D4850"/>
    <w:rsid w:val="003D535A"/>
    <w:rsid w:val="003D67AE"/>
    <w:rsid w:val="003D7100"/>
    <w:rsid w:val="003E030B"/>
    <w:rsid w:val="003E5265"/>
    <w:rsid w:val="003F0955"/>
    <w:rsid w:val="003F1B85"/>
    <w:rsid w:val="003F5F4D"/>
    <w:rsid w:val="003F646F"/>
    <w:rsid w:val="003F735D"/>
    <w:rsid w:val="00400A89"/>
    <w:rsid w:val="00400F00"/>
    <w:rsid w:val="00404F27"/>
    <w:rsid w:val="00404F8B"/>
    <w:rsid w:val="00405256"/>
    <w:rsid w:val="00410031"/>
    <w:rsid w:val="00415C81"/>
    <w:rsid w:val="00424579"/>
    <w:rsid w:val="00425812"/>
    <w:rsid w:val="00432378"/>
    <w:rsid w:val="00440D65"/>
    <w:rsid w:val="004435E6"/>
    <w:rsid w:val="004445D2"/>
    <w:rsid w:val="0044676E"/>
    <w:rsid w:val="00447E31"/>
    <w:rsid w:val="004509A6"/>
    <w:rsid w:val="0045175B"/>
    <w:rsid w:val="00452568"/>
    <w:rsid w:val="00453923"/>
    <w:rsid w:val="00453FA0"/>
    <w:rsid w:val="00454B9B"/>
    <w:rsid w:val="00457858"/>
    <w:rsid w:val="00460B0B"/>
    <w:rsid w:val="00461023"/>
    <w:rsid w:val="00462FAC"/>
    <w:rsid w:val="00464631"/>
    <w:rsid w:val="00464B79"/>
    <w:rsid w:val="004668E4"/>
    <w:rsid w:val="00466A48"/>
    <w:rsid w:val="00467BBF"/>
    <w:rsid w:val="0047060F"/>
    <w:rsid w:val="00475CDA"/>
    <w:rsid w:val="004839B1"/>
    <w:rsid w:val="0048593C"/>
    <w:rsid w:val="00485D44"/>
    <w:rsid w:val="00485D70"/>
    <w:rsid w:val="004867E2"/>
    <w:rsid w:val="004920EE"/>
    <w:rsid w:val="004929A9"/>
    <w:rsid w:val="00493190"/>
    <w:rsid w:val="004935FE"/>
    <w:rsid w:val="004A163F"/>
    <w:rsid w:val="004A4ACF"/>
    <w:rsid w:val="004A69EF"/>
    <w:rsid w:val="004A6C7C"/>
    <w:rsid w:val="004A78D9"/>
    <w:rsid w:val="004B3BEB"/>
    <w:rsid w:val="004C028D"/>
    <w:rsid w:val="004C0EBC"/>
    <w:rsid w:val="004C1A52"/>
    <w:rsid w:val="004C1BCD"/>
    <w:rsid w:val="004C604D"/>
    <w:rsid w:val="004C6BCF"/>
    <w:rsid w:val="004D1C36"/>
    <w:rsid w:val="004D2D8A"/>
    <w:rsid w:val="004D40F9"/>
    <w:rsid w:val="004D4411"/>
    <w:rsid w:val="004D58BF"/>
    <w:rsid w:val="004D5D7B"/>
    <w:rsid w:val="004E3FAA"/>
    <w:rsid w:val="004E4335"/>
    <w:rsid w:val="004E6D9B"/>
    <w:rsid w:val="004E6E3A"/>
    <w:rsid w:val="004E760E"/>
    <w:rsid w:val="004F13EE"/>
    <w:rsid w:val="004F14E4"/>
    <w:rsid w:val="004F2022"/>
    <w:rsid w:val="004F2FBD"/>
    <w:rsid w:val="004F4B64"/>
    <w:rsid w:val="004F5643"/>
    <w:rsid w:val="004F7C05"/>
    <w:rsid w:val="0050161E"/>
    <w:rsid w:val="00501C94"/>
    <w:rsid w:val="00506432"/>
    <w:rsid w:val="00506E82"/>
    <w:rsid w:val="0051037D"/>
    <w:rsid w:val="00510B82"/>
    <w:rsid w:val="005114E9"/>
    <w:rsid w:val="00514455"/>
    <w:rsid w:val="0052051D"/>
    <w:rsid w:val="00521ED4"/>
    <w:rsid w:val="00532091"/>
    <w:rsid w:val="005339FE"/>
    <w:rsid w:val="00534A5A"/>
    <w:rsid w:val="005365C3"/>
    <w:rsid w:val="00540374"/>
    <w:rsid w:val="0054505A"/>
    <w:rsid w:val="00545EE6"/>
    <w:rsid w:val="00550D51"/>
    <w:rsid w:val="0055360F"/>
    <w:rsid w:val="005538D7"/>
    <w:rsid w:val="005550E7"/>
    <w:rsid w:val="005564FB"/>
    <w:rsid w:val="005572C7"/>
    <w:rsid w:val="005650ED"/>
    <w:rsid w:val="00565489"/>
    <w:rsid w:val="005662AB"/>
    <w:rsid w:val="005746B9"/>
    <w:rsid w:val="00575754"/>
    <w:rsid w:val="00580276"/>
    <w:rsid w:val="00581B99"/>
    <w:rsid w:val="00581FBA"/>
    <w:rsid w:val="005841F2"/>
    <w:rsid w:val="00585511"/>
    <w:rsid w:val="00586F58"/>
    <w:rsid w:val="00591E20"/>
    <w:rsid w:val="00592B82"/>
    <w:rsid w:val="00595408"/>
    <w:rsid w:val="00595E84"/>
    <w:rsid w:val="005A0C59"/>
    <w:rsid w:val="005A48EB"/>
    <w:rsid w:val="005A6CFB"/>
    <w:rsid w:val="005B0EA7"/>
    <w:rsid w:val="005B222F"/>
    <w:rsid w:val="005B4F38"/>
    <w:rsid w:val="005B5434"/>
    <w:rsid w:val="005B7DFD"/>
    <w:rsid w:val="005C27E8"/>
    <w:rsid w:val="005C5AEB"/>
    <w:rsid w:val="005D32F7"/>
    <w:rsid w:val="005E0A3F"/>
    <w:rsid w:val="005E2876"/>
    <w:rsid w:val="005E60DD"/>
    <w:rsid w:val="005E6883"/>
    <w:rsid w:val="005E76F3"/>
    <w:rsid w:val="005E772F"/>
    <w:rsid w:val="005E7E2F"/>
    <w:rsid w:val="005F4ECA"/>
    <w:rsid w:val="00600338"/>
    <w:rsid w:val="006035C0"/>
    <w:rsid w:val="006041BE"/>
    <w:rsid w:val="006043C7"/>
    <w:rsid w:val="00610462"/>
    <w:rsid w:val="0061115F"/>
    <w:rsid w:val="00624B52"/>
    <w:rsid w:val="00630794"/>
    <w:rsid w:val="00631DF4"/>
    <w:rsid w:val="0063252E"/>
    <w:rsid w:val="00632C7E"/>
    <w:rsid w:val="00633399"/>
    <w:rsid w:val="00634175"/>
    <w:rsid w:val="0063432A"/>
    <w:rsid w:val="00637C3B"/>
    <w:rsid w:val="006408AC"/>
    <w:rsid w:val="006423F2"/>
    <w:rsid w:val="006511B6"/>
    <w:rsid w:val="0065421D"/>
    <w:rsid w:val="00655704"/>
    <w:rsid w:val="006574DA"/>
    <w:rsid w:val="00657EC6"/>
    <w:rsid w:val="00657FF8"/>
    <w:rsid w:val="00662EED"/>
    <w:rsid w:val="00670D99"/>
    <w:rsid w:val="00670E2B"/>
    <w:rsid w:val="00672D23"/>
    <w:rsid w:val="006734BB"/>
    <w:rsid w:val="0067697A"/>
    <w:rsid w:val="006821EB"/>
    <w:rsid w:val="00685342"/>
    <w:rsid w:val="00685424"/>
    <w:rsid w:val="006869C0"/>
    <w:rsid w:val="00687720"/>
    <w:rsid w:val="006917A9"/>
    <w:rsid w:val="006939A1"/>
    <w:rsid w:val="0069794A"/>
    <w:rsid w:val="00697BB1"/>
    <w:rsid w:val="006B2286"/>
    <w:rsid w:val="006B3ADF"/>
    <w:rsid w:val="006B3B7C"/>
    <w:rsid w:val="006B43FE"/>
    <w:rsid w:val="006B496B"/>
    <w:rsid w:val="006B56BB"/>
    <w:rsid w:val="006B6755"/>
    <w:rsid w:val="006B797D"/>
    <w:rsid w:val="006C00D9"/>
    <w:rsid w:val="006C3785"/>
    <w:rsid w:val="006C77A8"/>
    <w:rsid w:val="006D4098"/>
    <w:rsid w:val="006D455B"/>
    <w:rsid w:val="006D7681"/>
    <w:rsid w:val="006D7B2E"/>
    <w:rsid w:val="006E02EA"/>
    <w:rsid w:val="006E06CE"/>
    <w:rsid w:val="006E0968"/>
    <w:rsid w:val="006E2AF6"/>
    <w:rsid w:val="006E45D5"/>
    <w:rsid w:val="006F19B1"/>
    <w:rsid w:val="006F39D5"/>
    <w:rsid w:val="00701275"/>
    <w:rsid w:val="007068B6"/>
    <w:rsid w:val="007070C0"/>
    <w:rsid w:val="00707662"/>
    <w:rsid w:val="00707F56"/>
    <w:rsid w:val="00713558"/>
    <w:rsid w:val="00717775"/>
    <w:rsid w:val="00720D08"/>
    <w:rsid w:val="00721391"/>
    <w:rsid w:val="007263B9"/>
    <w:rsid w:val="007302B9"/>
    <w:rsid w:val="007334F8"/>
    <w:rsid w:val="007339CD"/>
    <w:rsid w:val="00733A19"/>
    <w:rsid w:val="007359D8"/>
    <w:rsid w:val="007362D4"/>
    <w:rsid w:val="007379C5"/>
    <w:rsid w:val="00743318"/>
    <w:rsid w:val="00751A72"/>
    <w:rsid w:val="007521C9"/>
    <w:rsid w:val="00761A5F"/>
    <w:rsid w:val="00761AB6"/>
    <w:rsid w:val="0076476D"/>
    <w:rsid w:val="00764C8E"/>
    <w:rsid w:val="0076672A"/>
    <w:rsid w:val="00767705"/>
    <w:rsid w:val="00767B81"/>
    <w:rsid w:val="00775E45"/>
    <w:rsid w:val="00776E74"/>
    <w:rsid w:val="007810B1"/>
    <w:rsid w:val="00784318"/>
    <w:rsid w:val="00785169"/>
    <w:rsid w:val="0079284E"/>
    <w:rsid w:val="007954AB"/>
    <w:rsid w:val="00797247"/>
    <w:rsid w:val="007A14C5"/>
    <w:rsid w:val="007A3ECD"/>
    <w:rsid w:val="007A4A10"/>
    <w:rsid w:val="007A4C15"/>
    <w:rsid w:val="007B1760"/>
    <w:rsid w:val="007B413D"/>
    <w:rsid w:val="007C1FDC"/>
    <w:rsid w:val="007C6D9C"/>
    <w:rsid w:val="007C7DDB"/>
    <w:rsid w:val="007D2CC7"/>
    <w:rsid w:val="007D3A93"/>
    <w:rsid w:val="007D4EB2"/>
    <w:rsid w:val="007D673D"/>
    <w:rsid w:val="007E06D4"/>
    <w:rsid w:val="007E0FB8"/>
    <w:rsid w:val="007E4D09"/>
    <w:rsid w:val="007E5622"/>
    <w:rsid w:val="007F2220"/>
    <w:rsid w:val="007F3D28"/>
    <w:rsid w:val="007F4B3E"/>
    <w:rsid w:val="007F5A97"/>
    <w:rsid w:val="007F6EB6"/>
    <w:rsid w:val="007F7552"/>
    <w:rsid w:val="00805271"/>
    <w:rsid w:val="00805A3B"/>
    <w:rsid w:val="008127AF"/>
    <w:rsid w:val="00812B46"/>
    <w:rsid w:val="008153CF"/>
    <w:rsid w:val="00815700"/>
    <w:rsid w:val="0082246B"/>
    <w:rsid w:val="008264EB"/>
    <w:rsid w:val="00826B8F"/>
    <w:rsid w:val="008307F5"/>
    <w:rsid w:val="00831E8A"/>
    <w:rsid w:val="00835C76"/>
    <w:rsid w:val="008376E2"/>
    <w:rsid w:val="00843049"/>
    <w:rsid w:val="0084485F"/>
    <w:rsid w:val="00844A5B"/>
    <w:rsid w:val="00844C41"/>
    <w:rsid w:val="00845C84"/>
    <w:rsid w:val="008510A4"/>
    <w:rsid w:val="0085209B"/>
    <w:rsid w:val="00854CA1"/>
    <w:rsid w:val="00856B66"/>
    <w:rsid w:val="008601AC"/>
    <w:rsid w:val="00860266"/>
    <w:rsid w:val="00861A5F"/>
    <w:rsid w:val="00863A31"/>
    <w:rsid w:val="008644AD"/>
    <w:rsid w:val="00865735"/>
    <w:rsid w:val="00865DDB"/>
    <w:rsid w:val="00865E12"/>
    <w:rsid w:val="00867538"/>
    <w:rsid w:val="00872260"/>
    <w:rsid w:val="00873D90"/>
    <w:rsid w:val="00873FC8"/>
    <w:rsid w:val="008760D3"/>
    <w:rsid w:val="008805F5"/>
    <w:rsid w:val="00882390"/>
    <w:rsid w:val="00882F18"/>
    <w:rsid w:val="00884C63"/>
    <w:rsid w:val="00885908"/>
    <w:rsid w:val="008864B7"/>
    <w:rsid w:val="008917AF"/>
    <w:rsid w:val="0089677E"/>
    <w:rsid w:val="008A1C68"/>
    <w:rsid w:val="008A7438"/>
    <w:rsid w:val="008A7911"/>
    <w:rsid w:val="008B0276"/>
    <w:rsid w:val="008B1334"/>
    <w:rsid w:val="008B25C7"/>
    <w:rsid w:val="008B42F7"/>
    <w:rsid w:val="008B44FC"/>
    <w:rsid w:val="008B4C6C"/>
    <w:rsid w:val="008C0278"/>
    <w:rsid w:val="008C02FE"/>
    <w:rsid w:val="008C24E9"/>
    <w:rsid w:val="008C7B90"/>
    <w:rsid w:val="008D0533"/>
    <w:rsid w:val="008D2853"/>
    <w:rsid w:val="008D3689"/>
    <w:rsid w:val="008D42CB"/>
    <w:rsid w:val="008D4898"/>
    <w:rsid w:val="008D48C9"/>
    <w:rsid w:val="008D6381"/>
    <w:rsid w:val="008E0C77"/>
    <w:rsid w:val="008E1CFC"/>
    <w:rsid w:val="008E625F"/>
    <w:rsid w:val="008F264D"/>
    <w:rsid w:val="008F48BE"/>
    <w:rsid w:val="008F5A4B"/>
    <w:rsid w:val="008F6B1F"/>
    <w:rsid w:val="00902534"/>
    <w:rsid w:val="00902B79"/>
    <w:rsid w:val="009040E9"/>
    <w:rsid w:val="009074E1"/>
    <w:rsid w:val="0091025D"/>
    <w:rsid w:val="009112F7"/>
    <w:rsid w:val="009122AF"/>
    <w:rsid w:val="00912D54"/>
    <w:rsid w:val="0091389F"/>
    <w:rsid w:val="00914A4C"/>
    <w:rsid w:val="00914F76"/>
    <w:rsid w:val="009155B7"/>
    <w:rsid w:val="009168D7"/>
    <w:rsid w:val="009208F7"/>
    <w:rsid w:val="00921649"/>
    <w:rsid w:val="00922517"/>
    <w:rsid w:val="00922722"/>
    <w:rsid w:val="009238E3"/>
    <w:rsid w:val="00926129"/>
    <w:rsid w:val="009261E6"/>
    <w:rsid w:val="009268E1"/>
    <w:rsid w:val="009271EE"/>
    <w:rsid w:val="00927B7A"/>
    <w:rsid w:val="00930E5E"/>
    <w:rsid w:val="009344AE"/>
    <w:rsid w:val="009344DE"/>
    <w:rsid w:val="00940F17"/>
    <w:rsid w:val="00944828"/>
    <w:rsid w:val="00945E7F"/>
    <w:rsid w:val="00951020"/>
    <w:rsid w:val="00953C32"/>
    <w:rsid w:val="00954239"/>
    <w:rsid w:val="00954618"/>
    <w:rsid w:val="009557C1"/>
    <w:rsid w:val="00957244"/>
    <w:rsid w:val="00960D6E"/>
    <w:rsid w:val="00962811"/>
    <w:rsid w:val="0096331A"/>
    <w:rsid w:val="009640D7"/>
    <w:rsid w:val="0097444E"/>
    <w:rsid w:val="00974B59"/>
    <w:rsid w:val="0098340B"/>
    <w:rsid w:val="00983B02"/>
    <w:rsid w:val="00986830"/>
    <w:rsid w:val="009868B0"/>
    <w:rsid w:val="009908F3"/>
    <w:rsid w:val="00990A6A"/>
    <w:rsid w:val="00991B3D"/>
    <w:rsid w:val="009924C3"/>
    <w:rsid w:val="00993102"/>
    <w:rsid w:val="00996236"/>
    <w:rsid w:val="009963A0"/>
    <w:rsid w:val="009A123A"/>
    <w:rsid w:val="009A2241"/>
    <w:rsid w:val="009A4615"/>
    <w:rsid w:val="009B08B6"/>
    <w:rsid w:val="009B1570"/>
    <w:rsid w:val="009C2C0F"/>
    <w:rsid w:val="009C6F10"/>
    <w:rsid w:val="009C75AC"/>
    <w:rsid w:val="009C7D8F"/>
    <w:rsid w:val="009D02C6"/>
    <w:rsid w:val="009D1160"/>
    <w:rsid w:val="009D148F"/>
    <w:rsid w:val="009D3D70"/>
    <w:rsid w:val="009E6F7E"/>
    <w:rsid w:val="009E787E"/>
    <w:rsid w:val="009E7A57"/>
    <w:rsid w:val="009F4803"/>
    <w:rsid w:val="009F4F6A"/>
    <w:rsid w:val="009F525E"/>
    <w:rsid w:val="009F7012"/>
    <w:rsid w:val="00A04039"/>
    <w:rsid w:val="00A04993"/>
    <w:rsid w:val="00A052EC"/>
    <w:rsid w:val="00A12238"/>
    <w:rsid w:val="00A13EB5"/>
    <w:rsid w:val="00A155BC"/>
    <w:rsid w:val="00A16E36"/>
    <w:rsid w:val="00A2493A"/>
    <w:rsid w:val="00A24961"/>
    <w:rsid w:val="00A24B10"/>
    <w:rsid w:val="00A277EF"/>
    <w:rsid w:val="00A30DB4"/>
    <w:rsid w:val="00A30E9B"/>
    <w:rsid w:val="00A314BA"/>
    <w:rsid w:val="00A4512D"/>
    <w:rsid w:val="00A45B9A"/>
    <w:rsid w:val="00A50244"/>
    <w:rsid w:val="00A627D7"/>
    <w:rsid w:val="00A656C7"/>
    <w:rsid w:val="00A703A1"/>
    <w:rsid w:val="00A705AF"/>
    <w:rsid w:val="00A719F6"/>
    <w:rsid w:val="00A72454"/>
    <w:rsid w:val="00A748C0"/>
    <w:rsid w:val="00A76F0A"/>
    <w:rsid w:val="00A77696"/>
    <w:rsid w:val="00A80557"/>
    <w:rsid w:val="00A80DB1"/>
    <w:rsid w:val="00A81D33"/>
    <w:rsid w:val="00A82C09"/>
    <w:rsid w:val="00A8341C"/>
    <w:rsid w:val="00A837F4"/>
    <w:rsid w:val="00A930AE"/>
    <w:rsid w:val="00A96388"/>
    <w:rsid w:val="00AA1A95"/>
    <w:rsid w:val="00AA260F"/>
    <w:rsid w:val="00AA2E8C"/>
    <w:rsid w:val="00AB1EE7"/>
    <w:rsid w:val="00AB3485"/>
    <w:rsid w:val="00AB39C4"/>
    <w:rsid w:val="00AB47EB"/>
    <w:rsid w:val="00AB4B37"/>
    <w:rsid w:val="00AB5762"/>
    <w:rsid w:val="00AB6A9C"/>
    <w:rsid w:val="00AC2679"/>
    <w:rsid w:val="00AC4BE4"/>
    <w:rsid w:val="00AC7B1F"/>
    <w:rsid w:val="00AD05E6"/>
    <w:rsid w:val="00AD0D3F"/>
    <w:rsid w:val="00AD10EF"/>
    <w:rsid w:val="00AD2D1B"/>
    <w:rsid w:val="00AD49E6"/>
    <w:rsid w:val="00AD668B"/>
    <w:rsid w:val="00AE051B"/>
    <w:rsid w:val="00AE1D7D"/>
    <w:rsid w:val="00AE2A8B"/>
    <w:rsid w:val="00AE3098"/>
    <w:rsid w:val="00AE3F64"/>
    <w:rsid w:val="00AE5387"/>
    <w:rsid w:val="00AF0217"/>
    <w:rsid w:val="00AF1D39"/>
    <w:rsid w:val="00AF54F7"/>
    <w:rsid w:val="00AF7386"/>
    <w:rsid w:val="00AF7934"/>
    <w:rsid w:val="00B00B81"/>
    <w:rsid w:val="00B03E81"/>
    <w:rsid w:val="00B04580"/>
    <w:rsid w:val="00B04B09"/>
    <w:rsid w:val="00B05D5B"/>
    <w:rsid w:val="00B0674C"/>
    <w:rsid w:val="00B07F43"/>
    <w:rsid w:val="00B123C5"/>
    <w:rsid w:val="00B15ED5"/>
    <w:rsid w:val="00B16A51"/>
    <w:rsid w:val="00B22135"/>
    <w:rsid w:val="00B2257C"/>
    <w:rsid w:val="00B23C2A"/>
    <w:rsid w:val="00B252CD"/>
    <w:rsid w:val="00B263E3"/>
    <w:rsid w:val="00B32222"/>
    <w:rsid w:val="00B3618D"/>
    <w:rsid w:val="00B36233"/>
    <w:rsid w:val="00B36801"/>
    <w:rsid w:val="00B42851"/>
    <w:rsid w:val="00B45AC7"/>
    <w:rsid w:val="00B5372F"/>
    <w:rsid w:val="00B53987"/>
    <w:rsid w:val="00B5484F"/>
    <w:rsid w:val="00B600AC"/>
    <w:rsid w:val="00B61129"/>
    <w:rsid w:val="00B63FEE"/>
    <w:rsid w:val="00B67E7F"/>
    <w:rsid w:val="00B765A7"/>
    <w:rsid w:val="00B77988"/>
    <w:rsid w:val="00B817C0"/>
    <w:rsid w:val="00B839B2"/>
    <w:rsid w:val="00B86539"/>
    <w:rsid w:val="00B93F6E"/>
    <w:rsid w:val="00B94252"/>
    <w:rsid w:val="00B95731"/>
    <w:rsid w:val="00B9715A"/>
    <w:rsid w:val="00BA14BE"/>
    <w:rsid w:val="00BA2732"/>
    <w:rsid w:val="00BA293D"/>
    <w:rsid w:val="00BA49BC"/>
    <w:rsid w:val="00BA546E"/>
    <w:rsid w:val="00BA56B7"/>
    <w:rsid w:val="00BA7A1E"/>
    <w:rsid w:val="00BB0DED"/>
    <w:rsid w:val="00BB1B21"/>
    <w:rsid w:val="00BB286C"/>
    <w:rsid w:val="00BB2A7A"/>
    <w:rsid w:val="00BB2F6C"/>
    <w:rsid w:val="00BB3813"/>
    <w:rsid w:val="00BB3875"/>
    <w:rsid w:val="00BB491A"/>
    <w:rsid w:val="00BB5860"/>
    <w:rsid w:val="00BB6AAD"/>
    <w:rsid w:val="00BC1DB0"/>
    <w:rsid w:val="00BC37AA"/>
    <w:rsid w:val="00BC4A19"/>
    <w:rsid w:val="00BC4E6D"/>
    <w:rsid w:val="00BC556E"/>
    <w:rsid w:val="00BD0617"/>
    <w:rsid w:val="00BD2E9B"/>
    <w:rsid w:val="00BD6D73"/>
    <w:rsid w:val="00BD743E"/>
    <w:rsid w:val="00BD7FB2"/>
    <w:rsid w:val="00BE004F"/>
    <w:rsid w:val="00BE3935"/>
    <w:rsid w:val="00BE6F3E"/>
    <w:rsid w:val="00BF5237"/>
    <w:rsid w:val="00BF7B37"/>
    <w:rsid w:val="00C00930"/>
    <w:rsid w:val="00C03C5D"/>
    <w:rsid w:val="00C060AD"/>
    <w:rsid w:val="00C113BF"/>
    <w:rsid w:val="00C12573"/>
    <w:rsid w:val="00C13F8A"/>
    <w:rsid w:val="00C15672"/>
    <w:rsid w:val="00C161D8"/>
    <w:rsid w:val="00C211CE"/>
    <w:rsid w:val="00C2176E"/>
    <w:rsid w:val="00C23430"/>
    <w:rsid w:val="00C27D67"/>
    <w:rsid w:val="00C31CE9"/>
    <w:rsid w:val="00C40FD1"/>
    <w:rsid w:val="00C4631F"/>
    <w:rsid w:val="00C47CDE"/>
    <w:rsid w:val="00C50E16"/>
    <w:rsid w:val="00C52CBD"/>
    <w:rsid w:val="00C55258"/>
    <w:rsid w:val="00C57C02"/>
    <w:rsid w:val="00C634F1"/>
    <w:rsid w:val="00C74A37"/>
    <w:rsid w:val="00C75E86"/>
    <w:rsid w:val="00C809EE"/>
    <w:rsid w:val="00C80CA7"/>
    <w:rsid w:val="00C82EEB"/>
    <w:rsid w:val="00C84DDE"/>
    <w:rsid w:val="00C877E4"/>
    <w:rsid w:val="00C903B5"/>
    <w:rsid w:val="00C920D9"/>
    <w:rsid w:val="00C971DC"/>
    <w:rsid w:val="00CA1676"/>
    <w:rsid w:val="00CA16B7"/>
    <w:rsid w:val="00CA34E8"/>
    <w:rsid w:val="00CA62AE"/>
    <w:rsid w:val="00CA687E"/>
    <w:rsid w:val="00CB4837"/>
    <w:rsid w:val="00CB5B1A"/>
    <w:rsid w:val="00CB6D6B"/>
    <w:rsid w:val="00CB7E45"/>
    <w:rsid w:val="00CC220B"/>
    <w:rsid w:val="00CC404B"/>
    <w:rsid w:val="00CC553C"/>
    <w:rsid w:val="00CC5792"/>
    <w:rsid w:val="00CC5C43"/>
    <w:rsid w:val="00CD02AE"/>
    <w:rsid w:val="00CD2A4F"/>
    <w:rsid w:val="00CD3950"/>
    <w:rsid w:val="00CE03CA"/>
    <w:rsid w:val="00CE22F1"/>
    <w:rsid w:val="00CE50F2"/>
    <w:rsid w:val="00CE5660"/>
    <w:rsid w:val="00CE6502"/>
    <w:rsid w:val="00CE753D"/>
    <w:rsid w:val="00CF060E"/>
    <w:rsid w:val="00CF10A5"/>
    <w:rsid w:val="00CF27FE"/>
    <w:rsid w:val="00CF33E3"/>
    <w:rsid w:val="00CF7D3C"/>
    <w:rsid w:val="00D01F09"/>
    <w:rsid w:val="00D03E17"/>
    <w:rsid w:val="00D04F17"/>
    <w:rsid w:val="00D10DAF"/>
    <w:rsid w:val="00D147EB"/>
    <w:rsid w:val="00D16952"/>
    <w:rsid w:val="00D22F0A"/>
    <w:rsid w:val="00D25251"/>
    <w:rsid w:val="00D2689C"/>
    <w:rsid w:val="00D26DC1"/>
    <w:rsid w:val="00D312C0"/>
    <w:rsid w:val="00D321D6"/>
    <w:rsid w:val="00D337D1"/>
    <w:rsid w:val="00D34667"/>
    <w:rsid w:val="00D34D21"/>
    <w:rsid w:val="00D401E1"/>
    <w:rsid w:val="00D408B4"/>
    <w:rsid w:val="00D44330"/>
    <w:rsid w:val="00D455CE"/>
    <w:rsid w:val="00D47EDF"/>
    <w:rsid w:val="00D504FE"/>
    <w:rsid w:val="00D524C8"/>
    <w:rsid w:val="00D55223"/>
    <w:rsid w:val="00D6198C"/>
    <w:rsid w:val="00D63115"/>
    <w:rsid w:val="00D64412"/>
    <w:rsid w:val="00D649E0"/>
    <w:rsid w:val="00D67185"/>
    <w:rsid w:val="00D70E24"/>
    <w:rsid w:val="00D72B61"/>
    <w:rsid w:val="00D752BA"/>
    <w:rsid w:val="00D766AB"/>
    <w:rsid w:val="00D82C9C"/>
    <w:rsid w:val="00D84357"/>
    <w:rsid w:val="00D84B47"/>
    <w:rsid w:val="00D85A09"/>
    <w:rsid w:val="00DA1614"/>
    <w:rsid w:val="00DA3D1D"/>
    <w:rsid w:val="00DA7E7A"/>
    <w:rsid w:val="00DB173F"/>
    <w:rsid w:val="00DB44D0"/>
    <w:rsid w:val="00DB5164"/>
    <w:rsid w:val="00DB6286"/>
    <w:rsid w:val="00DB645F"/>
    <w:rsid w:val="00DB76E9"/>
    <w:rsid w:val="00DC015F"/>
    <w:rsid w:val="00DC0A67"/>
    <w:rsid w:val="00DC17D0"/>
    <w:rsid w:val="00DC1D5E"/>
    <w:rsid w:val="00DC5220"/>
    <w:rsid w:val="00DC7953"/>
    <w:rsid w:val="00DD10A4"/>
    <w:rsid w:val="00DD2061"/>
    <w:rsid w:val="00DD7DAB"/>
    <w:rsid w:val="00DE0047"/>
    <w:rsid w:val="00DE3355"/>
    <w:rsid w:val="00DE4100"/>
    <w:rsid w:val="00DF0C60"/>
    <w:rsid w:val="00DF3596"/>
    <w:rsid w:val="00DF486F"/>
    <w:rsid w:val="00DF5B5B"/>
    <w:rsid w:val="00DF71A4"/>
    <w:rsid w:val="00DF7619"/>
    <w:rsid w:val="00E042D8"/>
    <w:rsid w:val="00E07EE7"/>
    <w:rsid w:val="00E1103B"/>
    <w:rsid w:val="00E112FD"/>
    <w:rsid w:val="00E15FA8"/>
    <w:rsid w:val="00E17B44"/>
    <w:rsid w:val="00E20F27"/>
    <w:rsid w:val="00E22443"/>
    <w:rsid w:val="00E22B19"/>
    <w:rsid w:val="00E241C8"/>
    <w:rsid w:val="00E25B1F"/>
    <w:rsid w:val="00E27FEA"/>
    <w:rsid w:val="00E4086F"/>
    <w:rsid w:val="00E41B9E"/>
    <w:rsid w:val="00E43B3C"/>
    <w:rsid w:val="00E50141"/>
    <w:rsid w:val="00E50188"/>
    <w:rsid w:val="00E50471"/>
    <w:rsid w:val="00E50BB3"/>
    <w:rsid w:val="00E51400"/>
    <w:rsid w:val="00E515CB"/>
    <w:rsid w:val="00E51E95"/>
    <w:rsid w:val="00E52260"/>
    <w:rsid w:val="00E5315B"/>
    <w:rsid w:val="00E55761"/>
    <w:rsid w:val="00E639B6"/>
    <w:rsid w:val="00E63B3E"/>
    <w:rsid w:val="00E6434B"/>
    <w:rsid w:val="00E6463D"/>
    <w:rsid w:val="00E65DCE"/>
    <w:rsid w:val="00E72DF6"/>
    <w:rsid w:val="00E72E9B"/>
    <w:rsid w:val="00E75559"/>
    <w:rsid w:val="00E8173A"/>
    <w:rsid w:val="00E82CBA"/>
    <w:rsid w:val="00E850C3"/>
    <w:rsid w:val="00E87DF2"/>
    <w:rsid w:val="00E908CC"/>
    <w:rsid w:val="00E93E9C"/>
    <w:rsid w:val="00E9462E"/>
    <w:rsid w:val="00EA470E"/>
    <w:rsid w:val="00EA47A7"/>
    <w:rsid w:val="00EA4CBF"/>
    <w:rsid w:val="00EA57EB"/>
    <w:rsid w:val="00EB282E"/>
    <w:rsid w:val="00EB3226"/>
    <w:rsid w:val="00EB3633"/>
    <w:rsid w:val="00EC213A"/>
    <w:rsid w:val="00EC356D"/>
    <w:rsid w:val="00EC377A"/>
    <w:rsid w:val="00EC7744"/>
    <w:rsid w:val="00EC7C15"/>
    <w:rsid w:val="00ED0DAD"/>
    <w:rsid w:val="00ED0F46"/>
    <w:rsid w:val="00ED2373"/>
    <w:rsid w:val="00ED2A81"/>
    <w:rsid w:val="00ED3285"/>
    <w:rsid w:val="00ED3D34"/>
    <w:rsid w:val="00EE3E8A"/>
    <w:rsid w:val="00EE571D"/>
    <w:rsid w:val="00EF4688"/>
    <w:rsid w:val="00EF4E91"/>
    <w:rsid w:val="00EF58B8"/>
    <w:rsid w:val="00EF6ECA"/>
    <w:rsid w:val="00F024E1"/>
    <w:rsid w:val="00F06C10"/>
    <w:rsid w:val="00F0726E"/>
    <w:rsid w:val="00F07AFE"/>
    <w:rsid w:val="00F07CDD"/>
    <w:rsid w:val="00F1096F"/>
    <w:rsid w:val="00F12589"/>
    <w:rsid w:val="00F12595"/>
    <w:rsid w:val="00F12B0C"/>
    <w:rsid w:val="00F134D9"/>
    <w:rsid w:val="00F1403D"/>
    <w:rsid w:val="00F1463F"/>
    <w:rsid w:val="00F17142"/>
    <w:rsid w:val="00F21302"/>
    <w:rsid w:val="00F22135"/>
    <w:rsid w:val="00F2430D"/>
    <w:rsid w:val="00F26146"/>
    <w:rsid w:val="00F27039"/>
    <w:rsid w:val="00F27DD4"/>
    <w:rsid w:val="00F31953"/>
    <w:rsid w:val="00F321DE"/>
    <w:rsid w:val="00F32D79"/>
    <w:rsid w:val="00F33777"/>
    <w:rsid w:val="00F360B7"/>
    <w:rsid w:val="00F40648"/>
    <w:rsid w:val="00F434B9"/>
    <w:rsid w:val="00F4654E"/>
    <w:rsid w:val="00F47873"/>
    <w:rsid w:val="00F47DA2"/>
    <w:rsid w:val="00F519FC"/>
    <w:rsid w:val="00F559BB"/>
    <w:rsid w:val="00F61AD8"/>
    <w:rsid w:val="00F6239D"/>
    <w:rsid w:val="00F64161"/>
    <w:rsid w:val="00F6760E"/>
    <w:rsid w:val="00F715D2"/>
    <w:rsid w:val="00F724F6"/>
    <w:rsid w:val="00F7260D"/>
    <w:rsid w:val="00F7274F"/>
    <w:rsid w:val="00F74E84"/>
    <w:rsid w:val="00F76FA8"/>
    <w:rsid w:val="00F876B0"/>
    <w:rsid w:val="00F93F08"/>
    <w:rsid w:val="00F94CED"/>
    <w:rsid w:val="00FA02BB"/>
    <w:rsid w:val="00FA1D58"/>
    <w:rsid w:val="00FA2CEE"/>
    <w:rsid w:val="00FA318C"/>
    <w:rsid w:val="00FA35C3"/>
    <w:rsid w:val="00FA4E7C"/>
    <w:rsid w:val="00FA59E6"/>
    <w:rsid w:val="00FA76F1"/>
    <w:rsid w:val="00FB6031"/>
    <w:rsid w:val="00FB6F92"/>
    <w:rsid w:val="00FC026E"/>
    <w:rsid w:val="00FC5124"/>
    <w:rsid w:val="00FD317A"/>
    <w:rsid w:val="00FD4731"/>
    <w:rsid w:val="00FD6768"/>
    <w:rsid w:val="00FE2877"/>
    <w:rsid w:val="00FE51E1"/>
    <w:rsid w:val="00FF0AB0"/>
    <w:rsid w:val="00FF1B42"/>
    <w:rsid w:val="00FF1B9E"/>
    <w:rsid w:val="00FF27B4"/>
    <w:rsid w:val="00FF28AC"/>
    <w:rsid w:val="00FF777D"/>
    <w:rsid w:val="00FF7F62"/>
    <w:rsid w:val="1BCB5FF6"/>
    <w:rsid w:val="1C50F474"/>
    <w:rsid w:val="25CBC569"/>
    <w:rsid w:val="32D1AD28"/>
    <w:rsid w:val="35A110EC"/>
    <w:rsid w:val="51E690D7"/>
    <w:rsid w:val="566BFDD9"/>
    <w:rsid w:val="5810AB57"/>
    <w:rsid w:val="6233AB93"/>
    <w:rsid w:val="66EABA47"/>
    <w:rsid w:val="73440CB6"/>
    <w:rsid w:val="7807F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F7425"/>
  <w15:docId w15:val="{C082BDA3-3FE8-4ADB-BCA1-F242904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854CA1"/>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A80DB1"/>
    <w:rPr>
      <w:color w:val="605E5C"/>
      <w:shd w:val="clear" w:color="auto" w:fill="E1DFDD"/>
    </w:rPr>
  </w:style>
  <w:style w:type="character" w:styleId="CommentReference">
    <w:name w:val="annotation reference"/>
    <w:basedOn w:val="DefaultParagraphFont"/>
    <w:semiHidden/>
    <w:unhideWhenUsed/>
    <w:rsid w:val="0001466D"/>
    <w:rPr>
      <w:sz w:val="16"/>
      <w:szCs w:val="16"/>
    </w:rPr>
  </w:style>
  <w:style w:type="paragraph" w:styleId="CommentText">
    <w:name w:val="annotation text"/>
    <w:basedOn w:val="Normal"/>
    <w:link w:val="CommentTextChar"/>
    <w:unhideWhenUsed/>
    <w:rsid w:val="0001466D"/>
    <w:pPr>
      <w:spacing w:line="240" w:lineRule="auto"/>
    </w:pPr>
    <w:rPr>
      <w:sz w:val="20"/>
      <w:szCs w:val="20"/>
    </w:rPr>
  </w:style>
  <w:style w:type="character" w:customStyle="1" w:styleId="CommentTextChar">
    <w:name w:val="Comment Text Char"/>
    <w:basedOn w:val="DefaultParagraphFont"/>
    <w:link w:val="CommentText"/>
    <w:rsid w:val="0001466D"/>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1466D"/>
    <w:rPr>
      <w:b/>
      <w:bCs/>
    </w:rPr>
  </w:style>
  <w:style w:type="character" w:customStyle="1" w:styleId="CommentSubjectChar">
    <w:name w:val="Comment Subject Char"/>
    <w:basedOn w:val="CommentTextChar"/>
    <w:link w:val="CommentSubject"/>
    <w:semiHidden/>
    <w:rsid w:val="0001466D"/>
    <w:rPr>
      <w:rFonts w:ascii="Arial" w:hAnsi="Arial"/>
      <w:b/>
      <w:bCs/>
      <w:color w:val="000000" w:themeColor="text1"/>
      <w:lang w:eastAsia="en-US"/>
    </w:rPr>
  </w:style>
  <w:style w:type="paragraph" w:styleId="Revision">
    <w:name w:val="Revision"/>
    <w:hidden/>
    <w:uiPriority w:val="99"/>
    <w:semiHidden/>
    <w:rsid w:val="00D64412"/>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230A9A"/>
    <w:rPr>
      <w:vertAlign w:val="superscript"/>
    </w:rPr>
  </w:style>
  <w:style w:type="character" w:styleId="FollowedHyperlink">
    <w:name w:val="FollowedHyperlink"/>
    <w:basedOn w:val="DefaultParagraphFont"/>
    <w:semiHidden/>
    <w:unhideWhenUsed/>
    <w:rsid w:val="00FA7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084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gpra.org.au/gp-earnings-calculator/" TargetMode="External"/><Relationship Id="rId2" Type="http://schemas.openxmlformats.org/officeDocument/2006/relationships/customXml" Target="../customXml/item2.xml"/><Relationship Id="rId16" Type="http://schemas.openxmlformats.org/officeDocument/2006/relationships/hyperlink" Target="https://gpra.org.au/gp-earnings-calculato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sites/default/files/2025-03/bulk-billing-practice-incentive-program-eligible-services_0.pdf" TargetMode="Externa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CRM\OneDrive%20-%20Department%20of%20Health\Desktop\for%20TRIMMING\Department%20of%20Health%20and%20Aged%20Care%20fact%20sheet%20template%20teal%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NARK\AppData\Local\Microsoft\Windows\INetCache\Content.Outlook\5I04Z7ZU\Reform%20calculator%20-%20updated%20-%20fixe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INARK\AppData\Local\Microsoft\Windows\INetCache\Content.Outlook\5I04Z7ZU\Reform%20calculator%20-%20updated%20-%20fixed.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MINARK\AppData\Local\Microsoft\Windows\INetCache\Content.Outlook\5I04Z7ZU\Reform%20calculator%20-%20updated%20-%20fixed.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NARK\AppData\Local\Microsoft\Windows\INetCache\Content.Outlook\5I04Z7ZU\Reform%20calculator%20-%20updated%20-%20fixed.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300"/>
              <a:t>Annual GP billings at metropolitan practice (MM1)</a:t>
            </a:r>
          </a:p>
        </c:rich>
      </c:tx>
      <c:layout>
        <c:manualLayout>
          <c:xMode val="edge"/>
          <c:yMode val="edge"/>
          <c:x val="0.18854720488585675"/>
          <c:y val="1.28513836514852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col"/>
        <c:grouping val="stacked"/>
        <c:varyColors val="0"/>
        <c:ser>
          <c:idx val="0"/>
          <c:order val="0"/>
          <c:tx>
            <c:strRef>
              <c:f>'Charts for fact sheet'!$A$18</c:f>
              <c:strCache>
                <c:ptCount val="1"/>
                <c:pt idx="0">
                  <c:v>Medicare benefits</c:v>
                </c:pt>
              </c:strCache>
            </c:strRef>
          </c:tx>
          <c:spPr>
            <a:solidFill>
              <a:srgbClr val="3F4A75"/>
            </a:solidFill>
            <a:ln>
              <a:noFill/>
            </a:ln>
            <a:effectLst/>
          </c:spPr>
          <c:invertIfNegative val="0"/>
          <c:dLbls>
            <c:dLbl>
              <c:idx val="3"/>
              <c:tx>
                <c:rich>
                  <a:bodyPr/>
                  <a:lstStyle/>
                  <a:p>
                    <a:fld id="{C39AC19C-00FB-41F9-9BDF-B35A60ED8934}" type="VALUE">
                      <a:rPr lang="en-US" b="1"/>
                      <a:pPr/>
                      <a:t>[VALUE]</a:t>
                    </a:fld>
                    <a:endParaRPr lang="en-AU"/>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D32D-4373-A33E-2ADF3F3D41B0}"/>
                </c:ext>
              </c:extLst>
            </c:dLbl>
            <c:dLbl>
              <c:idx val="4"/>
              <c:tx>
                <c:rich>
                  <a:bodyPr/>
                  <a:lstStyle/>
                  <a:p>
                    <a:fld id="{20C17251-6D80-4D89-BE39-99204EBAB923}" type="VALUE">
                      <a:rPr lang="en-US" b="1"/>
                      <a:pPr/>
                      <a:t>[VALUE]</a:t>
                    </a:fld>
                    <a:endParaRPr lang="en-AU"/>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32D-4373-A33E-2ADF3F3D41B0}"/>
                </c:ext>
              </c:extLst>
            </c:dLbl>
            <c:dLbl>
              <c:idx val="5"/>
              <c:tx>
                <c:rich>
                  <a:bodyPr/>
                  <a:lstStyle/>
                  <a:p>
                    <a:fld id="{C832AD9E-55FD-458B-81D4-937B8159ECF3}" type="VALUE">
                      <a:rPr lang="en-US" b="1"/>
                      <a:pPr/>
                      <a:t>[VALUE]</a:t>
                    </a:fld>
                    <a:endParaRPr lang="en-AU"/>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D32D-4373-A33E-2ADF3F3D41B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'Charts for fact sheet'!$E$16:$J$17</c:f>
              <c:multiLvlStrCache>
                <c:ptCount val="6"/>
                <c:lvl>
                  <c:pt idx="0">
                    <c:v>Average bulk billing</c:v>
                  </c:pt>
                  <c:pt idx="1">
                    <c:v>Bulk bills 9 in 10 visits</c:v>
                  </c:pt>
                  <c:pt idx="2">
                    <c:v>Bulk bills every visit</c:v>
                  </c:pt>
                  <c:pt idx="3">
                    <c:v>Average bulk billing</c:v>
                  </c:pt>
                  <c:pt idx="4">
                    <c:v>Bulk bills 9 in 10 visits</c:v>
                  </c:pt>
                  <c:pt idx="5">
                    <c:v>Bulk bills every visit</c:v>
                  </c:pt>
                </c:lvl>
                <c:lvl>
                  <c:pt idx="0">
                    <c:v>Now</c:v>
                  </c:pt>
                  <c:pt idx="3">
                    <c:v>From 1 November 2025</c:v>
                  </c:pt>
                </c:lvl>
              </c:multiLvlStrCache>
            </c:multiLvlStrRef>
          </c:cat>
          <c:val>
            <c:numRef>
              <c:f>'Charts for fact sheet'!$E$18:$J$18</c:f>
              <c:numCache>
                <c:formatCode>"$"#,##0_);[Red]\("$"#,##0\)</c:formatCode>
                <c:ptCount val="6"/>
                <c:pt idx="0">
                  <c:v>304418.38717440004</c:v>
                </c:pt>
                <c:pt idx="1">
                  <c:v>356555.52000000002</c:v>
                </c:pt>
                <c:pt idx="2">
                  <c:v>396172.79999999993</c:v>
                </c:pt>
                <c:pt idx="3">
                  <c:v>304418.38717440004</c:v>
                </c:pt>
                <c:pt idx="4">
                  <c:v>356555.52000000002</c:v>
                </c:pt>
                <c:pt idx="5">
                  <c:v>396172.79999999993</c:v>
                </c:pt>
              </c:numCache>
            </c:numRef>
          </c:val>
          <c:extLst>
            <c:ext xmlns:c16="http://schemas.microsoft.com/office/drawing/2014/chart" uri="{C3380CC4-5D6E-409C-BE32-E72D297353CC}">
              <c16:uniqueId val="{00000003-D32D-4373-A33E-2ADF3F3D41B0}"/>
            </c:ext>
          </c:extLst>
        </c:ser>
        <c:ser>
          <c:idx val="1"/>
          <c:order val="1"/>
          <c:tx>
            <c:strRef>
              <c:f>'Charts for fact sheet'!$A$19</c:f>
              <c:strCache>
                <c:ptCount val="1"/>
                <c:pt idx="0">
                  <c:v>Bulk billing incentives</c:v>
                </c:pt>
              </c:strCache>
            </c:strRef>
          </c:tx>
          <c:spPr>
            <a:solidFill>
              <a:srgbClr val="358189"/>
            </a:solidFill>
            <a:ln>
              <a:noFill/>
            </a:ln>
            <a:effectLst/>
          </c:spPr>
          <c:invertIfNegative val="0"/>
          <c:dLbls>
            <c:dLbl>
              <c:idx val="3"/>
              <c:tx>
                <c:rich>
                  <a:bodyPr/>
                  <a:lstStyle/>
                  <a:p>
                    <a:fld id="{68076F18-BC28-431B-9EB9-1F206B2E9DF4}" type="VALUE">
                      <a:rPr lang="en-US" b="1"/>
                      <a:pPr/>
                      <a:t>[VALUE]</a:t>
                    </a:fld>
                    <a:endParaRPr lang="en-AU"/>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D32D-4373-A33E-2ADF3F3D41B0}"/>
                </c:ext>
              </c:extLst>
            </c:dLbl>
            <c:dLbl>
              <c:idx val="4"/>
              <c:tx>
                <c:rich>
                  <a:bodyPr/>
                  <a:lstStyle/>
                  <a:p>
                    <a:fld id="{31A96B54-0DFC-4518-A1EE-D071806EA94B}"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D32D-4373-A33E-2ADF3F3D41B0}"/>
                </c:ext>
              </c:extLst>
            </c:dLbl>
            <c:dLbl>
              <c:idx val="5"/>
              <c:tx>
                <c:rich>
                  <a:bodyPr/>
                  <a:lstStyle/>
                  <a:p>
                    <a:fld id="{010EA942-81F9-4FA9-BA62-9465610006D0}"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6-D32D-4373-A33E-2ADF3F3D41B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'Charts for fact sheet'!$E$16:$J$17</c:f>
              <c:multiLvlStrCache>
                <c:ptCount val="6"/>
                <c:lvl>
                  <c:pt idx="0">
                    <c:v>Average bulk billing</c:v>
                  </c:pt>
                  <c:pt idx="1">
                    <c:v>Bulk bills 9 in 10 visits</c:v>
                  </c:pt>
                  <c:pt idx="2">
                    <c:v>Bulk bills every visit</c:v>
                  </c:pt>
                  <c:pt idx="3">
                    <c:v>Average bulk billing</c:v>
                  </c:pt>
                  <c:pt idx="4">
                    <c:v>Bulk bills 9 in 10 visits</c:v>
                  </c:pt>
                  <c:pt idx="5">
                    <c:v>Bulk bills every visit</c:v>
                  </c:pt>
                </c:lvl>
                <c:lvl>
                  <c:pt idx="0">
                    <c:v>Now</c:v>
                  </c:pt>
                  <c:pt idx="3">
                    <c:v>From 1 November 2025</c:v>
                  </c:pt>
                </c:lvl>
              </c:multiLvlStrCache>
            </c:multiLvlStrRef>
          </c:cat>
          <c:val>
            <c:numRef>
              <c:f>'Charts for fact sheet'!$E$19:$J$19</c:f>
              <c:numCache>
                <c:formatCode>"$"#,##0_);[Red]\("$"#,##0\)</c:formatCode>
                <c:ptCount val="6"/>
                <c:pt idx="0">
                  <c:v>61977.810547200002</c:v>
                </c:pt>
                <c:pt idx="1">
                  <c:v>62115.845759999997</c:v>
                </c:pt>
                <c:pt idx="2">
                  <c:v>69017.606400000004</c:v>
                </c:pt>
                <c:pt idx="3">
                  <c:v>100631.8609536</c:v>
                </c:pt>
                <c:pt idx="4">
                  <c:v>117866.88</c:v>
                </c:pt>
                <c:pt idx="5">
                  <c:v>130963.20000000001</c:v>
                </c:pt>
              </c:numCache>
            </c:numRef>
          </c:val>
          <c:extLst>
            <c:ext xmlns:c16="http://schemas.microsoft.com/office/drawing/2014/chart" uri="{C3380CC4-5D6E-409C-BE32-E72D297353CC}">
              <c16:uniqueId val="{00000007-D32D-4373-A33E-2ADF3F3D41B0}"/>
            </c:ext>
          </c:extLst>
        </c:ser>
        <c:ser>
          <c:idx val="2"/>
          <c:order val="2"/>
          <c:tx>
            <c:strRef>
              <c:f>'Charts for fact sheet'!$A$20</c:f>
              <c:strCache>
                <c:ptCount val="1"/>
                <c:pt idx="0">
                  <c:v>Bulk billing practice</c:v>
                </c:pt>
              </c:strCache>
            </c:strRef>
          </c:tx>
          <c:spPr>
            <a:solidFill>
              <a:srgbClr val="0078BF"/>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D32D-4373-A33E-2ADF3F3D41B0}"/>
                </c:ext>
              </c:extLst>
            </c:dLbl>
            <c:dLbl>
              <c:idx val="1"/>
              <c:delete val="1"/>
              <c:extLst>
                <c:ext xmlns:c15="http://schemas.microsoft.com/office/drawing/2012/chart" uri="{CE6537A1-D6FC-4f65-9D91-7224C49458BB}"/>
                <c:ext xmlns:c16="http://schemas.microsoft.com/office/drawing/2014/chart" uri="{C3380CC4-5D6E-409C-BE32-E72D297353CC}">
                  <c16:uniqueId val="{00000009-D32D-4373-A33E-2ADF3F3D41B0}"/>
                </c:ext>
              </c:extLst>
            </c:dLbl>
            <c:dLbl>
              <c:idx val="2"/>
              <c:delete val="1"/>
              <c:extLst>
                <c:ext xmlns:c15="http://schemas.microsoft.com/office/drawing/2012/chart" uri="{CE6537A1-D6FC-4f65-9D91-7224C49458BB}"/>
                <c:ext xmlns:c16="http://schemas.microsoft.com/office/drawing/2014/chart" uri="{C3380CC4-5D6E-409C-BE32-E72D297353CC}">
                  <c16:uniqueId val="{0000000A-D32D-4373-A33E-2ADF3F3D41B0}"/>
                </c:ext>
              </c:extLst>
            </c:dLbl>
            <c:dLbl>
              <c:idx val="3"/>
              <c:delete val="1"/>
              <c:extLst>
                <c:ext xmlns:c15="http://schemas.microsoft.com/office/drawing/2012/chart" uri="{CE6537A1-D6FC-4f65-9D91-7224C49458BB}"/>
                <c:ext xmlns:c16="http://schemas.microsoft.com/office/drawing/2014/chart" uri="{C3380CC4-5D6E-409C-BE32-E72D297353CC}">
                  <c16:uniqueId val="{0000000B-D32D-4373-A33E-2ADF3F3D41B0}"/>
                </c:ext>
              </c:extLst>
            </c:dLbl>
            <c:dLbl>
              <c:idx val="4"/>
              <c:delete val="1"/>
              <c:extLst>
                <c:ext xmlns:c15="http://schemas.microsoft.com/office/drawing/2012/chart" uri="{CE6537A1-D6FC-4f65-9D91-7224C49458BB}"/>
                <c:ext xmlns:c16="http://schemas.microsoft.com/office/drawing/2014/chart" uri="{C3380CC4-5D6E-409C-BE32-E72D297353CC}">
                  <c16:uniqueId val="{0000000C-D32D-4373-A33E-2ADF3F3D41B0}"/>
                </c:ext>
              </c:extLst>
            </c:dLbl>
            <c:dLbl>
              <c:idx val="5"/>
              <c:tx>
                <c:rich>
                  <a:bodyPr/>
                  <a:lstStyle/>
                  <a:p>
                    <a:fld id="{A9D34DA6-B61A-46B9-BED4-897EE186FEB6}" type="VALUE">
                      <a:rPr lang="en-US" b="1"/>
                      <a:pPr/>
                      <a:t>[VALUE]</a:t>
                    </a:fld>
                    <a:endParaRPr lang="en-AU"/>
                  </a:p>
                </c:rich>
              </c:tx>
              <c:dLblPos val="ctr"/>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D32D-4373-A33E-2ADF3F3D41B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'Charts for fact sheet'!$E$16:$J$17</c:f>
              <c:multiLvlStrCache>
                <c:ptCount val="6"/>
                <c:lvl>
                  <c:pt idx="0">
                    <c:v>Average bulk billing</c:v>
                  </c:pt>
                  <c:pt idx="1">
                    <c:v>Bulk bills 9 in 10 visits</c:v>
                  </c:pt>
                  <c:pt idx="2">
                    <c:v>Bulk bills every visit</c:v>
                  </c:pt>
                  <c:pt idx="3">
                    <c:v>Average bulk billing</c:v>
                  </c:pt>
                  <c:pt idx="4">
                    <c:v>Bulk bills 9 in 10 visits</c:v>
                  </c:pt>
                  <c:pt idx="5">
                    <c:v>Bulk bills every visit</c:v>
                  </c:pt>
                </c:lvl>
                <c:lvl>
                  <c:pt idx="0">
                    <c:v>Now</c:v>
                  </c:pt>
                  <c:pt idx="3">
                    <c:v>From 1 November 2025</c:v>
                  </c:pt>
                </c:lvl>
              </c:multiLvlStrCache>
            </c:multiLvlStrRef>
          </c:cat>
          <c:val>
            <c:numRef>
              <c:f>'Charts for fact sheet'!$E$20:$J$20</c:f>
              <c:numCache>
                <c:formatCode>"$"#,##0_);[Red]\("$"#,##0\)</c:formatCode>
                <c:ptCount val="6"/>
                <c:pt idx="0">
                  <c:v>0</c:v>
                </c:pt>
                <c:pt idx="1">
                  <c:v>0</c:v>
                </c:pt>
                <c:pt idx="2">
                  <c:v>0</c:v>
                </c:pt>
                <c:pt idx="3">
                  <c:v>0</c:v>
                </c:pt>
                <c:pt idx="4">
                  <c:v>0</c:v>
                </c:pt>
                <c:pt idx="5">
                  <c:v>49727.939999999995</c:v>
                </c:pt>
              </c:numCache>
            </c:numRef>
          </c:val>
          <c:extLst>
            <c:ext xmlns:c16="http://schemas.microsoft.com/office/drawing/2014/chart" uri="{C3380CC4-5D6E-409C-BE32-E72D297353CC}">
              <c16:uniqueId val="{0000000E-D32D-4373-A33E-2ADF3F3D41B0}"/>
            </c:ext>
          </c:extLst>
        </c:ser>
        <c:ser>
          <c:idx val="3"/>
          <c:order val="3"/>
          <c:tx>
            <c:strRef>
              <c:f>'Charts for fact sheet'!$A$21</c:f>
              <c:strCache>
                <c:ptCount val="1"/>
                <c:pt idx="0">
                  <c:v>Patient fees</c:v>
                </c:pt>
              </c:strCache>
            </c:strRef>
          </c:tx>
          <c:spPr>
            <a:solidFill>
              <a:srgbClr val="9E4C6E"/>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F-D32D-4373-A33E-2ADF3F3D41B0}"/>
                </c:ext>
              </c:extLst>
            </c:dLbl>
            <c:dLbl>
              <c:idx val="3"/>
              <c:tx>
                <c:rich>
                  <a:bodyPr/>
                  <a:lstStyle/>
                  <a:p>
                    <a:fld id="{81990790-358C-43EA-AF22-309E4290F4E9}"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D32D-4373-A33E-2ADF3F3D41B0}"/>
                </c:ext>
              </c:extLst>
            </c:dLbl>
            <c:dLbl>
              <c:idx val="4"/>
              <c:tx>
                <c:rich>
                  <a:bodyPr/>
                  <a:lstStyle/>
                  <a:p>
                    <a:fld id="{78EF56BA-ACEB-4F1D-BD7C-DCBC29FBC282}"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1-D32D-4373-A33E-2ADF3F3D41B0}"/>
                </c:ext>
              </c:extLst>
            </c:dLbl>
            <c:dLbl>
              <c:idx val="5"/>
              <c:delete val="1"/>
              <c:extLst>
                <c:ext xmlns:c15="http://schemas.microsoft.com/office/drawing/2012/chart" uri="{CE6537A1-D6FC-4f65-9D91-7224C49458BB}"/>
                <c:ext xmlns:c16="http://schemas.microsoft.com/office/drawing/2014/chart" uri="{C3380CC4-5D6E-409C-BE32-E72D297353CC}">
                  <c16:uniqueId val="{00000012-D32D-4373-A33E-2ADF3F3D41B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'Charts for fact sheet'!$E$16:$J$17</c:f>
              <c:multiLvlStrCache>
                <c:ptCount val="6"/>
                <c:lvl>
                  <c:pt idx="0">
                    <c:v>Average bulk billing</c:v>
                  </c:pt>
                  <c:pt idx="1">
                    <c:v>Bulk bills 9 in 10 visits</c:v>
                  </c:pt>
                  <c:pt idx="2">
                    <c:v>Bulk bills every visit</c:v>
                  </c:pt>
                  <c:pt idx="3">
                    <c:v>Average bulk billing</c:v>
                  </c:pt>
                  <c:pt idx="4">
                    <c:v>Bulk bills 9 in 10 visits</c:v>
                  </c:pt>
                  <c:pt idx="5">
                    <c:v>Bulk bills every visit</c:v>
                  </c:pt>
                </c:lvl>
                <c:lvl>
                  <c:pt idx="0">
                    <c:v>Now</c:v>
                  </c:pt>
                  <c:pt idx="3">
                    <c:v>From 1 November 2025</c:v>
                  </c:pt>
                </c:lvl>
              </c:multiLvlStrCache>
            </c:multiLvlStrRef>
          </c:cat>
          <c:val>
            <c:numRef>
              <c:f>'Charts for fact sheet'!$E$21:$J$21</c:f>
              <c:numCache>
                <c:formatCode>"$"#,##0_);[Red]\("$"#,##0\)</c:formatCode>
                <c:ptCount val="6"/>
                <c:pt idx="0">
                  <c:v>164160.97985280002</c:v>
                </c:pt>
                <c:pt idx="1">
                  <c:v>70880.639999999985</c:v>
                </c:pt>
                <c:pt idx="2">
                  <c:v>0</c:v>
                </c:pt>
                <c:pt idx="3">
                  <c:v>164160.97985280002</c:v>
                </c:pt>
                <c:pt idx="4">
                  <c:v>70880.639999999985</c:v>
                </c:pt>
                <c:pt idx="5">
                  <c:v>0</c:v>
                </c:pt>
              </c:numCache>
            </c:numRef>
          </c:val>
          <c:extLst>
            <c:ext xmlns:c16="http://schemas.microsoft.com/office/drawing/2014/chart" uri="{C3380CC4-5D6E-409C-BE32-E72D297353CC}">
              <c16:uniqueId val="{00000013-D32D-4373-A33E-2ADF3F3D41B0}"/>
            </c:ext>
          </c:extLst>
        </c:ser>
        <c:dLbls>
          <c:showLegendKey val="0"/>
          <c:showVal val="0"/>
          <c:showCatName val="0"/>
          <c:showSerName val="0"/>
          <c:showPercent val="0"/>
          <c:showBubbleSize val="0"/>
        </c:dLbls>
        <c:gapWidth val="50"/>
        <c:overlap val="100"/>
        <c:axId val="1574493136"/>
        <c:axId val="1574492176"/>
      </c:barChart>
      <c:catAx>
        <c:axId val="157449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574492176"/>
        <c:crosses val="autoZero"/>
        <c:auto val="1"/>
        <c:lblAlgn val="ctr"/>
        <c:lblOffset val="100"/>
        <c:noMultiLvlLbl val="0"/>
      </c:catAx>
      <c:valAx>
        <c:axId val="1574492176"/>
        <c:scaling>
          <c:orientation val="minMax"/>
          <c:max val="650000"/>
          <c:min val="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49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kern="1200" spc="0" baseline="0">
                <a:solidFill>
                  <a:sysClr val="windowText" lastClr="000000">
                    <a:lumMod val="65000"/>
                    <a:lumOff val="35000"/>
                  </a:sysClr>
                </a:solidFill>
              </a:rPr>
              <a:t>Annual GP billings at metropolitan practice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col"/>
        <c:grouping val="stacked"/>
        <c:varyColors val="0"/>
        <c:ser>
          <c:idx val="0"/>
          <c:order val="0"/>
          <c:tx>
            <c:strRef>
              <c:f>'Charts for fact sheet'!$A$53</c:f>
              <c:strCache>
                <c:ptCount val="1"/>
                <c:pt idx="0">
                  <c:v>Medicare benefits</c:v>
                </c:pt>
              </c:strCache>
            </c:strRef>
          </c:tx>
          <c:spPr>
            <a:solidFill>
              <a:srgbClr val="3F4A75"/>
            </a:solidFill>
            <a:ln>
              <a:noFill/>
            </a:ln>
            <a:effectLst/>
          </c:spPr>
          <c:invertIfNegative val="0"/>
          <c:dLbls>
            <c:dLbl>
              <c:idx val="0"/>
              <c:tx>
                <c:rich>
                  <a:bodyPr/>
                  <a:lstStyle/>
                  <a:p>
                    <a:fld id="{A1AE80CD-D1B7-4D1F-8A39-EF072F1BE240}"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F5D7-4926-AF1A-FC10C54D07E0}"/>
                </c:ext>
              </c:extLst>
            </c:dLbl>
            <c:dLbl>
              <c:idx val="1"/>
              <c:tx>
                <c:rich>
                  <a:bodyPr/>
                  <a:lstStyle/>
                  <a:p>
                    <a:fld id="{1A880474-082D-4980-81FE-D568AA88C6AD}"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5D7-4926-AF1A-FC10C54D07E0}"/>
                </c:ext>
              </c:extLst>
            </c:dLbl>
            <c:spPr>
              <a:solidFill>
                <a:sysClr val="window" lastClr="FFFFFF"/>
              </a:solidFill>
              <a:l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'Charts for fact sheet'!$B$52:$C$52</c:f>
              <c:strCache>
                <c:ptCount val="2"/>
                <c:pt idx="0">
                  <c:v>Average bulk billing</c:v>
                </c:pt>
                <c:pt idx="1">
                  <c:v>Bulk bills every visit</c:v>
                </c:pt>
              </c:strCache>
            </c:strRef>
          </c:cat>
          <c:val>
            <c:numRef>
              <c:f>'Charts for fact sheet'!$B$53:$C$53</c:f>
              <c:numCache>
                <c:formatCode>"$"#,##0_);[Red]\("$"#,##0\)</c:formatCode>
                <c:ptCount val="2"/>
                <c:pt idx="0">
                  <c:v>304418.38717440004</c:v>
                </c:pt>
                <c:pt idx="1">
                  <c:v>396172.79999999993</c:v>
                </c:pt>
              </c:numCache>
            </c:numRef>
          </c:val>
          <c:extLst>
            <c:ext xmlns:c16="http://schemas.microsoft.com/office/drawing/2014/chart" uri="{C3380CC4-5D6E-409C-BE32-E72D297353CC}">
              <c16:uniqueId val="{00000002-F5D7-4926-AF1A-FC10C54D07E0}"/>
            </c:ext>
          </c:extLst>
        </c:ser>
        <c:ser>
          <c:idx val="1"/>
          <c:order val="1"/>
          <c:tx>
            <c:strRef>
              <c:f>'Charts for fact sheet'!$A$54</c:f>
              <c:strCache>
                <c:ptCount val="1"/>
                <c:pt idx="0">
                  <c:v>Bulk billing incentives</c:v>
                </c:pt>
              </c:strCache>
            </c:strRef>
          </c:tx>
          <c:spPr>
            <a:solidFill>
              <a:srgbClr val="358189"/>
            </a:solidFill>
            <a:ln>
              <a:noFill/>
            </a:ln>
            <a:effectLst/>
          </c:spPr>
          <c:invertIfNegative val="0"/>
          <c:dLbls>
            <c:dLbl>
              <c:idx val="0"/>
              <c:tx>
                <c:rich>
                  <a:bodyPr/>
                  <a:lstStyle/>
                  <a:p>
                    <a:fld id="{0A8579DF-5CBB-40ED-A3E1-678A817E95DA}"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F5D7-4926-AF1A-FC10C54D07E0}"/>
                </c:ext>
              </c:extLst>
            </c:dLbl>
            <c:dLbl>
              <c:idx val="1"/>
              <c:tx>
                <c:rich>
                  <a:bodyPr/>
                  <a:lstStyle/>
                  <a:p>
                    <a:fld id="{2B66FC79-4B35-4626-9CBD-8CCB4EABD67C}"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F5D7-4926-AF1A-FC10C54D07E0}"/>
                </c:ext>
              </c:extLst>
            </c:dLbl>
            <c:spPr>
              <a:solidFill>
                <a:sysClr val="window" lastClr="FFFFFF"/>
              </a:solidFill>
              <a:l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'Charts for fact sheet'!$B$52:$C$52</c:f>
              <c:strCache>
                <c:ptCount val="2"/>
                <c:pt idx="0">
                  <c:v>Average bulk billing</c:v>
                </c:pt>
                <c:pt idx="1">
                  <c:v>Bulk bills every visit</c:v>
                </c:pt>
              </c:strCache>
            </c:strRef>
          </c:cat>
          <c:val>
            <c:numRef>
              <c:f>'Charts for fact sheet'!$B$54:$C$54</c:f>
              <c:numCache>
                <c:formatCode>"$"#,##0_);[Red]\("$"#,##0\)</c:formatCode>
                <c:ptCount val="2"/>
                <c:pt idx="0">
                  <c:v>61977.810547200002</c:v>
                </c:pt>
                <c:pt idx="1">
                  <c:v>69017.606400000004</c:v>
                </c:pt>
              </c:numCache>
            </c:numRef>
          </c:val>
          <c:extLst>
            <c:ext xmlns:c16="http://schemas.microsoft.com/office/drawing/2014/chart" uri="{C3380CC4-5D6E-409C-BE32-E72D297353CC}">
              <c16:uniqueId val="{00000005-F5D7-4926-AF1A-FC10C54D07E0}"/>
            </c:ext>
          </c:extLst>
        </c:ser>
        <c:ser>
          <c:idx val="2"/>
          <c:order val="2"/>
          <c:tx>
            <c:strRef>
              <c:f>'Charts for fact sheet'!$A$55</c:f>
              <c:strCache>
                <c:ptCount val="1"/>
                <c:pt idx="0">
                  <c:v>Patient fees</c:v>
                </c:pt>
              </c:strCache>
            </c:strRef>
          </c:tx>
          <c:spPr>
            <a:solidFill>
              <a:srgbClr val="9E4C6E"/>
            </a:solidFill>
            <a:ln>
              <a:noFill/>
            </a:ln>
            <a:effectLst/>
          </c:spPr>
          <c:invertIfNegative val="0"/>
          <c:dLbls>
            <c:dLbl>
              <c:idx val="0"/>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FCC7E0DE-6722-4CBF-9151-51F26B1A0D4A}" type="VALUE">
                      <a:rPr lang="en-US" b="1"/>
                      <a:pPr>
                        <a:defRPr/>
                      </a:pPr>
                      <a:t>[VALUE]</a:t>
                    </a:fld>
                    <a:endParaRPr lang="en-AU"/>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A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254"/>
                        <a:gd name="adj2" fmla="val 13195"/>
                      </a:avLst>
                    </a:prstGeom>
                    <a:noFill/>
                    <a:ln>
                      <a:noFill/>
                    </a:ln>
                  </c15:spPr>
                  <c15:dlblFieldTable/>
                  <c15:showDataLabelsRange val="0"/>
                </c:ext>
                <c:ext xmlns:c16="http://schemas.microsoft.com/office/drawing/2014/chart" uri="{C3380CC4-5D6E-409C-BE32-E72D297353CC}">
                  <c16:uniqueId val="{00000006-F5D7-4926-AF1A-FC10C54D07E0}"/>
                </c:ext>
              </c:extLst>
            </c:dLbl>
            <c:dLbl>
              <c:idx val="1"/>
              <c:delete val="1"/>
              <c:extLst>
                <c:ext xmlns:c15="http://schemas.microsoft.com/office/drawing/2012/chart" uri="{CE6537A1-D6FC-4f65-9D91-7224C49458BB}"/>
                <c:ext xmlns:c16="http://schemas.microsoft.com/office/drawing/2014/chart" uri="{C3380CC4-5D6E-409C-BE32-E72D297353CC}">
                  <c16:uniqueId val="{00000007-F5D7-4926-AF1A-FC10C54D07E0}"/>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D7-4926-AF1A-FC10C54D07E0}"/>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5D7-4926-AF1A-FC10C54D07E0}"/>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5D7-4926-AF1A-FC10C54D07E0}"/>
                </c:ext>
              </c:extLst>
            </c:dLbl>
            <c:dLbl>
              <c:idx val="5"/>
              <c:layout>
                <c:manualLayout>
                  <c:x val="0"/>
                  <c:y val="1.942926533090467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F5D7-4926-AF1A-FC10C54D07E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'Charts for fact sheet'!$B$52:$C$52</c:f>
              <c:strCache>
                <c:ptCount val="2"/>
                <c:pt idx="0">
                  <c:v>Average bulk billing</c:v>
                </c:pt>
                <c:pt idx="1">
                  <c:v>Bulk bills every visit</c:v>
                </c:pt>
              </c:strCache>
            </c:strRef>
          </c:cat>
          <c:val>
            <c:numRef>
              <c:f>'Charts for fact sheet'!$B$55:$C$55</c:f>
              <c:numCache>
                <c:formatCode>"$"#,##0_);[Red]\("$"#,##0\)</c:formatCode>
                <c:ptCount val="2"/>
                <c:pt idx="0">
                  <c:v>164160.97985280002</c:v>
                </c:pt>
                <c:pt idx="1">
                  <c:v>0</c:v>
                </c:pt>
              </c:numCache>
            </c:numRef>
          </c:val>
          <c:extLst>
            <c:ext xmlns:c16="http://schemas.microsoft.com/office/drawing/2014/chart" uri="{C3380CC4-5D6E-409C-BE32-E72D297353CC}">
              <c16:uniqueId val="{0000000C-F5D7-4926-AF1A-FC10C54D07E0}"/>
            </c:ext>
          </c:extLst>
        </c:ser>
        <c:ser>
          <c:idx val="3"/>
          <c:order val="3"/>
          <c:tx>
            <c:strRef>
              <c:f>'Charts for fact sheet'!$A$56</c:f>
              <c:strCache>
                <c:ptCount val="1"/>
                <c:pt idx="0">
                  <c:v>Earnings gap</c:v>
                </c:pt>
              </c:strCache>
            </c:strRef>
          </c:tx>
          <c:spPr>
            <a:pattFill prst="wdUpDiag">
              <a:fgClr>
                <a:srgbClr val="9E4C6E"/>
              </a:fgClr>
              <a:bgClr>
                <a:sysClr val="window" lastClr="FFFFFF"/>
              </a:bgClr>
            </a:patt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D-F5D7-4926-AF1A-FC10C54D07E0}"/>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fld id="{B8E68233-6D7B-4E2F-989C-89584B3CF080}" type="VALUE">
                      <a:rPr lang="en-US" b="1"/>
                      <a:pPr>
                        <a:defRPr/>
                      </a:pPr>
                      <a:t>[VALUE]</a:t>
                    </a:fld>
                    <a:endParaRPr lang="en-AU"/>
                  </a:p>
                </c:rich>
              </c:tx>
              <c:spPr>
                <a:solidFill>
                  <a:sysClr val="window" lastClr="FFFFFF"/>
                </a:solidFill>
                <a:l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F5D7-4926-AF1A-FC10C54D07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 for fact sheet'!$B$52:$C$52</c:f>
              <c:strCache>
                <c:ptCount val="2"/>
                <c:pt idx="0">
                  <c:v>Average bulk billing</c:v>
                </c:pt>
                <c:pt idx="1">
                  <c:v>Bulk bills every visit</c:v>
                </c:pt>
              </c:strCache>
            </c:strRef>
          </c:cat>
          <c:val>
            <c:numRef>
              <c:f>'Charts for fact sheet'!$B$56:$C$56</c:f>
              <c:numCache>
                <c:formatCode>"$"#,##0_);[Red]\("$"#,##0\)</c:formatCode>
                <c:ptCount val="2"/>
                <c:pt idx="0">
                  <c:v>0</c:v>
                </c:pt>
                <c:pt idx="1">
                  <c:v>65366.771174400172</c:v>
                </c:pt>
              </c:numCache>
            </c:numRef>
          </c:val>
          <c:extLst>
            <c:ext xmlns:c16="http://schemas.microsoft.com/office/drawing/2014/chart" uri="{C3380CC4-5D6E-409C-BE32-E72D297353CC}">
              <c16:uniqueId val="{0000000F-F5D7-4926-AF1A-FC10C54D07E0}"/>
            </c:ext>
          </c:extLst>
        </c:ser>
        <c:dLbls>
          <c:showLegendKey val="0"/>
          <c:showVal val="0"/>
          <c:showCatName val="0"/>
          <c:showSerName val="0"/>
          <c:showPercent val="0"/>
          <c:showBubbleSize val="0"/>
        </c:dLbls>
        <c:gapWidth val="150"/>
        <c:overlap val="100"/>
        <c:axId val="1574493136"/>
        <c:axId val="1574492176"/>
      </c:barChart>
      <c:catAx>
        <c:axId val="157449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574492176"/>
        <c:crosses val="autoZero"/>
        <c:auto val="1"/>
        <c:lblAlgn val="ctr"/>
        <c:lblOffset val="100"/>
        <c:noMultiLvlLbl val="0"/>
      </c:catAx>
      <c:valAx>
        <c:axId val="1574492176"/>
        <c:scaling>
          <c:orientation val="minMax"/>
          <c:max val="575000"/>
          <c:min val="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49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Annual GP billings at metropolitan practice (from Nov.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col"/>
        <c:grouping val="stacked"/>
        <c:varyColors val="0"/>
        <c:ser>
          <c:idx val="0"/>
          <c:order val="0"/>
          <c:tx>
            <c:strRef>
              <c:f>'Charts for fact sheet'!$A$67</c:f>
              <c:strCache>
                <c:ptCount val="1"/>
                <c:pt idx="0">
                  <c:v>Medicare benefits</c:v>
                </c:pt>
              </c:strCache>
            </c:strRef>
          </c:tx>
          <c:spPr>
            <a:solidFill>
              <a:srgbClr val="3F4A75"/>
            </a:solidFill>
            <a:ln>
              <a:noFill/>
            </a:ln>
            <a:effectLst/>
          </c:spPr>
          <c:invertIfNegative val="0"/>
          <c:dLbls>
            <c:dLbl>
              <c:idx val="0"/>
              <c:tx>
                <c:rich>
                  <a:bodyPr/>
                  <a:lstStyle/>
                  <a:p>
                    <a:fld id="{04FB1E9D-34A7-4385-8EB6-663496CA7D95}" type="VALUE">
                      <a:rPr lang="en-US" b="1"/>
                      <a:pPr/>
                      <a:t>[VALUE]</a:t>
                    </a:fld>
                    <a:endParaRPr lang="en-AU"/>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1EC5-41B0-B771-5543192779D6}"/>
                </c:ext>
              </c:extLst>
            </c:dLbl>
            <c:dLbl>
              <c:idx val="1"/>
              <c:tx>
                <c:rich>
                  <a:bodyPr/>
                  <a:lstStyle/>
                  <a:p>
                    <a:fld id="{AE4ED146-58D0-4816-B83B-7CF9D3B08B04}" type="VALUE">
                      <a:rPr lang="en-US" b="1"/>
                      <a:pPr/>
                      <a:t>[VALUE]</a:t>
                    </a:fld>
                    <a:endParaRPr lang="en-AU"/>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1EC5-41B0-B771-5543192779D6}"/>
                </c:ext>
              </c:extLst>
            </c:dLbl>
            <c:spPr>
              <a:solidFill>
                <a:sysClr val="window" lastClr="FFFFFF"/>
              </a:solidFill>
              <a:l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'Charts for fact sheet'!$B$52:$C$52</c:f>
              <c:strCache>
                <c:ptCount val="2"/>
                <c:pt idx="0">
                  <c:v>Average bulk billing</c:v>
                </c:pt>
                <c:pt idx="1">
                  <c:v>Bulk bills every visit</c:v>
                </c:pt>
              </c:strCache>
            </c:strRef>
          </c:cat>
          <c:val>
            <c:numRef>
              <c:f>'Charts for fact sheet'!$B$67:$C$67</c:f>
              <c:numCache>
                <c:formatCode>"$"#,##0_);[Red]\("$"#,##0\)</c:formatCode>
                <c:ptCount val="2"/>
                <c:pt idx="0">
                  <c:v>304418.38717440004</c:v>
                </c:pt>
                <c:pt idx="1">
                  <c:v>396172.79999999993</c:v>
                </c:pt>
              </c:numCache>
            </c:numRef>
          </c:val>
          <c:extLst>
            <c:ext xmlns:c16="http://schemas.microsoft.com/office/drawing/2014/chart" uri="{C3380CC4-5D6E-409C-BE32-E72D297353CC}">
              <c16:uniqueId val="{00000002-1EC5-41B0-B771-5543192779D6}"/>
            </c:ext>
          </c:extLst>
        </c:ser>
        <c:ser>
          <c:idx val="1"/>
          <c:order val="1"/>
          <c:tx>
            <c:strRef>
              <c:f>'Charts for fact sheet'!$A$68</c:f>
              <c:strCache>
                <c:ptCount val="1"/>
                <c:pt idx="0">
                  <c:v>Bulk billing incentives</c:v>
                </c:pt>
              </c:strCache>
            </c:strRef>
          </c:tx>
          <c:spPr>
            <a:solidFill>
              <a:srgbClr val="358189"/>
            </a:solidFill>
            <a:ln>
              <a:noFill/>
            </a:ln>
            <a:effectLst/>
          </c:spPr>
          <c:invertIfNegative val="0"/>
          <c:dLbls>
            <c:dLbl>
              <c:idx val="0"/>
              <c:tx>
                <c:rich>
                  <a:bodyPr/>
                  <a:lstStyle/>
                  <a:p>
                    <a:fld id="{18A34D70-4FC4-4797-A3F8-0B6D37A9B7C9}"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1EC5-41B0-B771-5543192779D6}"/>
                </c:ext>
              </c:extLst>
            </c:dLbl>
            <c:dLbl>
              <c:idx val="1"/>
              <c:tx>
                <c:rich>
                  <a:bodyPr/>
                  <a:lstStyle/>
                  <a:p>
                    <a:fld id="{03119D6E-1C7F-4142-98C2-C6E8C07FC167}"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1EC5-41B0-B771-5543192779D6}"/>
                </c:ext>
              </c:extLst>
            </c:dLbl>
            <c:spPr>
              <a:solidFill>
                <a:sysClr val="window" lastClr="FFFFFF"/>
              </a:solidFill>
              <a:l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'Charts for fact sheet'!$B$52:$C$52</c:f>
              <c:strCache>
                <c:ptCount val="2"/>
                <c:pt idx="0">
                  <c:v>Average bulk billing</c:v>
                </c:pt>
                <c:pt idx="1">
                  <c:v>Bulk bills every visit</c:v>
                </c:pt>
              </c:strCache>
            </c:strRef>
          </c:cat>
          <c:val>
            <c:numRef>
              <c:f>'Charts for fact sheet'!$B$68:$C$68</c:f>
              <c:numCache>
                <c:formatCode>"$"#,##0_);[Red]\("$"#,##0\)</c:formatCode>
                <c:ptCount val="2"/>
                <c:pt idx="0">
                  <c:v>100631.8609536</c:v>
                </c:pt>
                <c:pt idx="1">
                  <c:v>130963.20000000001</c:v>
                </c:pt>
              </c:numCache>
            </c:numRef>
          </c:val>
          <c:extLst>
            <c:ext xmlns:c16="http://schemas.microsoft.com/office/drawing/2014/chart" uri="{C3380CC4-5D6E-409C-BE32-E72D297353CC}">
              <c16:uniqueId val="{00000005-1EC5-41B0-B771-5543192779D6}"/>
            </c:ext>
          </c:extLst>
        </c:ser>
        <c:ser>
          <c:idx val="2"/>
          <c:order val="2"/>
          <c:tx>
            <c:strRef>
              <c:f>'Charts for fact sheet'!$A$69</c:f>
              <c:strCache>
                <c:ptCount val="1"/>
                <c:pt idx="0">
                  <c:v>Bulk billing practice</c:v>
                </c:pt>
              </c:strCache>
            </c:strRef>
          </c:tx>
          <c:spPr>
            <a:solidFill>
              <a:srgbClr val="0078BF"/>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1EC5-41B0-B771-5543192779D6}"/>
                </c:ext>
              </c:extLst>
            </c:dLbl>
            <c:dLbl>
              <c:idx val="1"/>
              <c:tx>
                <c:rich>
                  <a:bodyPr/>
                  <a:lstStyle/>
                  <a:p>
                    <a:fld id="{DE2EAB8E-D255-45C2-A8A6-1EEF76BF8928}" type="VALUE">
                      <a:rPr lang="en-US" b="1"/>
                      <a:pPr/>
                      <a:t>[VALUE]</a:t>
                    </a:fld>
                    <a:endParaRPr lang="en-AU"/>
                  </a:p>
                </c:rich>
              </c:tx>
              <c:dLblPos val="ctr"/>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1EC5-41B0-B771-5543192779D6}"/>
                </c:ext>
              </c:extLst>
            </c:dLbl>
            <c:spPr>
              <a:solidFill>
                <a:sysClr val="window" lastClr="FFFFFF"/>
              </a:solidFill>
              <a:l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'Charts for fact sheet'!$B$52:$C$52</c:f>
              <c:strCache>
                <c:ptCount val="2"/>
                <c:pt idx="0">
                  <c:v>Average bulk billing</c:v>
                </c:pt>
                <c:pt idx="1">
                  <c:v>Bulk bills every visit</c:v>
                </c:pt>
              </c:strCache>
            </c:strRef>
          </c:cat>
          <c:val>
            <c:numRef>
              <c:f>'Charts for fact sheet'!$B$69:$C$69</c:f>
              <c:numCache>
                <c:formatCode>"$"#,##0_);[Red]\("$"#,##0\)</c:formatCode>
                <c:ptCount val="2"/>
                <c:pt idx="0">
                  <c:v>0</c:v>
                </c:pt>
                <c:pt idx="1">
                  <c:v>49727.939999999995</c:v>
                </c:pt>
              </c:numCache>
            </c:numRef>
          </c:val>
          <c:extLst>
            <c:ext xmlns:c16="http://schemas.microsoft.com/office/drawing/2014/chart" uri="{C3380CC4-5D6E-409C-BE32-E72D297353CC}">
              <c16:uniqueId val="{00000008-1EC5-41B0-B771-5543192779D6}"/>
            </c:ext>
          </c:extLst>
        </c:ser>
        <c:ser>
          <c:idx val="3"/>
          <c:order val="3"/>
          <c:tx>
            <c:strRef>
              <c:f>'Charts for fact sheet'!$A$70</c:f>
              <c:strCache>
                <c:ptCount val="1"/>
                <c:pt idx="0">
                  <c:v>Patient fees</c:v>
                </c:pt>
              </c:strCache>
            </c:strRef>
          </c:tx>
          <c:spPr>
            <a:solidFill>
              <a:srgbClr val="9E4C6E"/>
            </a:solidFill>
            <a:ln>
              <a:noFill/>
            </a:ln>
            <a:effectLst/>
          </c:spPr>
          <c:invertIfNegative val="0"/>
          <c:dLbls>
            <c:dLbl>
              <c:idx val="0"/>
              <c:tx>
                <c:rich>
                  <a:bodyPr/>
                  <a:lstStyle/>
                  <a:p>
                    <a:fld id="{6409D875-2CA5-4357-94B1-B7FE7266764E}" type="VALUE">
                      <a:rPr lang="en-US" b="1"/>
                      <a:pPr/>
                      <a:t>[VALUE]</a:t>
                    </a:fld>
                    <a:endParaRPr lang="en-AU"/>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1EC5-41B0-B771-5543192779D6}"/>
                </c:ext>
              </c:extLst>
            </c:dLbl>
            <c:dLbl>
              <c:idx val="1"/>
              <c:delete val="1"/>
              <c:extLst>
                <c:ext xmlns:c15="http://schemas.microsoft.com/office/drawing/2012/chart" uri="{CE6537A1-D6FC-4f65-9D91-7224C49458BB}"/>
                <c:ext xmlns:c16="http://schemas.microsoft.com/office/drawing/2014/chart" uri="{C3380CC4-5D6E-409C-BE32-E72D297353CC}">
                  <c16:uniqueId val="{0000000A-1EC5-41B0-B771-5543192779D6}"/>
                </c:ext>
              </c:extLst>
            </c:dLbl>
            <c:spPr>
              <a:solidFill>
                <a:sysClr val="window" lastClr="FFFFFF"/>
              </a:solidFill>
              <a:l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'Charts for fact sheet'!$B$52:$C$52</c:f>
              <c:strCache>
                <c:ptCount val="2"/>
                <c:pt idx="0">
                  <c:v>Average bulk billing</c:v>
                </c:pt>
                <c:pt idx="1">
                  <c:v>Bulk bills every visit</c:v>
                </c:pt>
              </c:strCache>
            </c:strRef>
          </c:cat>
          <c:val>
            <c:numRef>
              <c:f>'Charts for fact sheet'!$B$70:$C$70</c:f>
              <c:numCache>
                <c:formatCode>"$"#,##0_);[Red]\("$"#,##0\)</c:formatCode>
                <c:ptCount val="2"/>
                <c:pt idx="0">
                  <c:v>164160.97985280002</c:v>
                </c:pt>
                <c:pt idx="1">
                  <c:v>0</c:v>
                </c:pt>
              </c:numCache>
            </c:numRef>
          </c:val>
          <c:extLst>
            <c:ext xmlns:c16="http://schemas.microsoft.com/office/drawing/2014/chart" uri="{C3380CC4-5D6E-409C-BE32-E72D297353CC}">
              <c16:uniqueId val="{0000000B-1EC5-41B0-B771-5543192779D6}"/>
            </c:ext>
          </c:extLst>
        </c:ser>
        <c:dLbls>
          <c:showLegendKey val="0"/>
          <c:showVal val="0"/>
          <c:showCatName val="0"/>
          <c:showSerName val="0"/>
          <c:showPercent val="0"/>
          <c:showBubbleSize val="0"/>
        </c:dLbls>
        <c:gapWidth val="150"/>
        <c:overlap val="100"/>
        <c:axId val="1574493136"/>
        <c:axId val="1574492176"/>
      </c:barChart>
      <c:catAx>
        <c:axId val="157449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574492176"/>
        <c:crosses val="autoZero"/>
        <c:auto val="1"/>
        <c:lblAlgn val="ctr"/>
        <c:lblOffset val="100"/>
        <c:noMultiLvlLbl val="0"/>
      </c:catAx>
      <c:valAx>
        <c:axId val="1574492176"/>
        <c:scaling>
          <c:orientation val="minMax"/>
          <c:max val="650000"/>
          <c:min val="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49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kern="1200" spc="0" baseline="0">
                <a:solidFill>
                  <a:sysClr val="windowText" lastClr="000000">
                    <a:lumMod val="65000"/>
                    <a:lumOff val="35000"/>
                  </a:sysClr>
                </a:solidFill>
              </a:rPr>
              <a:t>Annual GP billings at a rural practice by billing type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manualLayout>
          <c:layoutTarget val="inner"/>
          <c:xMode val="edge"/>
          <c:yMode val="edge"/>
          <c:x val="0.10815702888296627"/>
          <c:y val="8.5302156088672948E-2"/>
          <c:w val="0.87861254112805909"/>
          <c:h val="0.64842555552101688"/>
        </c:manualLayout>
      </c:layout>
      <c:barChart>
        <c:barDir val="col"/>
        <c:grouping val="stacked"/>
        <c:varyColors val="0"/>
        <c:ser>
          <c:idx val="0"/>
          <c:order val="0"/>
          <c:tx>
            <c:strRef>
              <c:f>'Charts for fact sheet'!$A$28</c:f>
              <c:strCache>
                <c:ptCount val="1"/>
                <c:pt idx="0">
                  <c:v>Medicare benefits</c:v>
                </c:pt>
              </c:strCache>
            </c:strRef>
          </c:tx>
          <c:spPr>
            <a:solidFill>
              <a:srgbClr val="3F4A75"/>
            </a:solidFill>
            <a:ln>
              <a:noFill/>
            </a:ln>
            <a:effectLst/>
          </c:spPr>
          <c:invertIfNegative val="0"/>
          <c:dLbls>
            <c:dLbl>
              <c:idx val="0"/>
              <c:tx>
                <c:rich>
                  <a:bodyPr/>
                  <a:lstStyle/>
                  <a:p>
                    <a:fld id="{DBA1AD6B-E614-410C-B730-A0DB266B8BAC}"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4B62-43D6-A42D-C774989A5575}"/>
                </c:ext>
              </c:extLst>
            </c:dLbl>
            <c:dLbl>
              <c:idx val="1"/>
              <c:tx>
                <c:rich>
                  <a:bodyPr/>
                  <a:lstStyle/>
                  <a:p>
                    <a:fld id="{1F4B09A2-27AE-421A-9C6E-343579F77524}"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4B62-43D6-A42D-C774989A5575}"/>
                </c:ext>
              </c:extLst>
            </c:dLbl>
            <c:dLbl>
              <c:idx val="2"/>
              <c:tx>
                <c:rich>
                  <a:bodyPr/>
                  <a:lstStyle/>
                  <a:p>
                    <a:fld id="{ABFA5F3C-2463-4AAC-AB58-D9500060B739}"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4B62-43D6-A42D-C774989A5575}"/>
                </c:ext>
              </c:extLst>
            </c:dLbl>
            <c:dLbl>
              <c:idx val="3"/>
              <c:tx>
                <c:rich>
                  <a:bodyPr/>
                  <a:lstStyle/>
                  <a:p>
                    <a:fld id="{ACFE5D53-E272-4E7D-95D6-5D26F0AC7DE9}"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B62-43D6-A42D-C774989A5575}"/>
                </c:ext>
              </c:extLst>
            </c:dLbl>
            <c:dLbl>
              <c:idx val="4"/>
              <c:tx>
                <c:rich>
                  <a:bodyPr/>
                  <a:lstStyle/>
                  <a:p>
                    <a:fld id="{70E94229-E13D-4946-98C3-84D531FD02B6}"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4B62-43D6-A42D-C774989A5575}"/>
                </c:ext>
              </c:extLst>
            </c:dLbl>
            <c:dLbl>
              <c:idx val="5"/>
              <c:tx>
                <c:rich>
                  <a:bodyPr/>
                  <a:lstStyle/>
                  <a:p>
                    <a:fld id="{9F496D3B-11B3-4E2E-A1AF-43CD751E0941}" type="VALUE">
                      <a:rPr lang="en-US" b="1"/>
                      <a:pPr/>
                      <a:t>[VALUE]</a:t>
                    </a:fld>
                    <a:endParaRPr lang="en-AU"/>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4B62-43D6-A42D-C774989A557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'Charts for fact sheet'!$E$16:$J$17</c:f>
              <c:multiLvlStrCache>
                <c:ptCount val="6"/>
                <c:lvl>
                  <c:pt idx="0">
                    <c:v>Average bulk billing</c:v>
                  </c:pt>
                  <c:pt idx="1">
                    <c:v>Bulk bills 9 in 10 visits</c:v>
                  </c:pt>
                  <c:pt idx="2">
                    <c:v>Bulk bills every visit</c:v>
                  </c:pt>
                  <c:pt idx="3">
                    <c:v>Average bulk billing</c:v>
                  </c:pt>
                  <c:pt idx="4">
                    <c:v>Bulk bills 9 in 10 visits</c:v>
                  </c:pt>
                  <c:pt idx="5">
                    <c:v>Bulk bills every visit</c:v>
                  </c:pt>
                </c:lvl>
                <c:lvl>
                  <c:pt idx="0">
                    <c:v>Now</c:v>
                  </c:pt>
                  <c:pt idx="3">
                    <c:v>From 1 November 2025</c:v>
                  </c:pt>
                </c:lvl>
              </c:multiLvlStrCache>
            </c:multiLvlStrRef>
          </c:cat>
          <c:val>
            <c:numRef>
              <c:f>'Charts for fact sheet'!$E$28:$J$28</c:f>
              <c:numCache>
                <c:formatCode>"$"#,##0_);[Red]\("$"#,##0\)</c:formatCode>
                <c:ptCount val="6"/>
                <c:pt idx="0">
                  <c:v>317866.84204799996</c:v>
                </c:pt>
                <c:pt idx="1">
                  <c:v>363121.91999999993</c:v>
                </c:pt>
                <c:pt idx="2">
                  <c:v>403468.79999999993</c:v>
                </c:pt>
                <c:pt idx="3">
                  <c:v>317866.84204799996</c:v>
                </c:pt>
                <c:pt idx="4">
                  <c:v>363121.91999999993</c:v>
                </c:pt>
                <c:pt idx="5">
                  <c:v>403468.79999999993</c:v>
                </c:pt>
              </c:numCache>
            </c:numRef>
          </c:val>
          <c:extLst>
            <c:ext xmlns:c16="http://schemas.microsoft.com/office/drawing/2014/chart" uri="{C3380CC4-5D6E-409C-BE32-E72D297353CC}">
              <c16:uniqueId val="{00000006-4B62-43D6-A42D-C774989A5575}"/>
            </c:ext>
          </c:extLst>
        </c:ser>
        <c:ser>
          <c:idx val="1"/>
          <c:order val="1"/>
          <c:tx>
            <c:strRef>
              <c:f>'Charts for fact sheet'!$A$29</c:f>
              <c:strCache>
                <c:ptCount val="1"/>
                <c:pt idx="0">
                  <c:v>Bulk billing incentives</c:v>
                </c:pt>
              </c:strCache>
            </c:strRef>
          </c:tx>
          <c:spPr>
            <a:solidFill>
              <a:srgbClr val="358189"/>
            </a:solidFill>
            <a:ln>
              <a:noFill/>
            </a:ln>
            <a:effectLst/>
          </c:spPr>
          <c:invertIfNegative val="0"/>
          <c:dLbls>
            <c:dLbl>
              <c:idx val="0"/>
              <c:tx>
                <c:rich>
                  <a:bodyPr/>
                  <a:lstStyle/>
                  <a:p>
                    <a:fld id="{0FE92C96-8764-4019-B359-45172D8B87AC}"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4B62-43D6-A42D-C774989A5575}"/>
                </c:ext>
              </c:extLst>
            </c:dLbl>
            <c:dLbl>
              <c:idx val="1"/>
              <c:tx>
                <c:rich>
                  <a:bodyPr/>
                  <a:lstStyle/>
                  <a:p>
                    <a:fld id="{9DFE979E-2589-4764-A1DC-D75B5DDD6608}"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8-4B62-43D6-A42D-C774989A5575}"/>
                </c:ext>
              </c:extLst>
            </c:dLbl>
            <c:dLbl>
              <c:idx val="2"/>
              <c:tx>
                <c:rich>
                  <a:bodyPr/>
                  <a:lstStyle/>
                  <a:p>
                    <a:fld id="{27D2028D-BF66-4C53-B8D4-C68B9359153D}"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4B62-43D6-A42D-C774989A5575}"/>
                </c:ext>
              </c:extLst>
            </c:dLbl>
            <c:dLbl>
              <c:idx val="3"/>
              <c:tx>
                <c:rich>
                  <a:bodyPr/>
                  <a:lstStyle/>
                  <a:p>
                    <a:fld id="{DE0E2D4A-622F-4B84-9DB2-7BDFF8C21667}"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A-4B62-43D6-A42D-C774989A5575}"/>
                </c:ext>
              </c:extLst>
            </c:dLbl>
            <c:dLbl>
              <c:idx val="4"/>
              <c:tx>
                <c:rich>
                  <a:bodyPr/>
                  <a:lstStyle/>
                  <a:p>
                    <a:fld id="{49783AEA-3071-410A-922D-C08B5732B3F2}"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4B62-43D6-A42D-C774989A5575}"/>
                </c:ext>
              </c:extLst>
            </c:dLbl>
            <c:dLbl>
              <c:idx val="5"/>
              <c:tx>
                <c:rich>
                  <a:bodyPr/>
                  <a:lstStyle/>
                  <a:p>
                    <a:fld id="{355895A5-2976-4711-95CF-4B1FAAD795E5}"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C-4B62-43D6-A42D-C774989A557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'Charts for fact sheet'!$E$16:$J$17</c:f>
              <c:multiLvlStrCache>
                <c:ptCount val="6"/>
                <c:lvl>
                  <c:pt idx="0">
                    <c:v>Average bulk billing</c:v>
                  </c:pt>
                  <c:pt idx="1">
                    <c:v>Bulk bills 9 in 10 visits</c:v>
                  </c:pt>
                  <c:pt idx="2">
                    <c:v>Bulk bills every visit</c:v>
                  </c:pt>
                  <c:pt idx="3">
                    <c:v>Average bulk billing</c:v>
                  </c:pt>
                  <c:pt idx="4">
                    <c:v>Bulk bills 9 in 10 visits</c:v>
                  </c:pt>
                  <c:pt idx="5">
                    <c:v>Bulk bills every visit</c:v>
                  </c:pt>
                </c:lvl>
                <c:lvl>
                  <c:pt idx="0">
                    <c:v>Now</c:v>
                  </c:pt>
                  <c:pt idx="3">
                    <c:v>From 1 November 2025</c:v>
                  </c:pt>
                </c:lvl>
              </c:multiLvlStrCache>
            </c:multiLvlStrRef>
          </c:cat>
          <c:val>
            <c:numRef>
              <c:f>'Charts for fact sheet'!$E$29:$J$29</c:f>
              <c:numCache>
                <c:formatCode>"$"#,##0_);[Red]\("$"#,##0\)</c:formatCode>
                <c:ptCount val="6"/>
                <c:pt idx="0">
                  <c:v>114883.50911999999</c:v>
                </c:pt>
                <c:pt idx="1">
                  <c:v>114248.7936</c:v>
                </c:pt>
                <c:pt idx="2">
                  <c:v>126943.10399999999</c:v>
                </c:pt>
                <c:pt idx="3">
                  <c:v>157496.40998399997</c:v>
                </c:pt>
                <c:pt idx="4">
                  <c:v>179919.35999999996</c:v>
                </c:pt>
                <c:pt idx="5">
                  <c:v>199910.40000000002</c:v>
                </c:pt>
              </c:numCache>
            </c:numRef>
          </c:val>
          <c:extLst>
            <c:ext xmlns:c16="http://schemas.microsoft.com/office/drawing/2014/chart" uri="{C3380CC4-5D6E-409C-BE32-E72D297353CC}">
              <c16:uniqueId val="{0000000D-4B62-43D6-A42D-C774989A5575}"/>
            </c:ext>
          </c:extLst>
        </c:ser>
        <c:ser>
          <c:idx val="2"/>
          <c:order val="2"/>
          <c:tx>
            <c:strRef>
              <c:f>'Charts for fact sheet'!$A$30</c:f>
              <c:strCache>
                <c:ptCount val="1"/>
                <c:pt idx="0">
                  <c:v>Bulk billing practice</c:v>
                </c:pt>
              </c:strCache>
            </c:strRef>
          </c:tx>
          <c:spPr>
            <a:solidFill>
              <a:srgbClr val="0078BF"/>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4B62-43D6-A42D-C774989A5575}"/>
                </c:ext>
              </c:extLst>
            </c:dLbl>
            <c:dLbl>
              <c:idx val="1"/>
              <c:delete val="1"/>
              <c:extLst>
                <c:ext xmlns:c15="http://schemas.microsoft.com/office/drawing/2012/chart" uri="{CE6537A1-D6FC-4f65-9D91-7224C49458BB}"/>
                <c:ext xmlns:c16="http://schemas.microsoft.com/office/drawing/2014/chart" uri="{C3380CC4-5D6E-409C-BE32-E72D297353CC}">
                  <c16:uniqueId val="{0000000F-4B62-43D6-A42D-C774989A5575}"/>
                </c:ext>
              </c:extLst>
            </c:dLbl>
            <c:dLbl>
              <c:idx val="2"/>
              <c:delete val="1"/>
              <c:extLst>
                <c:ext xmlns:c15="http://schemas.microsoft.com/office/drawing/2012/chart" uri="{CE6537A1-D6FC-4f65-9D91-7224C49458BB}"/>
                <c:ext xmlns:c16="http://schemas.microsoft.com/office/drawing/2014/chart" uri="{C3380CC4-5D6E-409C-BE32-E72D297353CC}">
                  <c16:uniqueId val="{00000010-4B62-43D6-A42D-C774989A5575}"/>
                </c:ext>
              </c:extLst>
            </c:dLbl>
            <c:dLbl>
              <c:idx val="3"/>
              <c:delete val="1"/>
              <c:extLst>
                <c:ext xmlns:c15="http://schemas.microsoft.com/office/drawing/2012/chart" uri="{CE6537A1-D6FC-4f65-9D91-7224C49458BB}"/>
                <c:ext xmlns:c16="http://schemas.microsoft.com/office/drawing/2014/chart" uri="{C3380CC4-5D6E-409C-BE32-E72D297353CC}">
                  <c16:uniqueId val="{00000011-4B62-43D6-A42D-C774989A5575}"/>
                </c:ext>
              </c:extLst>
            </c:dLbl>
            <c:dLbl>
              <c:idx val="4"/>
              <c:delete val="1"/>
              <c:extLst>
                <c:ext xmlns:c15="http://schemas.microsoft.com/office/drawing/2012/chart" uri="{CE6537A1-D6FC-4f65-9D91-7224C49458BB}"/>
                <c:ext xmlns:c16="http://schemas.microsoft.com/office/drawing/2014/chart" uri="{C3380CC4-5D6E-409C-BE32-E72D297353CC}">
                  <c16:uniqueId val="{00000012-4B62-43D6-A42D-C774989A5575}"/>
                </c:ext>
              </c:extLst>
            </c:dLbl>
            <c:dLbl>
              <c:idx val="5"/>
              <c:tx>
                <c:rich>
                  <a:bodyPr/>
                  <a:lstStyle/>
                  <a:p>
                    <a:fld id="{42ADA9AE-2C4D-46A4-9F8D-D168B3251E9F}" type="VALUE">
                      <a:rPr lang="en-US" b="1"/>
                      <a:pPr/>
                      <a:t>[VALUE]</a:t>
                    </a:fld>
                    <a:endParaRPr lang="en-AU"/>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3-4B62-43D6-A42D-C774989A557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Base"/>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'Charts for fact sheet'!$E$16:$J$17</c:f>
              <c:multiLvlStrCache>
                <c:ptCount val="6"/>
                <c:lvl>
                  <c:pt idx="0">
                    <c:v>Average bulk billing</c:v>
                  </c:pt>
                  <c:pt idx="1">
                    <c:v>Bulk bills 9 in 10 visits</c:v>
                  </c:pt>
                  <c:pt idx="2">
                    <c:v>Bulk bills every visit</c:v>
                  </c:pt>
                  <c:pt idx="3">
                    <c:v>Average bulk billing</c:v>
                  </c:pt>
                  <c:pt idx="4">
                    <c:v>Bulk bills 9 in 10 visits</c:v>
                  </c:pt>
                  <c:pt idx="5">
                    <c:v>Bulk bills every visit</c:v>
                  </c:pt>
                </c:lvl>
                <c:lvl>
                  <c:pt idx="0">
                    <c:v>Now</c:v>
                  </c:pt>
                  <c:pt idx="3">
                    <c:v>From 1 November 2025</c:v>
                  </c:pt>
                </c:lvl>
              </c:multiLvlStrCache>
            </c:multiLvlStrRef>
          </c:cat>
          <c:val>
            <c:numRef>
              <c:f>'Charts for fact sheet'!$E$30:$J$30</c:f>
              <c:numCache>
                <c:formatCode>"$"#,##0_);[Red]\("$"#,##0\)</c:formatCode>
                <c:ptCount val="6"/>
                <c:pt idx="0">
                  <c:v>0</c:v>
                </c:pt>
                <c:pt idx="1">
                  <c:v>0</c:v>
                </c:pt>
                <c:pt idx="2">
                  <c:v>0</c:v>
                </c:pt>
                <c:pt idx="3">
                  <c:v>0</c:v>
                </c:pt>
                <c:pt idx="4">
                  <c:v>0</c:v>
                </c:pt>
                <c:pt idx="5">
                  <c:v>50643.739999999991</c:v>
                </c:pt>
              </c:numCache>
            </c:numRef>
          </c:val>
          <c:extLst>
            <c:ext xmlns:c16="http://schemas.microsoft.com/office/drawing/2014/chart" uri="{C3380CC4-5D6E-409C-BE32-E72D297353CC}">
              <c16:uniqueId val="{00000014-4B62-43D6-A42D-C774989A5575}"/>
            </c:ext>
          </c:extLst>
        </c:ser>
        <c:ser>
          <c:idx val="3"/>
          <c:order val="3"/>
          <c:tx>
            <c:strRef>
              <c:f>'Charts for fact sheet'!$A$31</c:f>
              <c:strCache>
                <c:ptCount val="1"/>
                <c:pt idx="0">
                  <c:v>Patient fees</c:v>
                </c:pt>
              </c:strCache>
            </c:strRef>
          </c:tx>
          <c:spPr>
            <a:solidFill>
              <a:srgbClr val="9E4C6E"/>
            </a:solidFill>
            <a:ln>
              <a:noFill/>
            </a:ln>
            <a:effectLst/>
          </c:spPr>
          <c:invertIfNegative val="0"/>
          <c:dLbls>
            <c:dLbl>
              <c:idx val="0"/>
              <c:tx>
                <c:rich>
                  <a:bodyPr/>
                  <a:lstStyle/>
                  <a:p>
                    <a:fld id="{EE572B44-CE09-4BB1-95B6-5F71779A3947}" type="VALUE">
                      <a:rPr lang="en-US" b="1"/>
                      <a:pPr/>
                      <a:t>[VALUE]</a:t>
                    </a:fld>
                    <a:endParaRPr lang="en-AU"/>
                  </a:p>
                </c:rich>
              </c:tx>
              <c:showLegendKey val="0"/>
              <c:showVal val="0"/>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5-4B62-43D6-A42D-C774989A5575}"/>
                </c:ext>
              </c:extLst>
            </c:dLbl>
            <c:dLbl>
              <c:idx val="1"/>
              <c:tx>
                <c:rich>
                  <a:bodyPr/>
                  <a:lstStyle/>
                  <a:p>
                    <a:fld id="{0899C7B4-2EEB-4B76-BC89-4EC47A76F7B3}" type="VALUE">
                      <a:rPr lang="en-US" b="1"/>
                      <a:pPr/>
                      <a:t>[VALUE]</a:t>
                    </a:fld>
                    <a:endParaRPr lang="en-AU"/>
                  </a:p>
                </c:rich>
              </c:tx>
              <c:showLegendKey val="0"/>
              <c:showVal val="0"/>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6-4B62-43D6-A42D-C774989A5575}"/>
                </c:ext>
              </c:extLst>
            </c:dLbl>
            <c:dLbl>
              <c:idx val="2"/>
              <c:delete val="1"/>
              <c:extLst>
                <c:ext xmlns:c15="http://schemas.microsoft.com/office/drawing/2012/chart" uri="{CE6537A1-D6FC-4f65-9D91-7224C49458BB}"/>
                <c:ext xmlns:c16="http://schemas.microsoft.com/office/drawing/2014/chart" uri="{C3380CC4-5D6E-409C-BE32-E72D297353CC}">
                  <c16:uniqueId val="{00000017-4B62-43D6-A42D-C774989A5575}"/>
                </c:ext>
              </c:extLst>
            </c:dLbl>
            <c:dLbl>
              <c:idx val="3"/>
              <c:tx>
                <c:rich>
                  <a:bodyPr/>
                  <a:lstStyle/>
                  <a:p>
                    <a:fld id="{36E1F102-E8F2-4015-9E47-331BA322F943}" type="VALUE">
                      <a:rPr lang="en-US" b="1"/>
                      <a:pPr/>
                      <a:t>[VALUE]</a:t>
                    </a:fld>
                    <a:endParaRPr lang="en-AU"/>
                  </a:p>
                </c:rich>
              </c:tx>
              <c:showLegendKey val="0"/>
              <c:showVal val="0"/>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8-4B62-43D6-A42D-C774989A5575}"/>
                </c:ext>
              </c:extLst>
            </c:dLbl>
            <c:dLbl>
              <c:idx val="4"/>
              <c:tx>
                <c:rich>
                  <a:bodyPr/>
                  <a:lstStyle/>
                  <a:p>
                    <a:fld id="{2EBCFDA6-0F7C-4F2B-850C-B4E6B85DBEE7}" type="VALUE">
                      <a:rPr lang="en-US" b="1"/>
                      <a:pPr/>
                      <a:t>[VALUE]</a:t>
                    </a:fld>
                    <a:endParaRPr lang="en-AU"/>
                  </a:p>
                </c:rich>
              </c:tx>
              <c:showLegendKey val="0"/>
              <c:showVal val="0"/>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9-4B62-43D6-A42D-C774989A5575}"/>
                </c:ext>
              </c:extLst>
            </c:dLbl>
            <c:dLbl>
              <c:idx val="5"/>
              <c:delete val="1"/>
              <c:extLst>
                <c:ext xmlns:c15="http://schemas.microsoft.com/office/drawing/2012/chart" uri="{CE6537A1-D6FC-4f65-9D91-7224C49458BB}"/>
                <c:ext xmlns:c16="http://schemas.microsoft.com/office/drawing/2014/chart" uri="{C3380CC4-5D6E-409C-BE32-E72D297353CC}">
                  <c16:uniqueId val="{0000001A-4B62-43D6-A42D-C774989A557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ctr">
                  <a:defRPr lang="en-US"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'Charts for fact sheet'!$E$16:$J$17</c:f>
              <c:multiLvlStrCache>
                <c:ptCount val="6"/>
                <c:lvl>
                  <c:pt idx="0">
                    <c:v>Average bulk billing</c:v>
                  </c:pt>
                  <c:pt idx="1">
                    <c:v>Bulk bills 9 in 10 visits</c:v>
                  </c:pt>
                  <c:pt idx="2">
                    <c:v>Bulk bills every visit</c:v>
                  </c:pt>
                  <c:pt idx="3">
                    <c:v>Average bulk billing</c:v>
                  </c:pt>
                  <c:pt idx="4">
                    <c:v>Bulk bills 9 in 10 visits</c:v>
                  </c:pt>
                  <c:pt idx="5">
                    <c:v>Bulk bills every visit</c:v>
                  </c:pt>
                </c:lvl>
                <c:lvl>
                  <c:pt idx="0">
                    <c:v>Now</c:v>
                  </c:pt>
                  <c:pt idx="3">
                    <c:v>From 1 November 2025</c:v>
                  </c:pt>
                </c:lvl>
              </c:multiLvlStrCache>
            </c:multiLvlStrRef>
          </c:cat>
          <c:val>
            <c:numRef>
              <c:f>'Charts for fact sheet'!$E$31:$J$31</c:f>
              <c:numCache>
                <c:formatCode>"$"#,##0_);[Red]\("$"#,##0\)</c:formatCode>
                <c:ptCount val="6"/>
                <c:pt idx="0">
                  <c:v>144424.27987199998</c:v>
                </c:pt>
                <c:pt idx="1">
                  <c:v>68071.679999999964</c:v>
                </c:pt>
                <c:pt idx="2">
                  <c:v>0</c:v>
                </c:pt>
                <c:pt idx="3">
                  <c:v>144424.27987199998</c:v>
                </c:pt>
                <c:pt idx="4">
                  <c:v>68071.679999999964</c:v>
                </c:pt>
                <c:pt idx="5">
                  <c:v>0</c:v>
                </c:pt>
              </c:numCache>
            </c:numRef>
          </c:val>
          <c:extLst>
            <c:ext xmlns:c16="http://schemas.microsoft.com/office/drawing/2014/chart" uri="{C3380CC4-5D6E-409C-BE32-E72D297353CC}">
              <c16:uniqueId val="{0000001B-4B62-43D6-A42D-C774989A5575}"/>
            </c:ext>
          </c:extLst>
        </c:ser>
        <c:dLbls>
          <c:showLegendKey val="0"/>
          <c:showVal val="0"/>
          <c:showCatName val="0"/>
          <c:showSerName val="0"/>
          <c:showPercent val="0"/>
          <c:showBubbleSize val="0"/>
        </c:dLbls>
        <c:gapWidth val="50"/>
        <c:overlap val="100"/>
        <c:axId val="1574493136"/>
        <c:axId val="1574492176"/>
      </c:barChart>
      <c:catAx>
        <c:axId val="157449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574492176"/>
        <c:crosses val="autoZero"/>
        <c:auto val="1"/>
        <c:lblAlgn val="ctr"/>
        <c:lblOffset val="100"/>
        <c:noMultiLvlLbl val="0"/>
      </c:catAx>
      <c:valAx>
        <c:axId val="1574492176"/>
        <c:scaling>
          <c:orientation val="minMax"/>
          <c:max val="750000"/>
          <c:min val="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493136"/>
        <c:crosses val="autoZero"/>
        <c:crossBetween val="between"/>
      </c:valAx>
      <c:spPr>
        <a:noFill/>
        <a:ln>
          <a:noFill/>
        </a:ln>
        <a:effectLst/>
      </c:spPr>
    </c:plotArea>
    <c:legend>
      <c:legendPos val="b"/>
      <c:layout>
        <c:manualLayout>
          <c:xMode val="edge"/>
          <c:yMode val="edge"/>
          <c:x val="0.10816848831051576"/>
          <c:y val="0.90320340689269285"/>
          <c:w val="0.79248331003828487"/>
          <c:h val="5.124542396063231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0.14048</cdr:x>
      <cdr:y>0.08712</cdr:y>
    </cdr:from>
    <cdr:to>
      <cdr:x>0.2855</cdr:x>
      <cdr:y>0.26894</cdr:y>
    </cdr:to>
    <cdr:sp macro="" textlink="">
      <cdr:nvSpPr>
        <cdr:cNvPr id="2" name="TextBox 1">
          <a:extLst xmlns:a="http://schemas.openxmlformats.org/drawingml/2006/main">
            <a:ext uri="{FF2B5EF4-FFF2-40B4-BE49-F238E27FC236}">
              <a16:creationId xmlns:a16="http://schemas.microsoft.com/office/drawing/2014/main" id="{D362A6A5-D444-F028-1578-B0456354C7D6}"/>
            </a:ext>
          </a:extLst>
        </cdr:cNvPr>
        <cdr:cNvSpPr txBox="1"/>
      </cdr:nvSpPr>
      <cdr:spPr>
        <a:xfrm xmlns:a="http://schemas.openxmlformats.org/drawingml/2006/main">
          <a:off x="885826" y="438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kern="1200"/>
        </a:p>
      </cdr:txBody>
    </cdr:sp>
  </cdr:relSizeAnchor>
  <cdr:relSizeAnchor xmlns:cdr="http://schemas.openxmlformats.org/drawingml/2006/chartDrawing">
    <cdr:from>
      <cdr:x>0.14048</cdr:x>
      <cdr:y>0.125</cdr:y>
    </cdr:from>
    <cdr:to>
      <cdr:x>0.2855</cdr:x>
      <cdr:y>0.30682</cdr:y>
    </cdr:to>
    <cdr:sp macro="" textlink="">
      <cdr:nvSpPr>
        <cdr:cNvPr id="3" name="TextBox 2">
          <a:extLst xmlns:a="http://schemas.openxmlformats.org/drawingml/2006/main">
            <a:ext uri="{FF2B5EF4-FFF2-40B4-BE49-F238E27FC236}">
              <a16:creationId xmlns:a16="http://schemas.microsoft.com/office/drawing/2014/main" id="{3917CEB7-929B-872B-8A38-B7750A0846C9}"/>
            </a:ext>
          </a:extLst>
        </cdr:cNvPr>
        <cdr:cNvSpPr txBox="1"/>
      </cdr:nvSpPr>
      <cdr:spPr>
        <a:xfrm xmlns:a="http://schemas.openxmlformats.org/drawingml/2006/main">
          <a:off x="885826" y="628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kern="1200"/>
        </a:p>
      </cdr:txBody>
    </cdr:sp>
  </cdr:relSizeAnchor>
  <cdr:relSizeAnchor xmlns:cdr="http://schemas.openxmlformats.org/drawingml/2006/chartDrawing">
    <cdr:from>
      <cdr:x>0.1088</cdr:x>
      <cdr:y>0.07991</cdr:y>
    </cdr:from>
    <cdr:to>
      <cdr:x>0.21768</cdr:x>
      <cdr:y>0.14516</cdr:y>
    </cdr:to>
    <cdr:sp macro="" textlink="">
      <cdr:nvSpPr>
        <cdr:cNvPr id="4" name="TextBox 3">
          <a:extLst xmlns:a="http://schemas.openxmlformats.org/drawingml/2006/main">
            <a:ext uri="{FF2B5EF4-FFF2-40B4-BE49-F238E27FC236}">
              <a16:creationId xmlns:a16="http://schemas.microsoft.com/office/drawing/2014/main" id="{F1381ABC-A2FE-04EA-CE35-9C3611563C71}"/>
            </a:ext>
          </a:extLst>
        </cdr:cNvPr>
        <cdr:cNvSpPr txBox="1"/>
      </cdr:nvSpPr>
      <cdr:spPr>
        <a:xfrm xmlns:a="http://schemas.openxmlformats.org/drawingml/2006/main">
          <a:off x="778275" y="415760"/>
          <a:ext cx="778848" cy="339484"/>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n-AU" sz="1200" b="1" kern="1200"/>
            <a:t>$530,557</a:t>
          </a:r>
        </a:p>
      </cdr:txBody>
    </cdr:sp>
  </cdr:relSizeAnchor>
  <cdr:relSizeAnchor xmlns:cdr="http://schemas.openxmlformats.org/drawingml/2006/chartDrawing">
    <cdr:from>
      <cdr:x>0.2571</cdr:x>
      <cdr:y>0.07991</cdr:y>
    </cdr:from>
    <cdr:to>
      <cdr:x>0.36598</cdr:x>
      <cdr:y>0.14516</cdr:y>
    </cdr:to>
    <cdr:sp macro="" textlink="">
      <cdr:nvSpPr>
        <cdr:cNvPr id="5" name="TextBox 1">
          <a:extLst xmlns:a="http://schemas.openxmlformats.org/drawingml/2006/main">
            <a:ext uri="{FF2B5EF4-FFF2-40B4-BE49-F238E27FC236}">
              <a16:creationId xmlns:a16="http://schemas.microsoft.com/office/drawing/2014/main" id="{8B8B5692-6527-8B95-6B8F-25EB9B102C4A}"/>
            </a:ext>
          </a:extLst>
        </cdr:cNvPr>
        <cdr:cNvSpPr txBox="1"/>
      </cdr:nvSpPr>
      <cdr:spPr>
        <a:xfrm xmlns:a="http://schemas.openxmlformats.org/drawingml/2006/main">
          <a:off x="1839070" y="415760"/>
          <a:ext cx="778847" cy="339483"/>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$489,552</a:t>
          </a:r>
        </a:p>
      </cdr:txBody>
    </cdr:sp>
  </cdr:relSizeAnchor>
  <cdr:relSizeAnchor xmlns:cdr="http://schemas.openxmlformats.org/drawingml/2006/chartDrawing">
    <cdr:from>
      <cdr:x>0.40539</cdr:x>
      <cdr:y>0.07991</cdr:y>
    </cdr:from>
    <cdr:to>
      <cdr:x>0.51427</cdr:x>
      <cdr:y>0.14516</cdr:y>
    </cdr:to>
    <cdr:sp macro="" textlink="">
      <cdr:nvSpPr>
        <cdr:cNvPr id="6" name="TextBox 1">
          <a:extLst xmlns:a="http://schemas.openxmlformats.org/drawingml/2006/main">
            <a:ext uri="{FF2B5EF4-FFF2-40B4-BE49-F238E27FC236}">
              <a16:creationId xmlns:a16="http://schemas.microsoft.com/office/drawing/2014/main" id="{8B8B5692-6527-8B95-6B8F-25EB9B102C4A}"/>
            </a:ext>
          </a:extLst>
        </cdr:cNvPr>
        <cdr:cNvSpPr txBox="1"/>
      </cdr:nvSpPr>
      <cdr:spPr>
        <a:xfrm xmlns:a="http://schemas.openxmlformats.org/drawingml/2006/main">
          <a:off x="2899865" y="415760"/>
          <a:ext cx="778846" cy="339483"/>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$465,190</a:t>
          </a:r>
        </a:p>
      </cdr:txBody>
    </cdr:sp>
  </cdr:relSizeAnchor>
  <cdr:relSizeAnchor xmlns:cdr="http://schemas.openxmlformats.org/drawingml/2006/chartDrawing">
    <cdr:from>
      <cdr:x>0.55369</cdr:x>
      <cdr:y>0.07991</cdr:y>
    </cdr:from>
    <cdr:to>
      <cdr:x>0.66257</cdr:x>
      <cdr:y>0.14516</cdr:y>
    </cdr:to>
    <cdr:sp macro="" textlink="">
      <cdr:nvSpPr>
        <cdr:cNvPr id="7" name="TextBox 1">
          <a:extLst xmlns:a="http://schemas.openxmlformats.org/drawingml/2006/main">
            <a:ext uri="{FF2B5EF4-FFF2-40B4-BE49-F238E27FC236}">
              <a16:creationId xmlns:a16="http://schemas.microsoft.com/office/drawing/2014/main" id="{8B8B5692-6527-8B95-6B8F-25EB9B102C4A}"/>
            </a:ext>
          </a:extLst>
        </cdr:cNvPr>
        <cdr:cNvSpPr txBox="1"/>
      </cdr:nvSpPr>
      <cdr:spPr>
        <a:xfrm xmlns:a="http://schemas.openxmlformats.org/drawingml/2006/main">
          <a:off x="3960660" y="415760"/>
          <a:ext cx="778846" cy="339484"/>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$569,211</a:t>
          </a:r>
        </a:p>
      </cdr:txBody>
    </cdr:sp>
  </cdr:relSizeAnchor>
  <cdr:relSizeAnchor xmlns:cdr="http://schemas.openxmlformats.org/drawingml/2006/chartDrawing">
    <cdr:from>
      <cdr:x>0.70198</cdr:x>
      <cdr:y>0.07991</cdr:y>
    </cdr:from>
    <cdr:to>
      <cdr:x>0.81086</cdr:x>
      <cdr:y>0.14516</cdr:y>
    </cdr:to>
    <cdr:sp macro="" textlink="">
      <cdr:nvSpPr>
        <cdr:cNvPr id="13" name="TextBox 1">
          <a:extLst xmlns:a="http://schemas.openxmlformats.org/drawingml/2006/main">
            <a:ext uri="{FF2B5EF4-FFF2-40B4-BE49-F238E27FC236}">
              <a16:creationId xmlns:a16="http://schemas.microsoft.com/office/drawing/2014/main" id="{8B8B5692-6527-8B95-6B8F-25EB9B102C4A}"/>
            </a:ext>
          </a:extLst>
        </cdr:cNvPr>
        <cdr:cNvSpPr txBox="1"/>
      </cdr:nvSpPr>
      <cdr:spPr>
        <a:xfrm xmlns:a="http://schemas.openxmlformats.org/drawingml/2006/main">
          <a:off x="5021455" y="415760"/>
          <a:ext cx="778845" cy="339483"/>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$545,303</a:t>
          </a:r>
        </a:p>
      </cdr:txBody>
    </cdr:sp>
  </cdr:relSizeAnchor>
  <cdr:relSizeAnchor xmlns:cdr="http://schemas.openxmlformats.org/drawingml/2006/chartDrawing">
    <cdr:from>
      <cdr:x>0.85028</cdr:x>
      <cdr:y>0.07991</cdr:y>
    </cdr:from>
    <cdr:to>
      <cdr:x>0.95916</cdr:x>
      <cdr:y>0.14516</cdr:y>
    </cdr:to>
    <cdr:sp macro="" textlink="">
      <cdr:nvSpPr>
        <cdr:cNvPr id="14" name="TextBox 1">
          <a:extLst xmlns:a="http://schemas.openxmlformats.org/drawingml/2006/main">
            <a:ext uri="{FF2B5EF4-FFF2-40B4-BE49-F238E27FC236}">
              <a16:creationId xmlns:a16="http://schemas.microsoft.com/office/drawing/2014/main" id="{8B8B5692-6527-8B95-6B8F-25EB9B102C4A}"/>
            </a:ext>
          </a:extLst>
        </cdr:cNvPr>
        <cdr:cNvSpPr txBox="1"/>
      </cdr:nvSpPr>
      <cdr:spPr>
        <a:xfrm xmlns:a="http://schemas.openxmlformats.org/drawingml/2006/main">
          <a:off x="6082250" y="415760"/>
          <a:ext cx="778848" cy="339483"/>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$576,864</a:t>
          </a:r>
        </a:p>
      </cdr:txBody>
    </cdr:sp>
  </cdr:relSizeAnchor>
</c:userShapes>
</file>

<file path=word/drawings/drawing2.xml><?xml version="1.0" encoding="utf-8"?>
<c:userShapes xmlns:c="http://schemas.openxmlformats.org/drawingml/2006/chart">
  <cdr:relSizeAnchor xmlns:cdr="http://schemas.openxmlformats.org/drawingml/2006/chartDrawing">
    <cdr:from>
      <cdr:x>0.14048</cdr:x>
      <cdr:y>0.08712</cdr:y>
    </cdr:from>
    <cdr:to>
      <cdr:x>0.2855</cdr:x>
      <cdr:y>0.26894</cdr:y>
    </cdr:to>
    <cdr:sp macro="" textlink="">
      <cdr:nvSpPr>
        <cdr:cNvPr id="4" name="TextBox 1">
          <a:extLst xmlns:a="http://schemas.openxmlformats.org/drawingml/2006/main">
            <a:ext uri="{FF2B5EF4-FFF2-40B4-BE49-F238E27FC236}">
              <a16:creationId xmlns:a16="http://schemas.microsoft.com/office/drawing/2014/main" id="{D362A6A5-D444-F028-1578-B0456354C7D6}"/>
            </a:ext>
          </a:extLst>
        </cdr:cNvPr>
        <cdr:cNvSpPr txBox="1"/>
      </cdr:nvSpPr>
      <cdr:spPr>
        <a:xfrm xmlns:a="http://schemas.openxmlformats.org/drawingml/2006/main">
          <a:off x="885826" y="438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kern="1200"/>
        </a:p>
      </cdr:txBody>
    </cdr:sp>
  </cdr:relSizeAnchor>
  <cdr:relSizeAnchor xmlns:cdr="http://schemas.openxmlformats.org/drawingml/2006/chartDrawing">
    <cdr:from>
      <cdr:x>0.14048</cdr:x>
      <cdr:y>0.125</cdr:y>
    </cdr:from>
    <cdr:to>
      <cdr:x>0.2855</cdr:x>
      <cdr:y>0.30682</cdr:y>
    </cdr:to>
    <cdr:sp macro="" textlink="">
      <cdr:nvSpPr>
        <cdr:cNvPr id="5" name="TextBox 2">
          <a:extLst xmlns:a="http://schemas.openxmlformats.org/drawingml/2006/main">
            <a:ext uri="{FF2B5EF4-FFF2-40B4-BE49-F238E27FC236}">
              <a16:creationId xmlns:a16="http://schemas.microsoft.com/office/drawing/2014/main" id="{3917CEB7-929B-872B-8A38-B7750A0846C9}"/>
            </a:ext>
          </a:extLst>
        </cdr:cNvPr>
        <cdr:cNvSpPr txBox="1"/>
      </cdr:nvSpPr>
      <cdr:spPr>
        <a:xfrm xmlns:a="http://schemas.openxmlformats.org/drawingml/2006/main">
          <a:off x="885826" y="628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kern="1200"/>
        </a:p>
      </cdr:txBody>
    </cdr:sp>
  </cdr:relSizeAnchor>
  <cdr:relSizeAnchor xmlns:cdr="http://schemas.openxmlformats.org/drawingml/2006/chartDrawing">
    <cdr:from>
      <cdr:x>0.23012</cdr:x>
      <cdr:y>0.09624</cdr:y>
    </cdr:from>
    <cdr:to>
      <cdr:x>0.4256</cdr:x>
      <cdr:y>0.16145</cdr:y>
    </cdr:to>
    <cdr:sp macro="" textlink="">
      <cdr:nvSpPr>
        <cdr:cNvPr id="6" name="TextBox 1">
          <a:extLst xmlns:a="http://schemas.openxmlformats.org/drawingml/2006/main">
            <a:ext uri="{FF2B5EF4-FFF2-40B4-BE49-F238E27FC236}">
              <a16:creationId xmlns:a16="http://schemas.microsoft.com/office/drawing/2014/main" id="{4979E986-A42D-C487-B429-5028AC7736E1}"/>
            </a:ext>
          </a:extLst>
        </cdr:cNvPr>
        <cdr:cNvSpPr txBox="1"/>
      </cdr:nvSpPr>
      <cdr:spPr>
        <a:xfrm xmlns:a="http://schemas.openxmlformats.org/drawingml/2006/main">
          <a:off x="1275707" y="346522"/>
          <a:ext cx="1083654" cy="234785"/>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$530,557</a:t>
          </a:r>
        </a:p>
      </cdr:txBody>
    </cdr:sp>
  </cdr:relSizeAnchor>
  <cdr:relSizeAnchor xmlns:cdr="http://schemas.openxmlformats.org/drawingml/2006/chartDrawing">
    <cdr:from>
      <cdr:x>0.66577</cdr:x>
      <cdr:y>0.09624</cdr:y>
    </cdr:from>
    <cdr:to>
      <cdr:x>0.86125</cdr:x>
      <cdr:y>0.16145</cdr:y>
    </cdr:to>
    <cdr:sp macro="" textlink="">
      <cdr:nvSpPr>
        <cdr:cNvPr id="7" name="TextBox 1">
          <a:extLst xmlns:a="http://schemas.openxmlformats.org/drawingml/2006/main">
            <a:ext uri="{FF2B5EF4-FFF2-40B4-BE49-F238E27FC236}">
              <a16:creationId xmlns:a16="http://schemas.microsoft.com/office/drawing/2014/main" id="{25431424-D055-E62F-2F8E-1B9D8ED47FF5}"/>
            </a:ext>
          </a:extLst>
        </cdr:cNvPr>
        <cdr:cNvSpPr txBox="1"/>
      </cdr:nvSpPr>
      <cdr:spPr>
        <a:xfrm xmlns:a="http://schemas.openxmlformats.org/drawingml/2006/main">
          <a:off x="3690755" y="346522"/>
          <a:ext cx="1083653" cy="234785"/>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$465,190</a:t>
          </a:r>
        </a:p>
      </cdr:txBody>
    </cdr:sp>
  </cdr:relSizeAnchor>
</c:userShapes>
</file>

<file path=word/drawings/drawing3.xml><?xml version="1.0" encoding="utf-8"?>
<c:userShapes xmlns:c="http://schemas.openxmlformats.org/drawingml/2006/chart">
  <cdr:relSizeAnchor xmlns:cdr="http://schemas.openxmlformats.org/drawingml/2006/chartDrawing">
    <cdr:from>
      <cdr:x>0.14048</cdr:x>
      <cdr:y>0.08712</cdr:y>
    </cdr:from>
    <cdr:to>
      <cdr:x>0.2855</cdr:x>
      <cdr:y>0.26894</cdr:y>
    </cdr:to>
    <cdr:sp macro="" textlink="">
      <cdr:nvSpPr>
        <cdr:cNvPr id="4" name="TextBox 1">
          <a:extLst xmlns:a="http://schemas.openxmlformats.org/drawingml/2006/main">
            <a:ext uri="{FF2B5EF4-FFF2-40B4-BE49-F238E27FC236}">
              <a16:creationId xmlns:a16="http://schemas.microsoft.com/office/drawing/2014/main" id="{D362A6A5-D444-F028-1578-B0456354C7D6}"/>
            </a:ext>
          </a:extLst>
        </cdr:cNvPr>
        <cdr:cNvSpPr txBox="1"/>
      </cdr:nvSpPr>
      <cdr:spPr>
        <a:xfrm xmlns:a="http://schemas.openxmlformats.org/drawingml/2006/main">
          <a:off x="885826" y="438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kern="1200"/>
        </a:p>
      </cdr:txBody>
    </cdr:sp>
  </cdr:relSizeAnchor>
  <cdr:relSizeAnchor xmlns:cdr="http://schemas.openxmlformats.org/drawingml/2006/chartDrawing">
    <cdr:from>
      <cdr:x>0.14048</cdr:x>
      <cdr:y>0.125</cdr:y>
    </cdr:from>
    <cdr:to>
      <cdr:x>0.2855</cdr:x>
      <cdr:y>0.30682</cdr:y>
    </cdr:to>
    <cdr:sp macro="" textlink="">
      <cdr:nvSpPr>
        <cdr:cNvPr id="5" name="TextBox 2">
          <a:extLst xmlns:a="http://schemas.openxmlformats.org/drawingml/2006/main">
            <a:ext uri="{FF2B5EF4-FFF2-40B4-BE49-F238E27FC236}">
              <a16:creationId xmlns:a16="http://schemas.microsoft.com/office/drawing/2014/main" id="{3917CEB7-929B-872B-8A38-B7750A0846C9}"/>
            </a:ext>
          </a:extLst>
        </cdr:cNvPr>
        <cdr:cNvSpPr txBox="1"/>
      </cdr:nvSpPr>
      <cdr:spPr>
        <a:xfrm xmlns:a="http://schemas.openxmlformats.org/drawingml/2006/main">
          <a:off x="885826" y="628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kern="1200"/>
        </a:p>
      </cdr:txBody>
    </cdr:sp>
  </cdr:relSizeAnchor>
  <cdr:relSizeAnchor xmlns:cdr="http://schemas.openxmlformats.org/drawingml/2006/chartDrawing">
    <cdr:from>
      <cdr:x>0.23266</cdr:x>
      <cdr:y>0.10924</cdr:y>
    </cdr:from>
    <cdr:to>
      <cdr:x>0.42811</cdr:x>
      <cdr:y>0.17447</cdr:y>
    </cdr:to>
    <cdr:sp macro="" textlink="">
      <cdr:nvSpPr>
        <cdr:cNvPr id="2" name="TextBox 1">
          <a:extLst xmlns:a="http://schemas.openxmlformats.org/drawingml/2006/main">
            <a:ext uri="{FF2B5EF4-FFF2-40B4-BE49-F238E27FC236}">
              <a16:creationId xmlns:a16="http://schemas.microsoft.com/office/drawing/2014/main" id="{1342BFCD-8272-1282-481C-2C931B926F57}"/>
            </a:ext>
          </a:extLst>
        </cdr:cNvPr>
        <cdr:cNvSpPr txBox="1"/>
      </cdr:nvSpPr>
      <cdr:spPr>
        <a:xfrm xmlns:a="http://schemas.openxmlformats.org/drawingml/2006/main">
          <a:off x="1289778" y="393257"/>
          <a:ext cx="1083487" cy="234816"/>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$569,211</a:t>
          </a:r>
        </a:p>
      </cdr:txBody>
    </cdr:sp>
  </cdr:relSizeAnchor>
  <cdr:relSizeAnchor xmlns:cdr="http://schemas.openxmlformats.org/drawingml/2006/chartDrawing">
    <cdr:from>
      <cdr:x>0.66137</cdr:x>
      <cdr:y>0.10924</cdr:y>
    </cdr:from>
    <cdr:to>
      <cdr:x>0.85682</cdr:x>
      <cdr:y>0.17447</cdr:y>
    </cdr:to>
    <cdr:sp macro="" textlink="">
      <cdr:nvSpPr>
        <cdr:cNvPr id="3" name="TextBox 1">
          <a:extLst xmlns:a="http://schemas.openxmlformats.org/drawingml/2006/main">
            <a:ext uri="{FF2B5EF4-FFF2-40B4-BE49-F238E27FC236}">
              <a16:creationId xmlns:a16="http://schemas.microsoft.com/office/drawing/2014/main" id="{84D27CB4-8423-4939-A2AA-BB497382F660}"/>
            </a:ext>
          </a:extLst>
        </cdr:cNvPr>
        <cdr:cNvSpPr txBox="1"/>
      </cdr:nvSpPr>
      <cdr:spPr>
        <a:xfrm xmlns:a="http://schemas.openxmlformats.org/drawingml/2006/main">
          <a:off x="3666322" y="393244"/>
          <a:ext cx="1083487" cy="234816"/>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$576,864</a:t>
          </a:r>
        </a:p>
      </cdr:txBody>
    </cdr:sp>
  </cdr:relSizeAnchor>
</c:userShapes>
</file>

<file path=word/drawings/drawing4.xml><?xml version="1.0" encoding="utf-8"?>
<c:userShapes xmlns:c="http://schemas.openxmlformats.org/drawingml/2006/chart">
  <cdr:relSizeAnchor xmlns:cdr="http://schemas.openxmlformats.org/drawingml/2006/chartDrawing">
    <cdr:from>
      <cdr:x>0.14048</cdr:x>
      <cdr:y>0.08712</cdr:y>
    </cdr:from>
    <cdr:to>
      <cdr:x>0.2855</cdr:x>
      <cdr:y>0.26894</cdr:y>
    </cdr:to>
    <cdr:sp macro="" textlink="">
      <cdr:nvSpPr>
        <cdr:cNvPr id="2" name="TextBox 1">
          <a:extLst xmlns:a="http://schemas.openxmlformats.org/drawingml/2006/main">
            <a:ext uri="{FF2B5EF4-FFF2-40B4-BE49-F238E27FC236}">
              <a16:creationId xmlns:a16="http://schemas.microsoft.com/office/drawing/2014/main" id="{D362A6A5-D444-F028-1578-B0456354C7D6}"/>
            </a:ext>
          </a:extLst>
        </cdr:cNvPr>
        <cdr:cNvSpPr txBox="1"/>
      </cdr:nvSpPr>
      <cdr:spPr>
        <a:xfrm xmlns:a="http://schemas.openxmlformats.org/drawingml/2006/main">
          <a:off x="885826" y="438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kern="1200"/>
        </a:p>
      </cdr:txBody>
    </cdr:sp>
  </cdr:relSizeAnchor>
  <cdr:relSizeAnchor xmlns:cdr="http://schemas.openxmlformats.org/drawingml/2006/chartDrawing">
    <cdr:from>
      <cdr:x>0.14048</cdr:x>
      <cdr:y>0.125</cdr:y>
    </cdr:from>
    <cdr:to>
      <cdr:x>0.2855</cdr:x>
      <cdr:y>0.30682</cdr:y>
    </cdr:to>
    <cdr:sp macro="" textlink="">
      <cdr:nvSpPr>
        <cdr:cNvPr id="3" name="TextBox 2">
          <a:extLst xmlns:a="http://schemas.openxmlformats.org/drawingml/2006/main">
            <a:ext uri="{FF2B5EF4-FFF2-40B4-BE49-F238E27FC236}">
              <a16:creationId xmlns:a16="http://schemas.microsoft.com/office/drawing/2014/main" id="{3917CEB7-929B-872B-8A38-B7750A0846C9}"/>
            </a:ext>
          </a:extLst>
        </cdr:cNvPr>
        <cdr:cNvSpPr txBox="1"/>
      </cdr:nvSpPr>
      <cdr:spPr>
        <a:xfrm xmlns:a="http://schemas.openxmlformats.org/drawingml/2006/main">
          <a:off x="885826" y="628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kern="1200"/>
        </a:p>
      </cdr:txBody>
    </cdr:sp>
  </cdr:relSizeAnchor>
  <cdr:relSizeAnchor xmlns:cdr="http://schemas.openxmlformats.org/drawingml/2006/chartDrawing">
    <cdr:from>
      <cdr:x>0.12252</cdr:x>
      <cdr:y>0.08843</cdr:y>
    </cdr:from>
    <cdr:to>
      <cdr:x>0.23108</cdr:x>
      <cdr:y>0.1544</cdr:y>
    </cdr:to>
    <cdr:sp macro="" textlink="">
      <cdr:nvSpPr>
        <cdr:cNvPr id="4" name="TextBox 1">
          <a:extLst xmlns:a="http://schemas.openxmlformats.org/drawingml/2006/main">
            <a:ext uri="{FF2B5EF4-FFF2-40B4-BE49-F238E27FC236}">
              <a16:creationId xmlns:a16="http://schemas.microsoft.com/office/drawing/2014/main" id="{98FB68C4-13C4-7C4B-3E63-BC42238F0447}"/>
            </a:ext>
          </a:extLst>
        </cdr:cNvPr>
        <cdr:cNvSpPr txBox="1"/>
      </cdr:nvSpPr>
      <cdr:spPr>
        <a:xfrm xmlns:a="http://schemas.openxmlformats.org/drawingml/2006/main">
          <a:off x="714194" y="352908"/>
          <a:ext cx="632828" cy="263284"/>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$577,175</a:t>
          </a:r>
        </a:p>
      </cdr:txBody>
    </cdr:sp>
  </cdr:relSizeAnchor>
  <cdr:relSizeAnchor xmlns:cdr="http://schemas.openxmlformats.org/drawingml/2006/chartDrawing">
    <cdr:from>
      <cdr:x>0.27038</cdr:x>
      <cdr:y>0.08843</cdr:y>
    </cdr:from>
    <cdr:to>
      <cdr:x>0.37894</cdr:x>
      <cdr:y>0.1544</cdr:y>
    </cdr:to>
    <cdr:sp macro="" textlink="">
      <cdr:nvSpPr>
        <cdr:cNvPr id="5" name="TextBox 1">
          <a:extLst xmlns:a="http://schemas.openxmlformats.org/drawingml/2006/main">
            <a:ext uri="{FF2B5EF4-FFF2-40B4-BE49-F238E27FC236}">
              <a16:creationId xmlns:a16="http://schemas.microsoft.com/office/drawing/2014/main" id="{D43A20DB-E14F-C4E3-FB0B-186268781E76}"/>
            </a:ext>
          </a:extLst>
        </cdr:cNvPr>
        <cdr:cNvSpPr txBox="1"/>
      </cdr:nvSpPr>
      <cdr:spPr>
        <a:xfrm xmlns:a="http://schemas.openxmlformats.org/drawingml/2006/main">
          <a:off x="1576114" y="352908"/>
          <a:ext cx="632829" cy="263284"/>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$545,442</a:t>
          </a:r>
        </a:p>
      </cdr:txBody>
    </cdr:sp>
  </cdr:relSizeAnchor>
  <cdr:relSizeAnchor xmlns:cdr="http://schemas.openxmlformats.org/drawingml/2006/chartDrawing">
    <cdr:from>
      <cdr:x>0.41824</cdr:x>
      <cdr:y>0.08843</cdr:y>
    </cdr:from>
    <cdr:to>
      <cdr:x>0.52681</cdr:x>
      <cdr:y>0.1544</cdr:y>
    </cdr:to>
    <cdr:sp macro="" textlink="">
      <cdr:nvSpPr>
        <cdr:cNvPr id="6" name="TextBox 1">
          <a:extLst xmlns:a="http://schemas.openxmlformats.org/drawingml/2006/main">
            <a:ext uri="{FF2B5EF4-FFF2-40B4-BE49-F238E27FC236}">
              <a16:creationId xmlns:a16="http://schemas.microsoft.com/office/drawing/2014/main" id="{268528A4-88AD-4DD5-6D41-AF6A2C381B48}"/>
            </a:ext>
          </a:extLst>
        </cdr:cNvPr>
        <cdr:cNvSpPr txBox="1"/>
      </cdr:nvSpPr>
      <cdr:spPr>
        <a:xfrm xmlns:a="http://schemas.openxmlformats.org/drawingml/2006/main">
          <a:off x="2438034" y="352908"/>
          <a:ext cx="632887" cy="263284"/>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$530,412</a:t>
          </a:r>
        </a:p>
      </cdr:txBody>
    </cdr:sp>
  </cdr:relSizeAnchor>
  <cdr:relSizeAnchor xmlns:cdr="http://schemas.openxmlformats.org/drawingml/2006/chartDrawing">
    <cdr:from>
      <cdr:x>0.56611</cdr:x>
      <cdr:y>0.08843</cdr:y>
    </cdr:from>
    <cdr:to>
      <cdr:x>0.67467</cdr:x>
      <cdr:y>0.1544</cdr:y>
    </cdr:to>
    <cdr:sp macro="" textlink="">
      <cdr:nvSpPr>
        <cdr:cNvPr id="7" name="TextBox 1">
          <a:extLst xmlns:a="http://schemas.openxmlformats.org/drawingml/2006/main">
            <a:ext uri="{FF2B5EF4-FFF2-40B4-BE49-F238E27FC236}">
              <a16:creationId xmlns:a16="http://schemas.microsoft.com/office/drawing/2014/main" id="{B7CB27E8-0673-E153-D63D-E4E25F9C09E4}"/>
            </a:ext>
          </a:extLst>
        </cdr:cNvPr>
        <cdr:cNvSpPr txBox="1"/>
      </cdr:nvSpPr>
      <cdr:spPr>
        <a:xfrm xmlns:a="http://schemas.openxmlformats.org/drawingml/2006/main">
          <a:off x="3300013" y="352908"/>
          <a:ext cx="632829" cy="263284"/>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$619,788</a:t>
          </a:r>
        </a:p>
      </cdr:txBody>
    </cdr:sp>
  </cdr:relSizeAnchor>
  <cdr:relSizeAnchor xmlns:cdr="http://schemas.openxmlformats.org/drawingml/2006/chartDrawing">
    <cdr:from>
      <cdr:x>0.71397</cdr:x>
      <cdr:y>0.08843</cdr:y>
    </cdr:from>
    <cdr:to>
      <cdr:x>0.82253</cdr:x>
      <cdr:y>0.1544</cdr:y>
    </cdr:to>
    <cdr:sp macro="" textlink="">
      <cdr:nvSpPr>
        <cdr:cNvPr id="9" name="TextBox 1">
          <a:extLst xmlns:a="http://schemas.openxmlformats.org/drawingml/2006/main">
            <a:ext uri="{FF2B5EF4-FFF2-40B4-BE49-F238E27FC236}">
              <a16:creationId xmlns:a16="http://schemas.microsoft.com/office/drawing/2014/main" id="{F210C02C-54D0-05CC-DC19-AD439B15EEC7}"/>
            </a:ext>
          </a:extLst>
        </cdr:cNvPr>
        <cdr:cNvSpPr txBox="1"/>
      </cdr:nvSpPr>
      <cdr:spPr>
        <a:xfrm xmlns:a="http://schemas.openxmlformats.org/drawingml/2006/main">
          <a:off x="4161933" y="352908"/>
          <a:ext cx="632829" cy="263284"/>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$611,113</a:t>
          </a:r>
        </a:p>
      </cdr:txBody>
    </cdr:sp>
  </cdr:relSizeAnchor>
  <cdr:relSizeAnchor xmlns:cdr="http://schemas.openxmlformats.org/drawingml/2006/chartDrawing">
    <cdr:from>
      <cdr:x>0.86183</cdr:x>
      <cdr:y>0.08843</cdr:y>
    </cdr:from>
    <cdr:to>
      <cdr:x>0.97039</cdr:x>
      <cdr:y>0.1544</cdr:y>
    </cdr:to>
    <cdr:sp macro="" textlink="">
      <cdr:nvSpPr>
        <cdr:cNvPr id="15" name="TextBox 1">
          <a:extLst xmlns:a="http://schemas.openxmlformats.org/drawingml/2006/main">
            <a:ext uri="{FF2B5EF4-FFF2-40B4-BE49-F238E27FC236}">
              <a16:creationId xmlns:a16="http://schemas.microsoft.com/office/drawing/2014/main" id="{73EF0D6C-D148-DDB5-FD46-8DAD184691C9}"/>
            </a:ext>
          </a:extLst>
        </cdr:cNvPr>
        <cdr:cNvSpPr txBox="1"/>
      </cdr:nvSpPr>
      <cdr:spPr>
        <a:xfrm xmlns:a="http://schemas.openxmlformats.org/drawingml/2006/main">
          <a:off x="5023853" y="352908"/>
          <a:ext cx="632829" cy="263284"/>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lumMod val="25000"/>
              <a:lumOff val="75000"/>
            </a:sysClr>
          </a:solidFill>
        </a:ln>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200" b="1" kern="1200"/>
            <a:t>$654,023</a:t>
          </a:r>
        </a:p>
      </cdr:txBody>
    </cdr:sp>
  </cdr:relSizeAnchor>
</c:userShape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20876AD5-F734-4F3F-9904-A3660F19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and Aged Care fact sheet template teal 1.dotx</Template>
  <TotalTime>70</TotalTime>
  <Pages>10</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16218</CharactersWithSpaces>
  <SharedDoc>false</SharedDoc>
  <HLinks>
    <vt:vector size="18" baseType="variant">
      <vt:variant>
        <vt:i4>6946942</vt:i4>
      </vt:variant>
      <vt:variant>
        <vt:i4>6</vt:i4>
      </vt:variant>
      <vt:variant>
        <vt:i4>0</vt:i4>
      </vt:variant>
      <vt:variant>
        <vt:i4>5</vt:i4>
      </vt:variant>
      <vt:variant>
        <vt:lpwstr>https://gpra.org.au/gp-earnings-calculator/</vt:lpwstr>
      </vt:variant>
      <vt:variant>
        <vt:lpwstr/>
      </vt:variant>
      <vt:variant>
        <vt:i4>6946942</vt:i4>
      </vt:variant>
      <vt:variant>
        <vt:i4>3</vt:i4>
      </vt:variant>
      <vt:variant>
        <vt:i4>0</vt:i4>
      </vt:variant>
      <vt:variant>
        <vt:i4>5</vt:i4>
      </vt:variant>
      <vt:variant>
        <vt:lpwstr>https://gpra.org.au/gp-earnings-calculator/</vt:lpwstr>
      </vt:variant>
      <vt:variant>
        <vt:lpwstr/>
      </vt:variant>
      <vt:variant>
        <vt:i4>7798848</vt:i4>
      </vt:variant>
      <vt:variant>
        <vt:i4>0</vt:i4>
      </vt:variant>
      <vt:variant>
        <vt:i4>0</vt:i4>
      </vt:variant>
      <vt:variant>
        <vt:i4>5</vt:i4>
      </vt:variant>
      <vt:variant>
        <vt:lpwstr>https://www.health.gov.au/sites/default/files/2025-03/bulk-billing-practice-incentive-program-eligible-services_0.pdf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(teal)</dc:title>
  <dc:subject/>
  <dc:creator>ROSCROW, Marcia</dc:creator>
  <cp:keywords/>
  <cp:lastModifiedBy>ROSCROW, Marcia</cp:lastModifiedBy>
  <cp:revision>37</cp:revision>
  <cp:lastPrinted>2025-03-27T09:53:00Z</cp:lastPrinted>
  <dcterms:created xsi:type="dcterms:W3CDTF">2025-03-27T23:26:00Z</dcterms:created>
  <dcterms:modified xsi:type="dcterms:W3CDTF">2025-03-27T09:54:00Z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0x010100D458BFB9DA49AD479A07648B523EC31D</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45;#Factsheet|e6399178-8246-423e-9818-2fbb787c959a;#4;#visual identity|a54ebda2-a0fd-45ec-8fc0-1cf31001b526</vt:lpwstr>
  </property>
  <property fmtid="{D5CDD505-2E9C-101B-9397-08002B2CF9AE}" pid="23" name="lcf76f155ced4ddcb4097134ff3c332f">
    <vt:lpwstr/>
  </property>
</Properties>
</file>