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B8514" w14:textId="4E9526C5" w:rsidR="00681E9F" w:rsidRPr="00B50C5D" w:rsidRDefault="005D51B5" w:rsidP="00B50C5D">
      <w:pPr>
        <w:pStyle w:val="Title"/>
      </w:pPr>
      <w:r w:rsidRPr="00B50C5D">
        <w:t xml:space="preserve">Residential care fees and means testing webinar </w:t>
      </w:r>
      <w:r w:rsidR="00325048" w:rsidRPr="00B50C5D">
        <w:t>–</w:t>
      </w:r>
      <w:r w:rsidRPr="00B50C5D">
        <w:t xml:space="preserve"> </w:t>
      </w:r>
      <w:r w:rsidR="00325048" w:rsidRPr="00B50C5D">
        <w:t>Frequently Asked Questions</w:t>
      </w:r>
    </w:p>
    <w:p w14:paraId="055364C5" w14:textId="02DB33A1" w:rsidR="002A1351" w:rsidRDefault="00AD1831" w:rsidP="00681E9F">
      <w:pPr>
        <w:pStyle w:val="Introduction"/>
      </w:pPr>
      <w:r>
        <w:t xml:space="preserve">Thank you to everyone who attended and submitted their questions in </w:t>
      </w:r>
      <w:r w:rsidR="005D51B5">
        <w:t xml:space="preserve">our </w:t>
      </w:r>
      <w:hyperlink r:id="rId11" w:history="1">
        <w:r w:rsidR="005D51B5">
          <w:rPr>
            <w:rStyle w:val="Hyperlink"/>
          </w:rPr>
          <w:t>11 February webinar</w:t>
        </w:r>
      </w:hyperlink>
      <w:r w:rsidR="005D51B5">
        <w:t xml:space="preserve"> about changes to residential aged care fees under the new Aged Care Act from 1 July 2025</w:t>
      </w:r>
      <w:r>
        <w:t>. This document provides answers to frequently asked questions</w:t>
      </w:r>
      <w:r w:rsidR="00AD677D">
        <w:t xml:space="preserve"> from the </w:t>
      </w:r>
      <w:r w:rsidR="00375E62">
        <w:t>webinar</w:t>
      </w:r>
      <w:r>
        <w:t>.</w:t>
      </w:r>
    </w:p>
    <w:p w14:paraId="54A3BD12" w14:textId="77777777" w:rsidR="00375E62" w:rsidRPr="001B3A81" w:rsidRDefault="00375E62" w:rsidP="00B50C5D">
      <w:pPr>
        <w:pStyle w:val="TOAHeading"/>
        <w:rPr>
          <w:rStyle w:val="Hyperlink"/>
          <w:rFonts w:eastAsiaTheme="minorHAnsi" w:cs="Arial"/>
          <w:b w:val="0"/>
          <w:color w:val="000000" w:themeColor="text1"/>
          <w:sz w:val="36"/>
          <w:szCs w:val="28"/>
          <w:u w:val="none"/>
        </w:rPr>
      </w:pPr>
      <w:r>
        <w:t>Contents</w:t>
      </w:r>
    </w:p>
    <w:tbl>
      <w:tblPr>
        <w:tblStyle w:val="TableGrid"/>
        <w:tblW w:w="9923" w:type="dxa"/>
        <w:tblBorders>
          <w:top w:val="single" w:sz="4" w:space="0" w:color="002060"/>
          <w:bottom w:val="single" w:sz="4" w:space="0" w:color="002060"/>
          <w:insideH w:val="single" w:sz="4" w:space="0" w:color="002060"/>
        </w:tblBorders>
        <w:tblLayout w:type="fixed"/>
        <w:tblLook w:val="04A0" w:firstRow="1" w:lastRow="0" w:firstColumn="1" w:lastColumn="0" w:noHBand="0" w:noVBand="1"/>
      </w:tblPr>
      <w:tblGrid>
        <w:gridCol w:w="567"/>
        <w:gridCol w:w="8686"/>
        <w:gridCol w:w="670"/>
      </w:tblGrid>
      <w:tr w:rsidR="00375E62" w14:paraId="5FB2B637" w14:textId="77777777" w:rsidTr="00802D29">
        <w:tc>
          <w:tcPr>
            <w:tcW w:w="567" w:type="dxa"/>
          </w:tcPr>
          <w:p w14:paraId="28993E25" w14:textId="77777777" w:rsidR="00375E62" w:rsidRDefault="00375E62" w:rsidP="00764B51">
            <w:r>
              <w:t>1.</w:t>
            </w:r>
          </w:p>
        </w:tc>
        <w:tc>
          <w:tcPr>
            <w:tcW w:w="8686" w:type="dxa"/>
          </w:tcPr>
          <w:p w14:paraId="19F1ECC8" w14:textId="5BEB400A" w:rsidR="00375E62" w:rsidRPr="00A35B0D" w:rsidRDefault="009E3090" w:rsidP="00764B51">
            <w:hyperlink w:anchor="_1)_Communications" w:history="1">
              <w:r w:rsidRPr="009E3090">
                <w:rPr>
                  <w:rStyle w:val="Hyperlink"/>
                </w:rPr>
                <w:t>Communication</w:t>
              </w:r>
            </w:hyperlink>
          </w:p>
        </w:tc>
        <w:tc>
          <w:tcPr>
            <w:tcW w:w="670" w:type="dxa"/>
          </w:tcPr>
          <w:p w14:paraId="7115783D" w14:textId="08542D1A" w:rsidR="00375E62" w:rsidRPr="001B3A81" w:rsidRDefault="00802D29" w:rsidP="00764B51">
            <w:r>
              <w:t>2</w:t>
            </w:r>
          </w:p>
        </w:tc>
      </w:tr>
      <w:tr w:rsidR="00375E62" w14:paraId="00F0D5A6" w14:textId="77777777" w:rsidTr="00802D29">
        <w:tc>
          <w:tcPr>
            <w:tcW w:w="567" w:type="dxa"/>
          </w:tcPr>
          <w:p w14:paraId="66055822" w14:textId="77777777" w:rsidR="00375E62" w:rsidRDefault="00375E62" w:rsidP="00764B51">
            <w:r>
              <w:t>2.</w:t>
            </w:r>
          </w:p>
        </w:tc>
        <w:tc>
          <w:tcPr>
            <w:tcW w:w="8686" w:type="dxa"/>
          </w:tcPr>
          <w:p w14:paraId="76130FBA" w14:textId="7B9D237C" w:rsidR="00375E62" w:rsidRPr="00AB18F9" w:rsidRDefault="009E3090" w:rsidP="00AB18F9">
            <w:hyperlink w:anchor="_2)_Transition_to" w:history="1">
              <w:r w:rsidRPr="009E3090">
                <w:rPr>
                  <w:rStyle w:val="Hyperlink"/>
                </w:rPr>
                <w:t xml:space="preserve">Transition to the new Aged Care Act and </w:t>
              </w:r>
              <w:r w:rsidRPr="009E3090">
                <w:rPr>
                  <w:rStyle w:val="Hyperlink"/>
                  <w:i/>
                  <w:iCs/>
                </w:rPr>
                <w:t>no worse off</w:t>
              </w:r>
              <w:r w:rsidRPr="00AA7748">
                <w:rPr>
                  <w:rStyle w:val="Hyperlink"/>
                </w:rPr>
                <w:t xml:space="preserve"> principle</w:t>
              </w:r>
            </w:hyperlink>
          </w:p>
        </w:tc>
        <w:tc>
          <w:tcPr>
            <w:tcW w:w="670" w:type="dxa"/>
          </w:tcPr>
          <w:p w14:paraId="544F4AAE" w14:textId="4768CCE2" w:rsidR="00375E62" w:rsidRDefault="009E3090" w:rsidP="00764B51">
            <w:r>
              <w:t>2</w:t>
            </w:r>
          </w:p>
        </w:tc>
      </w:tr>
      <w:tr w:rsidR="00375E62" w14:paraId="315ED7F8" w14:textId="77777777" w:rsidTr="00802D29">
        <w:tc>
          <w:tcPr>
            <w:tcW w:w="567" w:type="dxa"/>
          </w:tcPr>
          <w:p w14:paraId="3240EC04" w14:textId="77777777" w:rsidR="00375E62" w:rsidRDefault="00375E62" w:rsidP="00764B51">
            <w:r>
              <w:t>3.</w:t>
            </w:r>
          </w:p>
        </w:tc>
        <w:tc>
          <w:tcPr>
            <w:tcW w:w="8686" w:type="dxa"/>
          </w:tcPr>
          <w:p w14:paraId="7FAB1D75" w14:textId="31F1DA73" w:rsidR="00375E62" w:rsidRPr="00A35B0D" w:rsidRDefault="009E3090" w:rsidP="00764B51">
            <w:hyperlink w:anchor="_3)_ICT_arrangements" w:history="1">
              <w:r w:rsidRPr="009E3090">
                <w:rPr>
                  <w:rStyle w:val="Hyperlink"/>
                </w:rPr>
                <w:t>ICT arrangements</w:t>
              </w:r>
            </w:hyperlink>
          </w:p>
        </w:tc>
        <w:tc>
          <w:tcPr>
            <w:tcW w:w="670" w:type="dxa"/>
          </w:tcPr>
          <w:p w14:paraId="62960C32" w14:textId="2ECD6D00" w:rsidR="00375E62" w:rsidRPr="001B3A81" w:rsidRDefault="00802D29" w:rsidP="00764B51">
            <w:r>
              <w:t>4</w:t>
            </w:r>
          </w:p>
        </w:tc>
      </w:tr>
      <w:tr w:rsidR="00375E62" w14:paraId="0F457BA3" w14:textId="77777777" w:rsidTr="00802D29">
        <w:tc>
          <w:tcPr>
            <w:tcW w:w="567" w:type="dxa"/>
          </w:tcPr>
          <w:p w14:paraId="1E901DF6" w14:textId="77777777" w:rsidR="00375E62" w:rsidRDefault="00375E62" w:rsidP="00764B51">
            <w:r>
              <w:t>4.</w:t>
            </w:r>
          </w:p>
        </w:tc>
        <w:tc>
          <w:tcPr>
            <w:tcW w:w="8686" w:type="dxa"/>
          </w:tcPr>
          <w:p w14:paraId="19DA2A2E" w14:textId="5BCE769B" w:rsidR="00375E62" w:rsidRPr="003D6AC6" w:rsidRDefault="009E3090" w:rsidP="00764B51">
            <w:pPr>
              <w:rPr>
                <w:b/>
                <w:bCs/>
              </w:rPr>
            </w:pPr>
            <w:hyperlink w:anchor="_4)_Mandatory_reporting" w:history="1">
              <w:r w:rsidRPr="009E3090">
                <w:rPr>
                  <w:rStyle w:val="Hyperlink"/>
                </w:rPr>
                <w:t>Mandatory reporting</w:t>
              </w:r>
            </w:hyperlink>
          </w:p>
        </w:tc>
        <w:tc>
          <w:tcPr>
            <w:tcW w:w="670" w:type="dxa"/>
          </w:tcPr>
          <w:p w14:paraId="6190E8F2" w14:textId="222324EF" w:rsidR="00375E62" w:rsidRPr="001B3A81" w:rsidRDefault="009E3090" w:rsidP="00764B51">
            <w:r>
              <w:t>5</w:t>
            </w:r>
          </w:p>
        </w:tc>
      </w:tr>
      <w:tr w:rsidR="00806480" w14:paraId="7EDF9C14" w14:textId="77777777" w:rsidTr="00802D29">
        <w:tc>
          <w:tcPr>
            <w:tcW w:w="567" w:type="dxa"/>
          </w:tcPr>
          <w:p w14:paraId="33331285" w14:textId="07B0445F" w:rsidR="00806480" w:rsidRDefault="00806480" w:rsidP="00764B51">
            <w:r>
              <w:t>5.</w:t>
            </w:r>
          </w:p>
        </w:tc>
        <w:tc>
          <w:tcPr>
            <w:tcW w:w="8686" w:type="dxa"/>
          </w:tcPr>
          <w:p w14:paraId="495A57C6" w14:textId="46D74D74" w:rsidR="00806480" w:rsidRDefault="003D7D7C" w:rsidP="00764B51">
            <w:hyperlink w:anchor="_5)_Financial_hardship" w:history="1">
              <w:r w:rsidRPr="003D7D7C">
                <w:rPr>
                  <w:rStyle w:val="Hyperlink"/>
                </w:rPr>
                <w:t>Financial hardship</w:t>
              </w:r>
            </w:hyperlink>
          </w:p>
        </w:tc>
        <w:tc>
          <w:tcPr>
            <w:tcW w:w="670" w:type="dxa"/>
          </w:tcPr>
          <w:p w14:paraId="29E63081" w14:textId="62F9056B" w:rsidR="00806480" w:rsidRDefault="00802D29" w:rsidP="00764B51">
            <w:r>
              <w:t>5</w:t>
            </w:r>
          </w:p>
        </w:tc>
      </w:tr>
    </w:tbl>
    <w:p w14:paraId="460C0B09" w14:textId="6C18AB81" w:rsidR="00325048" w:rsidRDefault="005D51B5" w:rsidP="00B50C5D">
      <w:pPr>
        <w:pStyle w:val="Heading1"/>
        <w:pageBreakBefore/>
      </w:pPr>
      <w:bookmarkStart w:id="0" w:name="_1)_Support_at"/>
      <w:bookmarkStart w:id="1" w:name="_1)_Communications"/>
      <w:bookmarkEnd w:id="0"/>
      <w:bookmarkEnd w:id="1"/>
      <w:r>
        <w:lastRenderedPageBreak/>
        <w:t>Communication</w:t>
      </w:r>
    </w:p>
    <w:p w14:paraId="571025F8" w14:textId="57BD7776" w:rsidR="00325048" w:rsidRPr="004C4CF5" w:rsidRDefault="00C47647" w:rsidP="00B50C5D">
      <w:pPr>
        <w:pStyle w:val="Heading2"/>
      </w:pPr>
      <w:r>
        <w:rPr>
          <w:rStyle w:val="normaltextrun"/>
        </w:rPr>
        <w:t>How can I learn about</w:t>
      </w:r>
      <w:r w:rsidR="005D51B5" w:rsidRPr="005D51B5">
        <w:rPr>
          <w:rStyle w:val="normaltextrun"/>
        </w:rPr>
        <w:t xml:space="preserve"> upcoming changes in the residential care arrangements from 1 July 2025?</w:t>
      </w:r>
    </w:p>
    <w:p w14:paraId="584EC3EE" w14:textId="1DF8D671" w:rsidR="00695816" w:rsidRDefault="00C47647" w:rsidP="009E3090">
      <w:r>
        <w:t>As we release information and resources, it will be available on t</w:t>
      </w:r>
      <w:r w:rsidR="005D51B5" w:rsidRPr="005D51B5">
        <w:t xml:space="preserve">he </w:t>
      </w:r>
      <w:hyperlink r:id="rId12" w:history="1">
        <w:r w:rsidR="00695816">
          <w:rPr>
            <w:rStyle w:val="Hyperlink"/>
          </w:rPr>
          <w:t>Department of Health and Aged Care</w:t>
        </w:r>
      </w:hyperlink>
      <w:r w:rsidR="00695816">
        <w:t xml:space="preserve"> (for providers)</w:t>
      </w:r>
      <w:r w:rsidR="005D51B5" w:rsidRPr="005D51B5">
        <w:t xml:space="preserve"> </w:t>
      </w:r>
      <w:r>
        <w:t xml:space="preserve">and </w:t>
      </w:r>
      <w:hyperlink r:id="rId13" w:history="1">
        <w:r w:rsidRPr="00C47647">
          <w:rPr>
            <w:rStyle w:val="Hyperlink"/>
          </w:rPr>
          <w:t>My Aged Care</w:t>
        </w:r>
      </w:hyperlink>
      <w:r>
        <w:t xml:space="preserve"> </w:t>
      </w:r>
      <w:r w:rsidR="00695816">
        <w:t>(for older people</w:t>
      </w:r>
      <w:r w:rsidR="00AA7748">
        <w:t>, families and carers</w:t>
      </w:r>
      <w:r w:rsidR="00695816">
        <w:t xml:space="preserve">) </w:t>
      </w:r>
      <w:r>
        <w:t xml:space="preserve">websites. </w:t>
      </w:r>
    </w:p>
    <w:p w14:paraId="79EBAF0B" w14:textId="40869F74" w:rsidR="005D51B5" w:rsidRDefault="00C47647" w:rsidP="009E3090">
      <w:r>
        <w:t xml:space="preserve">We use a range of channels to communicate with the aged care sector and older people, families and carers about </w:t>
      </w:r>
      <w:r w:rsidR="005D51B5" w:rsidRPr="005D51B5">
        <w:t>upcoming reforms</w:t>
      </w:r>
      <w:r>
        <w:t xml:space="preserve">. </w:t>
      </w:r>
      <w:r w:rsidR="005D51B5" w:rsidRPr="005D51B5">
        <w:t xml:space="preserve">You can stay informed </w:t>
      </w:r>
      <w:r>
        <w:t>by subscribing to our</w:t>
      </w:r>
      <w:r w:rsidR="005D51B5" w:rsidRPr="005D51B5">
        <w:t xml:space="preserve"> </w:t>
      </w:r>
      <w:hyperlink r:id="rId14" w:history="1">
        <w:r>
          <w:rPr>
            <w:rStyle w:val="Hyperlink"/>
          </w:rPr>
          <w:t>aged care newsletters and alerts</w:t>
        </w:r>
      </w:hyperlink>
      <w:r>
        <w:t xml:space="preserve">. </w:t>
      </w:r>
    </w:p>
    <w:p w14:paraId="1DA796D5" w14:textId="1B5C6892" w:rsidR="00AF7061" w:rsidRPr="008A4800" w:rsidRDefault="005D51B5" w:rsidP="00B50C5D">
      <w:pPr>
        <w:pStyle w:val="Heading2"/>
      </w:pPr>
      <w:r w:rsidRPr="005D51B5">
        <w:t xml:space="preserve">What help can people get to work out the fees and charges when considering a move to residential </w:t>
      </w:r>
      <w:r w:rsidR="00695816">
        <w:t xml:space="preserve">aged </w:t>
      </w:r>
      <w:r w:rsidRPr="005D51B5">
        <w:t>care?</w:t>
      </w:r>
    </w:p>
    <w:p w14:paraId="08F0B73A" w14:textId="411E4AE3" w:rsidR="005D51B5" w:rsidRPr="002E29A3" w:rsidRDefault="00695816" w:rsidP="014AF598">
      <w:pPr>
        <w:rPr>
          <w:lang w:eastAsia="en-AU"/>
        </w:rPr>
      </w:pPr>
      <w:r w:rsidRPr="1692A2DC">
        <w:rPr>
          <w:lang w:eastAsia="en-AU"/>
        </w:rPr>
        <w:t xml:space="preserve">For fees before 1 July 2025, you can use the </w:t>
      </w:r>
      <w:hyperlink r:id="rId15">
        <w:r w:rsidRPr="1692A2DC">
          <w:rPr>
            <w:rStyle w:val="Hyperlink"/>
            <w:lang w:eastAsia="en-AU"/>
          </w:rPr>
          <w:t>Fee estimator</w:t>
        </w:r>
      </w:hyperlink>
      <w:r w:rsidRPr="1692A2DC">
        <w:rPr>
          <w:lang w:eastAsia="en-AU"/>
        </w:rPr>
        <w:t xml:space="preserve"> on My Aged Care. You can also refer to</w:t>
      </w:r>
      <w:r w:rsidR="005D51B5" w:rsidRPr="1692A2DC">
        <w:rPr>
          <w:lang w:eastAsia="en-AU"/>
        </w:rPr>
        <w:t xml:space="preserve"> </w:t>
      </w:r>
      <w:hyperlink r:id="rId16">
        <w:r w:rsidRPr="1692A2DC">
          <w:rPr>
            <w:rStyle w:val="Hyperlink"/>
            <w:lang w:eastAsia="en-AU"/>
          </w:rPr>
          <w:t>residential aged care case based scenarios</w:t>
        </w:r>
      </w:hyperlink>
      <w:r w:rsidRPr="1692A2DC">
        <w:rPr>
          <w:lang w:eastAsia="en-AU"/>
        </w:rPr>
        <w:t xml:space="preserve"> </w:t>
      </w:r>
      <w:r w:rsidR="005D51B5" w:rsidRPr="1692A2DC">
        <w:rPr>
          <w:lang w:eastAsia="en-AU"/>
        </w:rPr>
        <w:t xml:space="preserve">which </w:t>
      </w:r>
      <w:r w:rsidRPr="1692A2DC">
        <w:rPr>
          <w:lang w:eastAsia="en-AU"/>
        </w:rPr>
        <w:t>explains</w:t>
      </w:r>
      <w:r w:rsidR="005D51B5" w:rsidRPr="1692A2DC">
        <w:rPr>
          <w:lang w:eastAsia="en-AU"/>
        </w:rPr>
        <w:t xml:space="preserve"> </w:t>
      </w:r>
      <w:r w:rsidRPr="1692A2DC">
        <w:rPr>
          <w:lang w:eastAsia="en-AU"/>
        </w:rPr>
        <w:t>how fees are charged.</w:t>
      </w:r>
      <w:r w:rsidR="00212F74" w:rsidRPr="1692A2DC">
        <w:rPr>
          <w:lang w:eastAsia="en-AU"/>
        </w:rPr>
        <w:t xml:space="preserve"> </w:t>
      </w:r>
      <w:r w:rsidR="001F6D4B" w:rsidRPr="002E29A3">
        <w:rPr>
          <w:lang w:eastAsia="en-AU"/>
        </w:rPr>
        <w:t>A new fee estimator which will allow potential residents t</w:t>
      </w:r>
      <w:r w:rsidR="00A32887" w:rsidRPr="002E29A3">
        <w:rPr>
          <w:lang w:eastAsia="en-AU"/>
        </w:rPr>
        <w:t xml:space="preserve">o estimate the new fee arrangements under the </w:t>
      </w:r>
      <w:r w:rsidR="00A32887" w:rsidRPr="002E29A3">
        <w:rPr>
          <w:i/>
          <w:iCs/>
          <w:lang w:eastAsia="en-AU"/>
        </w:rPr>
        <w:t>Aged Care Act 2024</w:t>
      </w:r>
      <w:r w:rsidR="001F6D4B" w:rsidRPr="002E29A3">
        <w:rPr>
          <w:i/>
          <w:iCs/>
          <w:lang w:eastAsia="en-AU"/>
        </w:rPr>
        <w:t xml:space="preserve"> </w:t>
      </w:r>
      <w:r w:rsidR="00212F74" w:rsidRPr="002E29A3">
        <w:rPr>
          <w:lang w:eastAsia="en-AU"/>
        </w:rPr>
        <w:t>will be made available as soon as possible.</w:t>
      </w:r>
    </w:p>
    <w:p w14:paraId="4133EE37" w14:textId="2C18EE3B" w:rsidR="00695816" w:rsidRPr="009E5AD8" w:rsidRDefault="00695816" w:rsidP="005D51B5">
      <w:r w:rsidRPr="014AF598">
        <w:rPr>
          <w:lang w:eastAsia="en-AU"/>
        </w:rPr>
        <w:t xml:space="preserve">For information about upcoming </w:t>
      </w:r>
      <w:r w:rsidRPr="002E29A3">
        <w:rPr>
          <w:lang w:eastAsia="en-AU"/>
        </w:rPr>
        <w:t>r</w:t>
      </w:r>
      <w:r w:rsidRPr="014AF598">
        <w:rPr>
          <w:lang w:eastAsia="en-AU"/>
        </w:rPr>
        <w:t xml:space="preserve">eforms, providers can refer to </w:t>
      </w:r>
      <w:hyperlink r:id="rId17">
        <w:r w:rsidRPr="014AF598">
          <w:rPr>
            <w:rStyle w:val="Hyperlink"/>
            <w:lang w:eastAsia="en-AU"/>
          </w:rPr>
          <w:t>Aged Care Taskforce resources</w:t>
        </w:r>
      </w:hyperlink>
      <w:r w:rsidRPr="014AF598">
        <w:rPr>
          <w:lang w:eastAsia="en-AU"/>
        </w:rPr>
        <w:t xml:space="preserve"> and older people can refer to</w:t>
      </w:r>
      <w:r>
        <w:t xml:space="preserve"> </w:t>
      </w:r>
      <w:hyperlink r:id="rId18">
        <w:r w:rsidRPr="014AF598">
          <w:rPr>
            <w:rStyle w:val="Hyperlink"/>
            <w:lang w:eastAsia="en-AU"/>
          </w:rPr>
          <w:t>Improving Australia’s aged care system</w:t>
        </w:r>
      </w:hyperlink>
      <w:r w:rsidRPr="014AF598">
        <w:rPr>
          <w:lang w:eastAsia="en-AU"/>
        </w:rPr>
        <w:t xml:space="preserve"> page on My Aged Care. </w:t>
      </w:r>
    </w:p>
    <w:p w14:paraId="38802190" w14:textId="457B2350" w:rsidR="005D51B5" w:rsidRDefault="005D51B5" w:rsidP="00B50C5D">
      <w:pPr>
        <w:pStyle w:val="Heading1"/>
        <w:rPr>
          <w:rFonts w:eastAsia="Calibri"/>
        </w:rPr>
      </w:pPr>
      <w:bookmarkStart w:id="2" w:name="_2)_Transition_to"/>
      <w:bookmarkEnd w:id="2"/>
      <w:r w:rsidRPr="00B50C5D">
        <w:rPr>
          <w:rFonts w:eastAsia="Calibri"/>
        </w:rPr>
        <w:t>Transition</w:t>
      </w:r>
      <w:r>
        <w:rPr>
          <w:rFonts w:eastAsia="Calibri"/>
        </w:rPr>
        <w:t xml:space="preserve"> to the new Aged Care Act and the </w:t>
      </w:r>
      <w:r w:rsidRPr="005D51B5">
        <w:rPr>
          <w:rFonts w:eastAsia="Calibri"/>
          <w:i/>
          <w:iCs/>
        </w:rPr>
        <w:t xml:space="preserve">no worse off </w:t>
      </w:r>
      <w:r w:rsidRPr="00AA7748">
        <w:rPr>
          <w:rFonts w:eastAsia="Calibri"/>
        </w:rPr>
        <w:t>principle</w:t>
      </w:r>
    </w:p>
    <w:p w14:paraId="0815591F" w14:textId="02CF0D87" w:rsidR="00AF7061" w:rsidRPr="001A51B8" w:rsidRDefault="005D51B5" w:rsidP="00B50C5D">
      <w:pPr>
        <w:pStyle w:val="Heading2"/>
      </w:pPr>
      <w:r w:rsidRPr="005D51B5">
        <w:t xml:space="preserve">If a person </w:t>
      </w:r>
      <w:r w:rsidR="00804030" w:rsidRPr="005D51B5">
        <w:t>enter</w:t>
      </w:r>
      <w:r w:rsidR="00804030">
        <w:t>ed</w:t>
      </w:r>
      <w:r w:rsidR="00804030" w:rsidRPr="005D51B5">
        <w:t xml:space="preserve"> </w:t>
      </w:r>
      <w:r w:rsidR="00804030">
        <w:t xml:space="preserve">residential aged </w:t>
      </w:r>
      <w:r w:rsidRPr="005D51B5">
        <w:t>care before 1 July 2014</w:t>
      </w:r>
      <w:r w:rsidR="00804030">
        <w:t>, will their</w:t>
      </w:r>
      <w:r w:rsidRPr="005D51B5">
        <w:t xml:space="preserve"> contribution and accommodation arrangements</w:t>
      </w:r>
      <w:r w:rsidR="00804030">
        <w:t xml:space="preserve"> change on 1 July 2025, such as </w:t>
      </w:r>
      <w:r w:rsidRPr="005D51B5">
        <w:t>the retention amount?</w:t>
      </w:r>
    </w:p>
    <w:p w14:paraId="2A27CFE9" w14:textId="6E40754A" w:rsidR="00762331" w:rsidRDefault="0A5E5202" w:rsidP="00762331">
      <w:r w:rsidRPr="014AF598">
        <w:t xml:space="preserve">For older people already living in residential aged care before 1 July 2025 covered by one of the </w:t>
      </w:r>
      <w:r w:rsidR="44E122A5" w:rsidRPr="014AF598">
        <w:t>pre-July 2014</w:t>
      </w:r>
      <w:r w:rsidRPr="014AF598">
        <w:t xml:space="preserve"> fee arrangements, our no worse off principle means they will have their current fee </w:t>
      </w:r>
      <w:r w:rsidR="774FD3E8" w:rsidRPr="014AF598">
        <w:t>arrangements-maintained</w:t>
      </w:r>
      <w:r w:rsidRPr="014AF598">
        <w:t xml:space="preserve"> post 1 July 2025, even if they move services or have a break in care. The fee arrangements of these residents will only change if they opt out of their existing arrangements. It is important to note that if an individual who was under the </w:t>
      </w:r>
      <w:r w:rsidR="39D86D09" w:rsidRPr="014AF598">
        <w:t>pre-1 July 2014</w:t>
      </w:r>
      <w:r w:rsidRPr="014AF598">
        <w:t xml:space="preserve"> accommodation arrangements as </w:t>
      </w:r>
      <w:proofErr w:type="gramStart"/>
      <w:r w:rsidRPr="014AF598">
        <w:t>at</w:t>
      </w:r>
      <w:proofErr w:type="gramEnd"/>
      <w:r w:rsidRPr="014AF598">
        <w:t xml:space="preserve"> 1 July 2025, later becomes subject to the post 2025 accommodation arrangements, the indexing of daily accommodation payments will apply but the RAD/RAC retention period is taken to have been automatically met.</w:t>
      </w:r>
    </w:p>
    <w:p w14:paraId="66CA3FA2" w14:textId="0BABF8A9" w:rsidR="005D51B5" w:rsidRDefault="00804030" w:rsidP="1692A2DC">
      <w:r>
        <w:t>If</w:t>
      </w:r>
      <w:r w:rsidR="005D51B5">
        <w:t xml:space="preserve"> an existing resident</w:t>
      </w:r>
      <w:r w:rsidR="000B2151">
        <w:t xml:space="preserve"> </w:t>
      </w:r>
      <w:r w:rsidR="00B15272">
        <w:t>enters</w:t>
      </w:r>
      <w:r w:rsidR="005D51B5">
        <w:t xml:space="preserve"> </w:t>
      </w:r>
      <w:r>
        <w:t xml:space="preserve">a </w:t>
      </w:r>
      <w:r w:rsidR="005D51B5">
        <w:t xml:space="preserve">new </w:t>
      </w:r>
      <w:r>
        <w:t xml:space="preserve">aged care home </w:t>
      </w:r>
      <w:r w:rsidR="005D51B5" w:rsidRPr="1692A2DC">
        <w:rPr>
          <w:u w:val="single"/>
        </w:rPr>
        <w:t>within 28 days</w:t>
      </w:r>
      <w:r w:rsidR="005D51B5">
        <w:t xml:space="preserve"> of leaving the</w:t>
      </w:r>
      <w:r>
        <w:t>ir</w:t>
      </w:r>
      <w:r w:rsidR="005D51B5">
        <w:t xml:space="preserve"> </w:t>
      </w:r>
      <w:r>
        <w:t>previous aged care home</w:t>
      </w:r>
      <w:r w:rsidR="000B2151">
        <w:t>,</w:t>
      </w:r>
      <w:r w:rsidR="005D51B5">
        <w:t xml:space="preserve"> they will continue to be protected from changes to </w:t>
      </w:r>
      <w:r w:rsidR="00B15272">
        <w:t>their fees</w:t>
      </w:r>
      <w:r w:rsidR="005D51B5">
        <w:t xml:space="preserve"> and payments</w:t>
      </w:r>
      <w:r w:rsidR="000B2151">
        <w:t xml:space="preserve">. This only applies if the person </w:t>
      </w:r>
      <w:r w:rsidR="005D51B5">
        <w:t>ha</w:t>
      </w:r>
      <w:r w:rsidR="000B2151">
        <w:t>s</w:t>
      </w:r>
      <w:r w:rsidR="00806480">
        <w:t xml:space="preserve">n’t </w:t>
      </w:r>
      <w:r w:rsidR="005D51B5">
        <w:t xml:space="preserve">previously opted out of their existing fee arrangements. </w:t>
      </w:r>
    </w:p>
    <w:p w14:paraId="7C49D696" w14:textId="2A89FF43" w:rsidR="00AF7061" w:rsidRDefault="005D51B5" w:rsidP="009E3090">
      <w:r>
        <w:t>If</w:t>
      </w:r>
      <w:r w:rsidR="000B2151">
        <w:t xml:space="preserve"> </w:t>
      </w:r>
      <w:r>
        <w:t>a resident under the post</w:t>
      </w:r>
      <w:r w:rsidR="000B2151">
        <w:t>-</w:t>
      </w:r>
      <w:r>
        <w:t xml:space="preserve">1 July 2014 fee arrangements is out of residential </w:t>
      </w:r>
      <w:r w:rsidR="000B2151">
        <w:t xml:space="preserve">aged </w:t>
      </w:r>
      <w:r>
        <w:t xml:space="preserve">care for </w:t>
      </w:r>
      <w:r w:rsidRPr="014AF598">
        <w:rPr>
          <w:u w:val="single"/>
        </w:rPr>
        <w:t>more than 28 days</w:t>
      </w:r>
      <w:r>
        <w:t xml:space="preserve">, when they return, they will be subject to the new accommodation arrangements. </w:t>
      </w:r>
      <w:r w:rsidR="000B2151">
        <w:t>However, t</w:t>
      </w:r>
      <w:r>
        <w:t>hey would</w:t>
      </w:r>
      <w:r w:rsidR="000B2151">
        <w:t xml:space="preserve"> </w:t>
      </w:r>
      <w:r>
        <w:t xml:space="preserve">be protected from </w:t>
      </w:r>
      <w:r w:rsidR="000B2151">
        <w:t xml:space="preserve">changes to </w:t>
      </w:r>
      <w:r>
        <w:t>means testing for the</w:t>
      </w:r>
      <w:r w:rsidR="000B2151">
        <w:t>ir</w:t>
      </w:r>
      <w:r>
        <w:t xml:space="preserve"> remain</w:t>
      </w:r>
      <w:r w:rsidR="000B2151">
        <w:t xml:space="preserve">ing </w:t>
      </w:r>
      <w:r>
        <w:t xml:space="preserve">time in residential </w:t>
      </w:r>
      <w:r w:rsidR="000B2151">
        <w:t xml:space="preserve">aged </w:t>
      </w:r>
      <w:r>
        <w:t>care</w:t>
      </w:r>
      <w:r w:rsidR="000B2151">
        <w:t>,</w:t>
      </w:r>
      <w:r>
        <w:t xml:space="preserve"> or until they opt out of these existing arrangements.</w:t>
      </w:r>
      <w:r w:rsidR="00212F74">
        <w:t xml:space="preserve"> </w:t>
      </w:r>
      <w:r w:rsidR="00212F74" w:rsidRPr="002E29A3">
        <w:lastRenderedPageBreak/>
        <w:t xml:space="preserve">However, pre-2014 residents </w:t>
      </w:r>
      <w:r w:rsidR="001E441B" w:rsidRPr="002E29A3">
        <w:t>are</w:t>
      </w:r>
      <w:r w:rsidR="00212F74" w:rsidRPr="002E29A3">
        <w:t xml:space="preserve"> exempted from </w:t>
      </w:r>
      <w:r w:rsidR="307DCB3D" w:rsidRPr="002E29A3">
        <w:t xml:space="preserve">this </w:t>
      </w:r>
      <w:r w:rsidR="00212F74" w:rsidRPr="002E29A3">
        <w:t>28</w:t>
      </w:r>
      <w:r w:rsidR="001E441B" w:rsidRPr="002E29A3">
        <w:t>-</w:t>
      </w:r>
      <w:r w:rsidR="00212F74" w:rsidRPr="002E29A3">
        <w:t xml:space="preserve">days rule and the new means testing and accommodation payments will only be applicable if they opt-in to the new fee arrangements under the </w:t>
      </w:r>
      <w:r w:rsidR="00212F74" w:rsidRPr="002E29A3">
        <w:rPr>
          <w:i/>
          <w:iCs/>
        </w:rPr>
        <w:t>Aged Care Act 2024.</w:t>
      </w:r>
    </w:p>
    <w:p w14:paraId="308F8218" w14:textId="6F986B15" w:rsidR="00AF7061" w:rsidRPr="0028059D" w:rsidRDefault="000B2151" w:rsidP="00B50C5D">
      <w:pPr>
        <w:pStyle w:val="Heading2"/>
      </w:pPr>
      <w:r>
        <w:t>When c</w:t>
      </w:r>
      <w:r w:rsidR="005D51B5" w:rsidRPr="005D51B5">
        <w:t>an resident</w:t>
      </w:r>
      <w:r>
        <w:t>s</w:t>
      </w:r>
      <w:r w:rsidR="005D51B5" w:rsidRPr="005D51B5">
        <w:t xml:space="preserve"> opt into </w:t>
      </w:r>
      <w:r w:rsidRPr="009E5AD8">
        <w:rPr>
          <w:i/>
          <w:iCs/>
        </w:rPr>
        <w:t xml:space="preserve">Aged Care Act </w:t>
      </w:r>
      <w:r w:rsidR="0051189E" w:rsidRPr="009E5AD8">
        <w:rPr>
          <w:i/>
          <w:iCs/>
        </w:rPr>
        <w:t>2024</w:t>
      </w:r>
      <w:r w:rsidR="0051189E">
        <w:t xml:space="preserve"> </w:t>
      </w:r>
      <w:r>
        <w:t>fee arrangements</w:t>
      </w:r>
      <w:r w:rsidR="005D51B5" w:rsidRPr="005D51B5">
        <w:t>?</w:t>
      </w:r>
    </w:p>
    <w:p w14:paraId="4DE51629" w14:textId="0D788918" w:rsidR="005D51B5" w:rsidRDefault="001F6D4B" w:rsidP="014AF598">
      <w:pPr>
        <w:rPr>
          <w:b/>
          <w:bCs/>
        </w:rPr>
      </w:pPr>
      <w:r w:rsidRPr="002E29A3">
        <w:t xml:space="preserve">Once the new </w:t>
      </w:r>
      <w:r w:rsidRPr="002E29A3">
        <w:rPr>
          <w:i/>
          <w:iCs/>
        </w:rPr>
        <w:t>Aged Care Act 2024</w:t>
      </w:r>
      <w:r w:rsidRPr="002E29A3">
        <w:t xml:space="preserve"> fee</w:t>
      </w:r>
      <w:r w:rsidRPr="014AF598">
        <w:rPr>
          <w:color w:val="FF0000"/>
        </w:rPr>
        <w:t xml:space="preserve"> </w:t>
      </w:r>
      <w:r>
        <w:t>arrangements commence, a</w:t>
      </w:r>
      <w:r w:rsidR="000B2151">
        <w:t>n</w:t>
      </w:r>
      <w:r w:rsidR="005D51B5">
        <w:t xml:space="preserve"> existing resident can opt into the </w:t>
      </w:r>
      <w:r w:rsidRPr="014AF598">
        <w:rPr>
          <w:i/>
          <w:iCs/>
        </w:rPr>
        <w:t xml:space="preserve">new </w:t>
      </w:r>
      <w:r w:rsidR="005D51B5">
        <w:t>fee arrangements at any time</w:t>
      </w:r>
      <w:r w:rsidR="00AA7748">
        <w:t xml:space="preserve"> by notifying their provider</w:t>
      </w:r>
      <w:r w:rsidR="005D51B5">
        <w:t xml:space="preserve">.  </w:t>
      </w:r>
    </w:p>
    <w:p w14:paraId="701F591B" w14:textId="2D2F6650" w:rsidR="00AF7061" w:rsidRPr="009C6CB3" w:rsidRDefault="00826A70" w:rsidP="00B50C5D">
      <w:pPr>
        <w:pStyle w:val="Heading2"/>
      </w:pPr>
      <w:r>
        <w:t>H</w:t>
      </w:r>
      <w:r w:rsidR="005D51B5" w:rsidRPr="005D51B5">
        <w:t xml:space="preserve">ow does the 4-year rule work? </w:t>
      </w:r>
      <w:r w:rsidRPr="005D51B5">
        <w:t>If a resident opt</w:t>
      </w:r>
      <w:r>
        <w:t>s</w:t>
      </w:r>
      <w:r w:rsidRPr="005D51B5">
        <w:t xml:space="preserve"> into the new system</w:t>
      </w:r>
      <w:r>
        <w:t>, i</w:t>
      </w:r>
      <w:r w:rsidR="005D51B5" w:rsidRPr="005D51B5">
        <w:t xml:space="preserve">s it still from date they entered permanent </w:t>
      </w:r>
      <w:r w:rsidR="000B2151">
        <w:t xml:space="preserve">residential aged </w:t>
      </w:r>
      <w:r w:rsidR="005D51B5" w:rsidRPr="005D51B5">
        <w:t>care?</w:t>
      </w:r>
    </w:p>
    <w:p w14:paraId="201D7A47" w14:textId="51D4D8FC" w:rsidR="00826A70" w:rsidRPr="003D12FF" w:rsidRDefault="00826A70" w:rsidP="00826A70">
      <w:r>
        <w:t>A</w:t>
      </w:r>
      <w:r w:rsidRPr="005D51B5">
        <w:t xml:space="preserve"> resident will stop paying the non-clinical care contribution after 4 years of contribution, or after their total contributions reach $130,000, whichever they reach first. Any contributions made previously in home care or in means tested care fees will count towards the $130,000 cap.</w:t>
      </w:r>
    </w:p>
    <w:p w14:paraId="6FE60613" w14:textId="2957DBD1" w:rsidR="00826A70" w:rsidRDefault="005D51B5" w:rsidP="009E3090">
      <w:r w:rsidRPr="005D51B5">
        <w:t xml:space="preserve">For a resident opting into the </w:t>
      </w:r>
      <w:r w:rsidRPr="009E5AD8">
        <w:rPr>
          <w:i/>
          <w:iCs/>
        </w:rPr>
        <w:t>Aged Care Act 2024</w:t>
      </w:r>
      <w:r w:rsidRPr="005D51B5">
        <w:t xml:space="preserve"> fee arrangements, the </w:t>
      </w:r>
      <w:r w:rsidR="000B2151">
        <w:t>4</w:t>
      </w:r>
      <w:r w:rsidRPr="005D51B5">
        <w:t xml:space="preserve">-year rule to the </w:t>
      </w:r>
      <w:r w:rsidR="000B2151">
        <w:t>n</w:t>
      </w:r>
      <w:r w:rsidR="000B2151" w:rsidRPr="005D51B5">
        <w:t>on</w:t>
      </w:r>
      <w:r w:rsidRPr="005D51B5">
        <w:t>-</w:t>
      </w:r>
      <w:r w:rsidR="000B2151">
        <w:t>c</w:t>
      </w:r>
      <w:r w:rsidR="000B2151" w:rsidRPr="005D51B5">
        <w:t xml:space="preserve">linical </w:t>
      </w:r>
      <w:r w:rsidR="000B2151">
        <w:t>c</w:t>
      </w:r>
      <w:r w:rsidR="000B2151" w:rsidRPr="005D51B5">
        <w:t xml:space="preserve">are </w:t>
      </w:r>
      <w:r w:rsidR="000B2151">
        <w:t>c</w:t>
      </w:r>
      <w:r w:rsidR="000B2151" w:rsidRPr="005D51B5">
        <w:t xml:space="preserve">ontributions </w:t>
      </w:r>
      <w:r w:rsidRPr="005D51B5">
        <w:t xml:space="preserve">will be counted from the date they opt in. </w:t>
      </w:r>
    </w:p>
    <w:p w14:paraId="53119C80" w14:textId="6B4DA4C1" w:rsidR="00845250" w:rsidRPr="00E73F61" w:rsidRDefault="00AA7748" w:rsidP="00B50C5D">
      <w:pPr>
        <w:pStyle w:val="Heading2"/>
      </w:pPr>
      <w:r>
        <w:t>For a</w:t>
      </w:r>
      <w:r w:rsidR="00845250" w:rsidRPr="009E3090">
        <w:t xml:space="preserve"> resident </w:t>
      </w:r>
      <w:r>
        <w:t>who</w:t>
      </w:r>
      <w:r w:rsidR="00845250" w:rsidRPr="009E3090">
        <w:t xml:space="preserve"> pays a means tested care fee </w:t>
      </w:r>
      <w:r w:rsidR="00845250">
        <w:t>and</w:t>
      </w:r>
      <w:r w:rsidR="00845250" w:rsidRPr="009E3090">
        <w:t xml:space="preserve"> decides to switch to new arrangements</w:t>
      </w:r>
      <w:r>
        <w:t xml:space="preserve"> after </w:t>
      </w:r>
      <w:r w:rsidRPr="009E3090">
        <w:t xml:space="preserve">1 July </w:t>
      </w:r>
      <w:r>
        <w:t>20</w:t>
      </w:r>
      <w:r w:rsidRPr="009E3090">
        <w:t>25</w:t>
      </w:r>
      <w:r w:rsidR="00845250">
        <w:t>, w</w:t>
      </w:r>
      <w:r w:rsidR="00845250" w:rsidRPr="009E3090">
        <w:t xml:space="preserve">ill </w:t>
      </w:r>
      <w:r w:rsidR="00845250">
        <w:t>amounts</w:t>
      </w:r>
      <w:r w:rsidR="00845250" w:rsidRPr="009E3090">
        <w:t xml:space="preserve"> paid to that date count towards the non-clinical contribution cap of $130,000 (as indexed)?</w:t>
      </w:r>
    </w:p>
    <w:p w14:paraId="65ADCA84" w14:textId="77777777" w:rsidR="00845250" w:rsidRPr="00325048" w:rsidRDefault="00845250" w:rsidP="00845250">
      <w:pPr>
        <w:spacing w:after="0"/>
        <w:rPr>
          <w:rFonts w:cs="Arial"/>
        </w:rPr>
      </w:pPr>
      <w:r w:rsidRPr="009E3090">
        <w:rPr>
          <w:rFonts w:cs="Arial"/>
        </w:rPr>
        <w:t>Yes</w:t>
      </w:r>
      <w:r>
        <w:rPr>
          <w:rFonts w:cs="Arial"/>
        </w:rPr>
        <w:t>,</w:t>
      </w:r>
      <w:r w:rsidRPr="009E3090">
        <w:rPr>
          <w:rFonts w:cs="Arial"/>
        </w:rPr>
        <w:t xml:space="preserve"> existing residents who opt in to the </w:t>
      </w:r>
      <w:r w:rsidRPr="003D12FF">
        <w:rPr>
          <w:rFonts w:cs="Arial"/>
          <w:i/>
          <w:iCs/>
        </w:rPr>
        <w:t>Aged Care Act 2024</w:t>
      </w:r>
      <w:r w:rsidRPr="009E3090">
        <w:rPr>
          <w:rFonts w:cs="Arial"/>
        </w:rPr>
        <w:t xml:space="preserve"> fee arrangements will have their previously paid </w:t>
      </w:r>
      <w:r>
        <w:rPr>
          <w:rFonts w:cs="Arial"/>
        </w:rPr>
        <w:t>means tested care fee</w:t>
      </w:r>
      <w:r w:rsidRPr="009E3090">
        <w:rPr>
          <w:rFonts w:cs="Arial"/>
        </w:rPr>
        <w:t xml:space="preserve"> as well as any contributions paid in home care counted towards </w:t>
      </w:r>
      <w:r>
        <w:rPr>
          <w:rFonts w:cs="Arial"/>
        </w:rPr>
        <w:t>the n</w:t>
      </w:r>
      <w:r w:rsidRPr="009E3090">
        <w:rPr>
          <w:rFonts w:cs="Arial"/>
        </w:rPr>
        <w:t>on-</w:t>
      </w:r>
      <w:r>
        <w:rPr>
          <w:rFonts w:cs="Arial"/>
        </w:rPr>
        <w:t>c</w:t>
      </w:r>
      <w:r w:rsidRPr="009E3090">
        <w:rPr>
          <w:rFonts w:cs="Arial"/>
        </w:rPr>
        <w:t xml:space="preserve">linical </w:t>
      </w:r>
      <w:r>
        <w:rPr>
          <w:rFonts w:cs="Arial"/>
        </w:rPr>
        <w:t>c</w:t>
      </w:r>
      <w:r w:rsidRPr="009E3090">
        <w:rPr>
          <w:rFonts w:cs="Arial"/>
        </w:rPr>
        <w:t xml:space="preserve">are </w:t>
      </w:r>
      <w:r>
        <w:rPr>
          <w:rFonts w:cs="Arial"/>
        </w:rPr>
        <w:t>c</w:t>
      </w:r>
      <w:r w:rsidRPr="009E3090">
        <w:rPr>
          <w:rFonts w:cs="Arial"/>
        </w:rPr>
        <w:t>ontribution lifetime cap of $130,000 (indexed twice a year).</w:t>
      </w:r>
      <w:r w:rsidRPr="00325048">
        <w:rPr>
          <w:rFonts w:cs="Arial"/>
        </w:rPr>
        <w:t xml:space="preserve"> </w:t>
      </w:r>
    </w:p>
    <w:p w14:paraId="095BE43E" w14:textId="5F7FA921" w:rsidR="00AF7061" w:rsidRPr="000B4650" w:rsidRDefault="005D51B5" w:rsidP="00B50C5D">
      <w:pPr>
        <w:pStyle w:val="Heading2"/>
        <w:rPr>
          <w:rStyle w:val="Bullet2Char"/>
          <w:rFonts w:cs="Times New Roman"/>
          <w:color w:val="1E1544"/>
          <w:lang w:val="en-AU" w:eastAsia="en-US"/>
        </w:rPr>
      </w:pPr>
      <w:r w:rsidRPr="014AF598">
        <w:rPr>
          <w:rStyle w:val="Bullet2Char"/>
          <w:rFonts w:cs="Times New Roman"/>
          <w:color w:val="1E1544"/>
          <w:lang w:val="en-AU" w:eastAsia="en-US"/>
        </w:rPr>
        <w:t xml:space="preserve">How will the family home </w:t>
      </w:r>
      <w:r w:rsidR="001F6D4B" w:rsidRPr="014AF598">
        <w:rPr>
          <w:rStyle w:val="Bullet2Char"/>
          <w:rFonts w:cs="Times New Roman"/>
          <w:color w:val="1E1544"/>
          <w:lang w:val="en-AU" w:eastAsia="en-US"/>
        </w:rPr>
        <w:t xml:space="preserve">be </w:t>
      </w:r>
      <w:r w:rsidRPr="014AF598">
        <w:rPr>
          <w:rStyle w:val="Bullet2Char"/>
          <w:rFonts w:cs="Times New Roman"/>
          <w:color w:val="1E1544"/>
          <w:lang w:val="en-AU" w:eastAsia="en-US"/>
        </w:rPr>
        <w:t xml:space="preserve">treated in the assets assessed for the </w:t>
      </w:r>
      <w:r w:rsidRPr="00B50C5D">
        <w:t>hotelling</w:t>
      </w:r>
      <w:r w:rsidRPr="014AF598">
        <w:rPr>
          <w:rStyle w:val="Bullet2Char"/>
          <w:rFonts w:cs="Times New Roman"/>
          <w:color w:val="1E1544"/>
          <w:lang w:val="en-AU" w:eastAsia="en-US"/>
        </w:rPr>
        <w:t xml:space="preserve"> supplement and non-clinical care fees from 1 July 2025?</w:t>
      </w:r>
    </w:p>
    <w:p w14:paraId="3FE912BC" w14:textId="312E37AF" w:rsidR="005D51B5" w:rsidRPr="002E29A3" w:rsidRDefault="005D51B5" w:rsidP="014AF598">
      <w:pPr>
        <w:rPr>
          <w:b/>
          <w:bCs/>
        </w:rPr>
      </w:pPr>
      <w:r>
        <w:t xml:space="preserve">The treatment of the family home in </w:t>
      </w:r>
      <w:r w:rsidR="00C12649" w:rsidRPr="002E29A3">
        <w:t>the</w:t>
      </w:r>
      <w:r w:rsidR="00C12649">
        <w:t xml:space="preserve"> </w:t>
      </w:r>
      <w:r>
        <w:t xml:space="preserve">residential aged care means test will </w:t>
      </w:r>
      <w:r w:rsidR="00826A70">
        <w:t>not change</w:t>
      </w:r>
      <w:r>
        <w:t xml:space="preserve">. The value of the family home is only assessable </w:t>
      </w:r>
      <w:r w:rsidR="001E441B" w:rsidRPr="002E29A3">
        <w:t>if</w:t>
      </w:r>
      <w:r w:rsidR="001E441B">
        <w:t xml:space="preserve"> </w:t>
      </w:r>
      <w:r w:rsidR="00826A70">
        <w:t>it</w:t>
      </w:r>
      <w:r>
        <w:t xml:space="preserve"> does not have a </w:t>
      </w:r>
      <w:r w:rsidR="00826A70">
        <w:t>‘</w:t>
      </w:r>
      <w:r>
        <w:t>protected person</w:t>
      </w:r>
      <w:r w:rsidR="00826A70">
        <w:t xml:space="preserve">’ </w:t>
      </w:r>
      <w:r>
        <w:t xml:space="preserve">still living </w:t>
      </w:r>
      <w:r w:rsidR="00826A70">
        <w:t>there</w:t>
      </w:r>
      <w:r>
        <w:t xml:space="preserve"> (e.g</w:t>
      </w:r>
      <w:r w:rsidR="00826A70">
        <w:t>.,</w:t>
      </w:r>
      <w:r>
        <w:t xml:space="preserve"> a spouse)</w:t>
      </w:r>
      <w:r w:rsidR="00C12649">
        <w:t xml:space="preserve">. </w:t>
      </w:r>
      <w:r w:rsidR="00A64DC6" w:rsidRPr="00A64DC6">
        <w:t xml:space="preserve">If the family home is not occupied by a ‘protected person’, the value of the home is included as an asset but is capped at $206,663 (as </w:t>
      </w:r>
      <w:proofErr w:type="gramStart"/>
      <w:r w:rsidR="00A64DC6" w:rsidRPr="00A64DC6">
        <w:t>at</w:t>
      </w:r>
      <w:proofErr w:type="gramEnd"/>
      <w:r w:rsidR="00A64DC6" w:rsidRPr="00A64DC6">
        <w:t xml:space="preserve"> 20 March 2025, indexed in line with the Age Pension in March and September each year).</w:t>
      </w:r>
    </w:p>
    <w:p w14:paraId="00C26C7D" w14:textId="158E266F" w:rsidR="00AF7061" w:rsidRPr="007429E9" w:rsidRDefault="009E3090" w:rsidP="00B50C5D">
      <w:pPr>
        <w:pStyle w:val="Heading2"/>
      </w:pPr>
      <w:r w:rsidRPr="009E3090">
        <w:t>Are there any changes to what is defined as a protected person?</w:t>
      </w:r>
    </w:p>
    <w:p w14:paraId="2C1A6E00" w14:textId="2E6C04BF" w:rsidR="009E3090" w:rsidRDefault="009E3090" w:rsidP="009E3090">
      <w:pPr>
        <w:rPr>
          <w:b/>
        </w:rPr>
      </w:pPr>
      <w:bookmarkStart w:id="3" w:name="_Hlk137808960"/>
      <w:r w:rsidRPr="009E3090">
        <w:t xml:space="preserve">There are no changes in the definition of </w:t>
      </w:r>
      <w:r w:rsidR="00826A70">
        <w:t>‘</w:t>
      </w:r>
      <w:r w:rsidRPr="009E3090">
        <w:t>protected person</w:t>
      </w:r>
      <w:r w:rsidR="00826A70">
        <w:t>’</w:t>
      </w:r>
      <w:r w:rsidR="00826A70" w:rsidRPr="009E3090">
        <w:t xml:space="preserve">. </w:t>
      </w:r>
      <w:r w:rsidRPr="009E3090">
        <w:t xml:space="preserve">For </w:t>
      </w:r>
      <w:r w:rsidR="00AC4566">
        <w:t>more</w:t>
      </w:r>
      <w:r w:rsidRPr="009E3090">
        <w:t xml:space="preserve"> information, </w:t>
      </w:r>
      <w:r w:rsidR="00AC4566">
        <w:t>visit</w:t>
      </w:r>
      <w:r w:rsidRPr="009E3090">
        <w:t xml:space="preserve"> the </w:t>
      </w:r>
      <w:hyperlink r:id="rId19" w:history="1">
        <w:r w:rsidRPr="009E3090">
          <w:rPr>
            <w:rStyle w:val="Hyperlink"/>
          </w:rPr>
          <w:t>Services Australia</w:t>
        </w:r>
      </w:hyperlink>
      <w:r w:rsidRPr="009E3090">
        <w:t xml:space="preserve"> website.</w:t>
      </w:r>
    </w:p>
    <w:p w14:paraId="50F824D2" w14:textId="2232E543" w:rsidR="00065D75" w:rsidRPr="004C4CF5" w:rsidRDefault="009E3090" w:rsidP="00B50C5D">
      <w:pPr>
        <w:pStyle w:val="Heading2"/>
      </w:pPr>
      <w:r w:rsidRPr="009E3090">
        <w:rPr>
          <w:rStyle w:val="normaltextrun"/>
        </w:rPr>
        <w:t>Will there be different</w:t>
      </w:r>
      <w:r w:rsidR="0023611D">
        <w:rPr>
          <w:rStyle w:val="normaltextrun"/>
        </w:rPr>
        <w:t xml:space="preserve"> </w:t>
      </w:r>
      <w:r w:rsidR="0023611D" w:rsidRPr="009E3090">
        <w:rPr>
          <w:rStyle w:val="normaltextrun"/>
        </w:rPr>
        <w:t>income</w:t>
      </w:r>
      <w:r w:rsidR="0023611D">
        <w:rPr>
          <w:rStyle w:val="normaltextrun"/>
        </w:rPr>
        <w:t xml:space="preserve"> free and income test</w:t>
      </w:r>
      <w:r w:rsidRPr="009E3090">
        <w:rPr>
          <w:rStyle w:val="normaltextrun"/>
        </w:rPr>
        <w:t xml:space="preserve"> thresholds for single and couples and illness separated</w:t>
      </w:r>
      <w:r w:rsidR="0023611D">
        <w:rPr>
          <w:rStyle w:val="normaltextrun"/>
        </w:rPr>
        <w:t xml:space="preserve"> couples</w:t>
      </w:r>
      <w:r w:rsidRPr="009E3090">
        <w:rPr>
          <w:rStyle w:val="normaltextrun"/>
        </w:rPr>
        <w:t>?</w:t>
      </w:r>
    </w:p>
    <w:p w14:paraId="320A3747" w14:textId="3D4378B3" w:rsidR="00065D75" w:rsidRDefault="009E3090" w:rsidP="009E3090">
      <w:r w:rsidRPr="009E3090">
        <w:t>Yes, couples</w:t>
      </w:r>
      <w:r w:rsidR="00A826E6">
        <w:t xml:space="preserve"> and </w:t>
      </w:r>
      <w:hyperlink r:id="rId20" w:history="1">
        <w:r w:rsidR="00A826E6" w:rsidRPr="00A826E6">
          <w:rPr>
            <w:rStyle w:val="Hyperlink"/>
          </w:rPr>
          <w:t>couples separated by</w:t>
        </w:r>
        <w:r w:rsidRPr="00A826E6">
          <w:rPr>
            <w:rStyle w:val="Hyperlink"/>
          </w:rPr>
          <w:t xml:space="preserve"> illness</w:t>
        </w:r>
      </w:hyperlink>
      <w:r w:rsidRPr="009E3090">
        <w:t xml:space="preserve"> will have different income free and income test thresholds than </w:t>
      </w:r>
      <w:r w:rsidR="00A826E6" w:rsidRPr="009E3090">
        <w:t>single</w:t>
      </w:r>
      <w:r w:rsidR="00A826E6">
        <w:t xml:space="preserve"> residents</w:t>
      </w:r>
      <w:r w:rsidRPr="009E3090">
        <w:t>.</w:t>
      </w:r>
    </w:p>
    <w:p w14:paraId="3EE12B82" w14:textId="2AB41976" w:rsidR="00903A96" w:rsidRPr="00247299" w:rsidRDefault="00A826E6" w:rsidP="00B50C5D">
      <w:pPr>
        <w:pStyle w:val="Heading2"/>
      </w:pPr>
      <w:r>
        <w:lastRenderedPageBreak/>
        <w:t>Will there be any changes to h</w:t>
      </w:r>
      <w:r w:rsidRPr="009E3090">
        <w:t xml:space="preserve">ow </w:t>
      </w:r>
      <w:r w:rsidR="009E3090" w:rsidRPr="009E3090">
        <w:t xml:space="preserve">are couples treated under the means test? </w:t>
      </w:r>
    </w:p>
    <w:bookmarkEnd w:id="3"/>
    <w:p w14:paraId="4C763363" w14:textId="53400C80" w:rsidR="009E3090" w:rsidRDefault="00A826E6" w:rsidP="009E3090">
      <w:pPr>
        <w:rPr>
          <w:b/>
          <w:lang w:eastAsia="en-AU"/>
        </w:rPr>
      </w:pPr>
      <w:r>
        <w:rPr>
          <w:lang w:eastAsia="en-AU"/>
        </w:rPr>
        <w:t>No</w:t>
      </w:r>
      <w:r w:rsidR="00494E88">
        <w:rPr>
          <w:lang w:eastAsia="en-AU"/>
        </w:rPr>
        <w:t>, w</w:t>
      </w:r>
      <w:r>
        <w:rPr>
          <w:lang w:eastAsia="en-AU"/>
        </w:rPr>
        <w:t xml:space="preserve">e will continue to calculate </w:t>
      </w:r>
      <w:r w:rsidR="009E3090" w:rsidRPr="009E3090">
        <w:rPr>
          <w:lang w:eastAsia="en-AU"/>
        </w:rPr>
        <w:t xml:space="preserve">the income </w:t>
      </w:r>
      <w:r>
        <w:rPr>
          <w:lang w:eastAsia="en-AU"/>
        </w:rPr>
        <w:t>of couples by</w:t>
      </w:r>
      <w:r w:rsidR="009E3090" w:rsidRPr="009E3090">
        <w:rPr>
          <w:lang w:eastAsia="en-AU"/>
        </w:rPr>
        <w:t xml:space="preserve"> </w:t>
      </w:r>
      <w:r>
        <w:rPr>
          <w:lang w:eastAsia="en-AU"/>
        </w:rPr>
        <w:t>c</w:t>
      </w:r>
      <w:r w:rsidRPr="009E3090">
        <w:rPr>
          <w:lang w:eastAsia="en-AU"/>
        </w:rPr>
        <w:t>ombin</w:t>
      </w:r>
      <w:r>
        <w:rPr>
          <w:lang w:eastAsia="en-AU"/>
        </w:rPr>
        <w:t>ing</w:t>
      </w:r>
      <w:r w:rsidRPr="009E3090">
        <w:rPr>
          <w:lang w:eastAsia="en-AU"/>
        </w:rPr>
        <w:t xml:space="preserve"> </w:t>
      </w:r>
      <w:r w:rsidR="009E3090" w:rsidRPr="009E3090">
        <w:rPr>
          <w:lang w:eastAsia="en-AU"/>
        </w:rPr>
        <w:t>and split</w:t>
      </w:r>
      <w:r>
        <w:rPr>
          <w:lang w:eastAsia="en-AU"/>
        </w:rPr>
        <w:t>ting</w:t>
      </w:r>
      <w:r w:rsidR="009E3090" w:rsidRPr="009E3090">
        <w:rPr>
          <w:lang w:eastAsia="en-AU"/>
        </w:rPr>
        <w:t xml:space="preserve"> 50/50 for the purposes of the means test.</w:t>
      </w:r>
    </w:p>
    <w:p w14:paraId="3F51BD19" w14:textId="347ECE04" w:rsidR="00325048" w:rsidRPr="00325048" w:rsidRDefault="009E3090" w:rsidP="00B50C5D">
      <w:pPr>
        <w:pStyle w:val="Heading2"/>
      </w:pPr>
      <w:r w:rsidRPr="009E3090">
        <w:t xml:space="preserve">Will </w:t>
      </w:r>
      <w:r w:rsidR="00A826E6">
        <w:t>a</w:t>
      </w:r>
      <w:r w:rsidR="00A826E6" w:rsidRPr="009E3090">
        <w:t xml:space="preserve">nnual </w:t>
      </w:r>
      <w:r w:rsidRPr="009E3090">
        <w:t xml:space="preserve">and lifetime caps be indexed in March and September each year? </w:t>
      </w:r>
    </w:p>
    <w:p w14:paraId="728EE57C" w14:textId="346AF785" w:rsidR="00A826E6" w:rsidRDefault="009E3090" w:rsidP="00256703">
      <w:pPr>
        <w:rPr>
          <w:rFonts w:cs="Arial"/>
        </w:rPr>
      </w:pPr>
      <w:r w:rsidRPr="009E3090">
        <w:rPr>
          <w:rFonts w:cs="Arial"/>
        </w:rPr>
        <w:t xml:space="preserve">Under the changes there is no annual cap on payment of the non-clinical care contribution. </w:t>
      </w:r>
      <w:r w:rsidR="00A826E6">
        <w:rPr>
          <w:rFonts w:cs="Arial"/>
        </w:rPr>
        <w:t>Instead, t</w:t>
      </w:r>
      <w:r w:rsidRPr="009E3090">
        <w:rPr>
          <w:rFonts w:cs="Arial"/>
        </w:rPr>
        <w:t xml:space="preserve">here will be a daily cap (currently $101.16) and a lifetime cap (currently $130,000). </w:t>
      </w:r>
    </w:p>
    <w:p w14:paraId="65BC235E" w14:textId="25B715DF" w:rsidR="00325048" w:rsidRPr="00A826E6" w:rsidRDefault="00A826E6" w:rsidP="00256703">
      <w:pPr>
        <w:rPr>
          <w:rFonts w:cs="Arial"/>
        </w:rPr>
      </w:pPr>
      <w:r>
        <w:rPr>
          <w:rFonts w:cs="Arial"/>
        </w:rPr>
        <w:t>We</w:t>
      </w:r>
      <w:r w:rsidR="009E3090" w:rsidRPr="009E3090">
        <w:rPr>
          <w:rFonts w:cs="Arial"/>
        </w:rPr>
        <w:t xml:space="preserve"> anticipate these will be indexed </w:t>
      </w:r>
      <w:r w:rsidRPr="009E3090">
        <w:rPr>
          <w:rFonts w:cs="Arial"/>
        </w:rPr>
        <w:t xml:space="preserve">March and September </w:t>
      </w:r>
      <w:r>
        <w:rPr>
          <w:rFonts w:cs="Arial"/>
        </w:rPr>
        <w:t xml:space="preserve">each </w:t>
      </w:r>
      <w:r w:rsidR="009E3090" w:rsidRPr="009E3090">
        <w:rPr>
          <w:rFonts w:cs="Arial"/>
        </w:rPr>
        <w:t xml:space="preserve">year in line with </w:t>
      </w:r>
      <w:r>
        <w:rPr>
          <w:rFonts w:cs="Arial"/>
        </w:rPr>
        <w:t>the Consumer Price Index (</w:t>
      </w:r>
      <w:r w:rsidR="009E3090" w:rsidRPr="009E3090">
        <w:rPr>
          <w:rFonts w:cs="Arial"/>
        </w:rPr>
        <w:t>CPI</w:t>
      </w:r>
      <w:r>
        <w:rPr>
          <w:rFonts w:cs="Arial"/>
        </w:rPr>
        <w:t>),</w:t>
      </w:r>
      <w:r w:rsidR="009E3090" w:rsidRPr="009E3090">
        <w:rPr>
          <w:rFonts w:cs="Arial"/>
        </w:rPr>
        <w:t xml:space="preserve"> as is the case with the current annual and lifetime caps.</w:t>
      </w:r>
    </w:p>
    <w:p w14:paraId="37480CA6" w14:textId="7E1BFD27" w:rsidR="00325048" w:rsidRPr="00325048" w:rsidRDefault="00845250" w:rsidP="00B50C5D">
      <w:pPr>
        <w:pStyle w:val="Heading2"/>
      </w:pPr>
      <w:r>
        <w:t>Will</w:t>
      </w:r>
      <w:r w:rsidRPr="009E3090">
        <w:t xml:space="preserve"> </w:t>
      </w:r>
      <w:r w:rsidR="009E3090" w:rsidRPr="009E3090">
        <w:t>people assessed for</w:t>
      </w:r>
      <w:r>
        <w:t xml:space="preserve"> </w:t>
      </w:r>
      <w:r w:rsidR="00494E88">
        <w:t>a</w:t>
      </w:r>
      <w:r>
        <w:t xml:space="preserve"> Home Care Packages before</w:t>
      </w:r>
      <w:r w:rsidR="009E3090" w:rsidRPr="009E3090">
        <w:t xml:space="preserve"> 12</w:t>
      </w:r>
      <w:r>
        <w:t xml:space="preserve"> </w:t>
      </w:r>
      <w:r w:rsidR="009E3090" w:rsidRPr="009E3090">
        <w:t>September 2024 be</w:t>
      </w:r>
      <w:r>
        <w:t xml:space="preserve"> </w:t>
      </w:r>
      <w:r w:rsidR="009E3090" w:rsidRPr="009E3090">
        <w:t xml:space="preserve">eligible for 'no worse off' grandfathering </w:t>
      </w:r>
      <w:r w:rsidR="0051189E">
        <w:t>arrangements</w:t>
      </w:r>
      <w:r w:rsidR="009E3090" w:rsidRPr="009E3090">
        <w:t>?</w:t>
      </w:r>
    </w:p>
    <w:p w14:paraId="34E00B66" w14:textId="5FC78167" w:rsidR="00845250" w:rsidRDefault="00102595" w:rsidP="00325048">
      <w:pPr>
        <w:spacing w:after="0"/>
        <w:rPr>
          <w:rFonts w:eastAsia="Times New Roman" w:cs="Arial"/>
          <w:lang w:eastAsia="en-AU"/>
        </w:rPr>
      </w:pPr>
      <w:r>
        <w:rPr>
          <w:rFonts w:eastAsia="Times New Roman" w:cs="Arial"/>
          <w:lang w:eastAsia="en-AU"/>
        </w:rPr>
        <w:t>Yes, p</w:t>
      </w:r>
      <w:r w:rsidR="009E3090" w:rsidRPr="009E3090">
        <w:rPr>
          <w:rFonts w:eastAsia="Times New Roman" w:cs="Arial"/>
          <w:lang w:eastAsia="en-AU"/>
        </w:rPr>
        <w:t xml:space="preserve">eople who were assessed and approved for a </w:t>
      </w:r>
      <w:r w:rsidR="00845250">
        <w:rPr>
          <w:rFonts w:eastAsia="Times New Roman" w:cs="Arial"/>
          <w:lang w:eastAsia="en-AU"/>
        </w:rPr>
        <w:t>H</w:t>
      </w:r>
      <w:r w:rsidR="009E3090" w:rsidRPr="009E3090">
        <w:rPr>
          <w:rFonts w:eastAsia="Times New Roman" w:cs="Arial"/>
          <w:lang w:eastAsia="en-AU"/>
        </w:rPr>
        <w:t xml:space="preserve">ome </w:t>
      </w:r>
      <w:r w:rsidR="00845250">
        <w:rPr>
          <w:rFonts w:eastAsia="Times New Roman" w:cs="Arial"/>
          <w:lang w:eastAsia="en-AU"/>
        </w:rPr>
        <w:t>C</w:t>
      </w:r>
      <w:r w:rsidR="009E3090" w:rsidRPr="009E3090">
        <w:rPr>
          <w:rFonts w:eastAsia="Times New Roman" w:cs="Arial"/>
          <w:lang w:eastAsia="en-AU"/>
        </w:rPr>
        <w:t xml:space="preserve">are </w:t>
      </w:r>
      <w:r w:rsidR="00845250">
        <w:rPr>
          <w:rFonts w:eastAsia="Times New Roman" w:cs="Arial"/>
          <w:lang w:eastAsia="en-AU"/>
        </w:rPr>
        <w:t>P</w:t>
      </w:r>
      <w:r w:rsidR="009E3090" w:rsidRPr="009E3090">
        <w:rPr>
          <w:rFonts w:eastAsia="Times New Roman" w:cs="Arial"/>
          <w:lang w:eastAsia="en-AU"/>
        </w:rPr>
        <w:t xml:space="preserve">ackage </w:t>
      </w:r>
      <w:r w:rsidR="00845250">
        <w:rPr>
          <w:rFonts w:eastAsia="Times New Roman" w:cs="Arial"/>
          <w:lang w:eastAsia="en-AU"/>
        </w:rPr>
        <w:t>before</w:t>
      </w:r>
      <w:r w:rsidR="009E3090" w:rsidRPr="009E3090">
        <w:rPr>
          <w:rFonts w:eastAsia="Times New Roman" w:cs="Arial"/>
          <w:lang w:eastAsia="en-AU"/>
        </w:rPr>
        <w:t xml:space="preserve"> 12 </w:t>
      </w:r>
      <w:r w:rsidR="00806480" w:rsidRPr="009E3090">
        <w:rPr>
          <w:rFonts w:eastAsia="Times New Roman" w:cs="Arial"/>
          <w:lang w:eastAsia="en-AU"/>
        </w:rPr>
        <w:t>September 2024 or</w:t>
      </w:r>
      <w:r w:rsidR="009E3090" w:rsidRPr="009E3090">
        <w:rPr>
          <w:rFonts w:eastAsia="Times New Roman" w:cs="Arial"/>
          <w:lang w:eastAsia="en-AU"/>
        </w:rPr>
        <w:t xml:space="preserve"> were </w:t>
      </w:r>
      <w:r w:rsidR="00845250">
        <w:rPr>
          <w:rFonts w:eastAsia="Times New Roman" w:cs="Arial"/>
          <w:lang w:eastAsia="en-AU"/>
        </w:rPr>
        <w:t>receiving a</w:t>
      </w:r>
      <w:r w:rsidR="009E3090" w:rsidRPr="009E3090">
        <w:rPr>
          <w:rFonts w:eastAsia="Times New Roman" w:cs="Arial"/>
          <w:lang w:eastAsia="en-AU"/>
        </w:rPr>
        <w:t xml:space="preserve"> package are covered by the </w:t>
      </w:r>
      <w:r w:rsidR="00845250" w:rsidRPr="00494E88">
        <w:rPr>
          <w:rFonts w:eastAsia="Times New Roman" w:cs="Arial"/>
          <w:i/>
          <w:iCs/>
          <w:lang w:eastAsia="en-AU"/>
        </w:rPr>
        <w:t>n</w:t>
      </w:r>
      <w:r w:rsidR="009E3090" w:rsidRPr="00494E88">
        <w:rPr>
          <w:rFonts w:eastAsia="Times New Roman" w:cs="Arial"/>
          <w:i/>
          <w:iCs/>
          <w:lang w:eastAsia="en-AU"/>
        </w:rPr>
        <w:t xml:space="preserve">o </w:t>
      </w:r>
      <w:r w:rsidR="00845250" w:rsidRPr="00494E88">
        <w:rPr>
          <w:rFonts w:eastAsia="Times New Roman" w:cs="Arial"/>
          <w:i/>
          <w:iCs/>
          <w:lang w:eastAsia="en-AU"/>
        </w:rPr>
        <w:t>w</w:t>
      </w:r>
      <w:r w:rsidR="009E3090" w:rsidRPr="00494E88">
        <w:rPr>
          <w:rFonts w:eastAsia="Times New Roman" w:cs="Arial"/>
          <w:i/>
          <w:iCs/>
          <w:lang w:eastAsia="en-AU"/>
        </w:rPr>
        <w:t xml:space="preserve">orse </w:t>
      </w:r>
      <w:r w:rsidR="00845250" w:rsidRPr="00494E88">
        <w:rPr>
          <w:rFonts w:eastAsia="Times New Roman" w:cs="Arial"/>
          <w:i/>
          <w:iCs/>
          <w:lang w:eastAsia="en-AU"/>
        </w:rPr>
        <w:t>o</w:t>
      </w:r>
      <w:r w:rsidR="009E3090" w:rsidRPr="00494E88">
        <w:rPr>
          <w:rFonts w:eastAsia="Times New Roman" w:cs="Arial"/>
          <w:i/>
          <w:iCs/>
          <w:lang w:eastAsia="en-AU"/>
        </w:rPr>
        <w:t>ff</w:t>
      </w:r>
      <w:r w:rsidR="009E3090" w:rsidRPr="009E3090">
        <w:rPr>
          <w:rFonts w:eastAsia="Times New Roman" w:cs="Arial"/>
          <w:lang w:eastAsia="en-AU"/>
        </w:rPr>
        <w:t xml:space="preserve"> principle. </w:t>
      </w:r>
    </w:p>
    <w:p w14:paraId="621A0E0D" w14:textId="4CC3AEBD" w:rsidR="00325048" w:rsidRPr="00B50C5D" w:rsidRDefault="00494E88" w:rsidP="00325048">
      <w:pPr>
        <w:spacing w:after="0"/>
      </w:pPr>
      <w:r w:rsidRPr="014AF598">
        <w:rPr>
          <w:rFonts w:eastAsia="Times New Roman" w:cs="Arial"/>
          <w:lang w:eastAsia="en-AU"/>
        </w:rPr>
        <w:t>If an older person</w:t>
      </w:r>
      <w:r w:rsidR="00845250" w:rsidRPr="014AF598">
        <w:rPr>
          <w:rFonts w:eastAsia="Times New Roman" w:cs="Arial"/>
          <w:lang w:eastAsia="en-AU"/>
        </w:rPr>
        <w:t xml:space="preserve"> </w:t>
      </w:r>
      <w:r w:rsidR="006B16F0" w:rsidRPr="014AF598">
        <w:rPr>
          <w:rFonts w:eastAsia="Times New Roman" w:cs="Arial"/>
          <w:lang w:eastAsia="en-AU"/>
        </w:rPr>
        <w:t xml:space="preserve">who is </w:t>
      </w:r>
      <w:r w:rsidR="009E3090" w:rsidRPr="014AF598">
        <w:rPr>
          <w:rFonts w:eastAsia="Times New Roman" w:cs="Arial"/>
          <w:lang w:eastAsia="en-AU"/>
        </w:rPr>
        <w:t xml:space="preserve">covered by the </w:t>
      </w:r>
      <w:r w:rsidR="00845250" w:rsidRPr="014AF598">
        <w:rPr>
          <w:rFonts w:eastAsia="Times New Roman" w:cs="Arial"/>
          <w:i/>
          <w:iCs/>
          <w:lang w:eastAsia="en-AU"/>
        </w:rPr>
        <w:t>no worse off</w:t>
      </w:r>
      <w:r w:rsidR="00845250" w:rsidRPr="014AF598">
        <w:rPr>
          <w:rFonts w:eastAsia="Times New Roman" w:cs="Arial"/>
          <w:lang w:eastAsia="en-AU"/>
        </w:rPr>
        <w:t xml:space="preserve"> principle </w:t>
      </w:r>
      <w:r w:rsidR="009E3090" w:rsidRPr="014AF598">
        <w:rPr>
          <w:rFonts w:eastAsia="Times New Roman" w:cs="Arial"/>
          <w:lang w:eastAsia="en-AU"/>
        </w:rPr>
        <w:t xml:space="preserve">moves into permanent residential </w:t>
      </w:r>
      <w:r w:rsidR="00845250" w:rsidRPr="014AF598">
        <w:rPr>
          <w:rFonts w:eastAsia="Times New Roman" w:cs="Arial"/>
          <w:lang w:eastAsia="en-AU"/>
        </w:rPr>
        <w:t xml:space="preserve">aged </w:t>
      </w:r>
      <w:r w:rsidR="009E3090" w:rsidRPr="014AF598">
        <w:rPr>
          <w:rFonts w:eastAsia="Times New Roman" w:cs="Arial"/>
          <w:lang w:eastAsia="en-AU"/>
        </w:rPr>
        <w:t>care in the future</w:t>
      </w:r>
      <w:r w:rsidR="00845250" w:rsidRPr="014AF598">
        <w:rPr>
          <w:rFonts w:eastAsia="Times New Roman" w:cs="Arial"/>
          <w:lang w:eastAsia="en-AU"/>
        </w:rPr>
        <w:t>,</w:t>
      </w:r>
      <w:r w:rsidR="009E3090" w:rsidRPr="014AF598">
        <w:rPr>
          <w:rFonts w:eastAsia="Times New Roman" w:cs="Arial"/>
          <w:lang w:eastAsia="en-AU"/>
        </w:rPr>
        <w:t xml:space="preserve"> they will be subject to the current post-</w:t>
      </w:r>
      <w:r w:rsidR="00845250" w:rsidRPr="014AF598">
        <w:rPr>
          <w:rFonts w:eastAsia="Times New Roman" w:cs="Arial"/>
          <w:lang w:eastAsia="en-AU"/>
        </w:rPr>
        <w:t xml:space="preserve">1 July </w:t>
      </w:r>
      <w:r w:rsidR="009E3090" w:rsidRPr="014AF598">
        <w:rPr>
          <w:rFonts w:eastAsia="Times New Roman" w:cs="Arial"/>
          <w:lang w:eastAsia="en-AU"/>
        </w:rPr>
        <w:t xml:space="preserve">2014 means testing arrangements, even if they enter residential </w:t>
      </w:r>
      <w:r w:rsidR="00845250" w:rsidRPr="014AF598">
        <w:rPr>
          <w:rFonts w:eastAsia="Times New Roman" w:cs="Arial"/>
          <w:lang w:eastAsia="en-AU"/>
        </w:rPr>
        <w:t xml:space="preserve">aged </w:t>
      </w:r>
      <w:r w:rsidR="009E3090" w:rsidRPr="014AF598">
        <w:rPr>
          <w:rFonts w:eastAsia="Times New Roman" w:cs="Arial"/>
          <w:lang w:eastAsia="en-AU"/>
        </w:rPr>
        <w:t>care after 1 July 2025</w:t>
      </w:r>
      <w:r w:rsidR="001E441B" w:rsidRPr="014AF598">
        <w:rPr>
          <w:rFonts w:eastAsia="Times New Roman" w:cs="Arial"/>
          <w:lang w:eastAsia="en-AU"/>
        </w:rPr>
        <w:t xml:space="preserve">, </w:t>
      </w:r>
      <w:r w:rsidR="001E441B" w:rsidRPr="002E29A3">
        <w:rPr>
          <w:rFonts w:eastAsia="Times New Roman" w:cs="Arial"/>
          <w:lang w:eastAsia="en-AU"/>
        </w:rPr>
        <w:t>however the new accommodation payments will be applicable if they enter after 1 July 2025</w:t>
      </w:r>
      <w:r w:rsidR="009E3090" w:rsidRPr="002E29A3">
        <w:rPr>
          <w:rFonts w:eastAsia="Times New Roman" w:cs="Arial"/>
          <w:lang w:eastAsia="en-AU"/>
        </w:rPr>
        <w:t>.</w:t>
      </w:r>
    </w:p>
    <w:p w14:paraId="3A49BC6D" w14:textId="64B96872" w:rsidR="00325048" w:rsidRPr="00325048" w:rsidRDefault="009E3090" w:rsidP="00B50C5D">
      <w:pPr>
        <w:pStyle w:val="Heading2"/>
      </w:pPr>
      <w:r w:rsidRPr="009E3090">
        <w:t xml:space="preserve">Which fees can be drawn down from a </w:t>
      </w:r>
      <w:r w:rsidR="00845250">
        <w:t>refundable accommodation deposit (</w:t>
      </w:r>
      <w:r w:rsidRPr="009E3090">
        <w:t>RAD</w:t>
      </w:r>
      <w:r w:rsidR="00845250">
        <w:t xml:space="preserve">) </w:t>
      </w:r>
      <w:r w:rsidRPr="009E3090">
        <w:t>or</w:t>
      </w:r>
      <w:r w:rsidR="00845250">
        <w:t xml:space="preserve"> refundable accommodation contribution (</w:t>
      </w:r>
      <w:r w:rsidRPr="009E3090">
        <w:t>RAC</w:t>
      </w:r>
      <w:r w:rsidR="00845250">
        <w:t>)</w:t>
      </w:r>
      <w:r w:rsidRPr="009E3090">
        <w:t>?</w:t>
      </w:r>
    </w:p>
    <w:p w14:paraId="0D140FAE" w14:textId="1979DE56" w:rsidR="00845250" w:rsidRDefault="009E3090" w:rsidP="009E3090">
      <w:r>
        <w:t xml:space="preserve">If you decide to pay by lump sum for part or </w:t>
      </w:r>
      <w:proofErr w:type="gramStart"/>
      <w:r>
        <w:t>all of</w:t>
      </w:r>
      <w:proofErr w:type="gramEnd"/>
      <w:r>
        <w:t xml:space="preserve"> your accommodation costs, your </w:t>
      </w:r>
      <w:r w:rsidR="0051189E">
        <w:t xml:space="preserve">residential aged care </w:t>
      </w:r>
      <w:r>
        <w:t xml:space="preserve">provider must allow you to draw down on your lump sum to pay any remaining daily accommodation costs. </w:t>
      </w:r>
      <w:r w:rsidR="00845250">
        <w:t>This means:</w:t>
      </w:r>
    </w:p>
    <w:p w14:paraId="2CFC40FE" w14:textId="5D021CDB" w:rsidR="00845250" w:rsidRPr="00B50C5D" w:rsidRDefault="00845250" w:rsidP="00B50C5D">
      <w:pPr>
        <w:pStyle w:val="ListBullet"/>
      </w:pPr>
      <w:r>
        <w:t>I</w:t>
      </w:r>
      <w:r w:rsidR="009E3090">
        <w:t xml:space="preserve">ndividuals </w:t>
      </w:r>
      <w:r w:rsidR="009E3090" w:rsidRPr="00B50C5D">
        <w:t xml:space="preserve">can draw down a daily accommodation payment (DAP) from their refundable accommodation deposit (RAD) balance to meet their accommodation costs. </w:t>
      </w:r>
    </w:p>
    <w:p w14:paraId="682AD99D" w14:textId="611991D3" w:rsidR="009E3090" w:rsidRDefault="009E3090" w:rsidP="00B50C5D">
      <w:pPr>
        <w:pStyle w:val="ListBullet"/>
      </w:pPr>
      <w:r w:rsidRPr="00B50C5D">
        <w:t>Individuals who are low means can draw down a daily accommodation contribution (DAC) from your refundable accommodation contribution (RAC) balance to meet their accommodation</w:t>
      </w:r>
      <w:r>
        <w:t xml:space="preserve"> costs.</w:t>
      </w:r>
    </w:p>
    <w:p w14:paraId="16633DAC" w14:textId="759C229F" w:rsidR="00845250" w:rsidRDefault="009E3090" w:rsidP="009E3090">
      <w:r>
        <w:t xml:space="preserve">An individual and provider may also agree to draw other aged care fees from the RAD or RAC balance, such as basic daily fee, </w:t>
      </w:r>
      <w:r w:rsidR="00845250">
        <w:t>hotelling contributions</w:t>
      </w:r>
      <w:r>
        <w:t xml:space="preserve">, </w:t>
      </w:r>
      <w:r w:rsidR="00845250">
        <w:t>non-c</w:t>
      </w:r>
      <w:r>
        <w:t xml:space="preserve">linical </w:t>
      </w:r>
      <w:r w:rsidR="00845250">
        <w:t>c</w:t>
      </w:r>
      <w:r>
        <w:t xml:space="preserve">are </w:t>
      </w:r>
      <w:r w:rsidR="00845250">
        <w:t>c</w:t>
      </w:r>
      <w:r>
        <w:t xml:space="preserve">ontributions or means tested care fee, whichever may apply. </w:t>
      </w:r>
    </w:p>
    <w:p w14:paraId="56625C8E" w14:textId="0BFA24D2" w:rsidR="004B5C5A" w:rsidRDefault="009E3090" w:rsidP="009E3090">
      <w:r>
        <w:t>Drawing down other fees is a matter for negotiation between the individual and their provider.</w:t>
      </w:r>
    </w:p>
    <w:p w14:paraId="3875BDC7" w14:textId="66738E65" w:rsidR="009E3090" w:rsidRDefault="009E3090" w:rsidP="00B50C5D">
      <w:pPr>
        <w:pStyle w:val="Heading1"/>
      </w:pPr>
      <w:bookmarkStart w:id="4" w:name="_3)_ICT_arrangements"/>
      <w:bookmarkEnd w:id="4"/>
      <w:r w:rsidRPr="00B50C5D">
        <w:lastRenderedPageBreak/>
        <w:t>ICT</w:t>
      </w:r>
      <w:r>
        <w:t xml:space="preserve"> arrangements</w:t>
      </w:r>
    </w:p>
    <w:p w14:paraId="67866C82" w14:textId="1197FD20" w:rsidR="00325048" w:rsidRPr="00325048" w:rsidRDefault="009E3090" w:rsidP="00B50C5D">
      <w:pPr>
        <w:pStyle w:val="Heading2"/>
      </w:pPr>
      <w:r w:rsidRPr="009E3090">
        <w:t xml:space="preserve">Will the </w:t>
      </w:r>
      <w:r w:rsidR="0051189E">
        <w:t>d</w:t>
      </w:r>
      <w:r w:rsidR="0051189E" w:rsidRPr="009E3090">
        <w:t xml:space="preserve">epartment </w:t>
      </w:r>
      <w:r w:rsidRPr="009E3090">
        <w:t>be releasing a calculator that can be used to estimate fees under the new system?</w:t>
      </w:r>
    </w:p>
    <w:p w14:paraId="43B37E88" w14:textId="748DD7E2" w:rsidR="0051189E" w:rsidRPr="002E29A3" w:rsidRDefault="009E3090" w:rsidP="014AF598">
      <w:pPr>
        <w:spacing w:after="0"/>
        <w:rPr>
          <w:rFonts w:cs="Arial"/>
        </w:rPr>
      </w:pPr>
      <w:r w:rsidRPr="002E29A3">
        <w:rPr>
          <w:rFonts w:cs="Arial"/>
        </w:rPr>
        <w:t xml:space="preserve">A new </w:t>
      </w:r>
      <w:r w:rsidR="0051189E" w:rsidRPr="002E29A3">
        <w:rPr>
          <w:rFonts w:cs="Arial"/>
        </w:rPr>
        <w:t xml:space="preserve">fee estimator </w:t>
      </w:r>
      <w:r w:rsidR="00C12649" w:rsidRPr="002E29A3">
        <w:rPr>
          <w:rFonts w:cs="Arial"/>
        </w:rPr>
        <w:t xml:space="preserve">will soon be </w:t>
      </w:r>
      <w:r w:rsidR="008B4497" w:rsidRPr="002E29A3">
        <w:rPr>
          <w:rFonts w:cs="Arial"/>
        </w:rPr>
        <w:t>a</w:t>
      </w:r>
      <w:r w:rsidRPr="002E29A3">
        <w:rPr>
          <w:rFonts w:cs="Arial"/>
        </w:rPr>
        <w:t xml:space="preserve">vailable on My Aged Care website to assist care recipients, and their families in estimating the new fee arrangements under the </w:t>
      </w:r>
      <w:r w:rsidRPr="002E29A3">
        <w:rPr>
          <w:rFonts w:cs="Arial"/>
          <w:i/>
          <w:iCs/>
        </w:rPr>
        <w:t>Aged Care Act 2024</w:t>
      </w:r>
      <w:r w:rsidRPr="002E29A3">
        <w:rPr>
          <w:rFonts w:cs="Arial"/>
        </w:rPr>
        <w:t xml:space="preserve">. </w:t>
      </w:r>
    </w:p>
    <w:p w14:paraId="1DFF2914" w14:textId="07D1D194" w:rsidR="00355D01" w:rsidRPr="009E3090" w:rsidRDefault="009E3090" w:rsidP="014AF598">
      <w:pPr>
        <w:spacing w:after="0"/>
        <w:rPr>
          <w:rFonts w:cs="Arial"/>
        </w:rPr>
      </w:pPr>
      <w:r w:rsidRPr="014AF598">
        <w:rPr>
          <w:rFonts w:cs="Arial"/>
        </w:rPr>
        <w:t xml:space="preserve">Please note, the </w:t>
      </w:r>
      <w:r w:rsidR="0051189E" w:rsidRPr="014AF598">
        <w:rPr>
          <w:rFonts w:cs="Arial"/>
        </w:rPr>
        <w:t>fee estimator</w:t>
      </w:r>
      <w:r w:rsidR="00266DFB" w:rsidRPr="014AF598">
        <w:rPr>
          <w:rFonts w:cs="Arial"/>
        </w:rPr>
        <w:t xml:space="preserve"> </w:t>
      </w:r>
      <w:r w:rsidR="00266DFB" w:rsidRPr="002E29A3">
        <w:rPr>
          <w:rFonts w:cs="Arial"/>
        </w:rPr>
        <w:t>will be</w:t>
      </w:r>
      <w:r w:rsidRPr="014AF598">
        <w:rPr>
          <w:rFonts w:cs="Arial"/>
        </w:rPr>
        <w:t xml:space="preserve"> provided as a guide for general information only. The actual amount payable</w:t>
      </w:r>
      <w:r w:rsidR="0051189E" w:rsidRPr="014AF598">
        <w:rPr>
          <w:rFonts w:cs="Arial"/>
        </w:rPr>
        <w:t xml:space="preserve"> </w:t>
      </w:r>
      <w:r w:rsidRPr="014AF598">
        <w:rPr>
          <w:rFonts w:cs="Arial"/>
        </w:rPr>
        <w:t xml:space="preserve">will depend on a person’s individual circumstances, including </w:t>
      </w:r>
      <w:r w:rsidR="0051189E" w:rsidRPr="014AF598">
        <w:rPr>
          <w:rFonts w:cs="Arial"/>
        </w:rPr>
        <w:t>when</w:t>
      </w:r>
      <w:r w:rsidRPr="014AF598">
        <w:rPr>
          <w:rFonts w:cs="Arial"/>
        </w:rPr>
        <w:t xml:space="preserve"> they enter </w:t>
      </w:r>
      <w:r w:rsidR="0051189E" w:rsidRPr="014AF598">
        <w:rPr>
          <w:rFonts w:cs="Arial"/>
        </w:rPr>
        <w:t xml:space="preserve">residential aged </w:t>
      </w:r>
      <w:r w:rsidRPr="014AF598">
        <w:rPr>
          <w:rFonts w:cs="Arial"/>
        </w:rPr>
        <w:t>care</w:t>
      </w:r>
      <w:r w:rsidR="0051189E" w:rsidRPr="014AF598">
        <w:rPr>
          <w:rFonts w:cs="Arial"/>
        </w:rPr>
        <w:t xml:space="preserve"> and</w:t>
      </w:r>
      <w:r w:rsidRPr="014AF598">
        <w:rPr>
          <w:rFonts w:cs="Arial"/>
        </w:rPr>
        <w:t xml:space="preserve"> their income and means</w:t>
      </w:r>
      <w:r w:rsidR="0051189E" w:rsidRPr="014AF598">
        <w:rPr>
          <w:rFonts w:cs="Arial"/>
        </w:rPr>
        <w:t xml:space="preserve"> </w:t>
      </w:r>
      <w:r w:rsidRPr="014AF598">
        <w:rPr>
          <w:rFonts w:cs="Arial"/>
        </w:rPr>
        <w:t>assessment.</w:t>
      </w:r>
      <w:bookmarkStart w:id="5" w:name="_Hlk137808796"/>
    </w:p>
    <w:p w14:paraId="60D7B124" w14:textId="17BCA688" w:rsidR="00D372BE" w:rsidRDefault="009E3090" w:rsidP="00B50C5D">
      <w:pPr>
        <w:pStyle w:val="Heading1"/>
      </w:pPr>
      <w:bookmarkStart w:id="6" w:name="_4)_Home_Care"/>
      <w:bookmarkStart w:id="7" w:name="_4)_Mandatory_reporting"/>
      <w:bookmarkEnd w:id="6"/>
      <w:bookmarkEnd w:id="7"/>
      <w:r>
        <w:t>Mandatory reporting</w:t>
      </w:r>
    </w:p>
    <w:p w14:paraId="4DB399DA" w14:textId="6DBC779E" w:rsidR="001617FA" w:rsidRDefault="009E3090" w:rsidP="00B50C5D">
      <w:pPr>
        <w:pStyle w:val="Heading2"/>
      </w:pPr>
      <w:r w:rsidRPr="009E3090">
        <w:t>When does the mandatory reporting for refundable deposits start?</w:t>
      </w:r>
    </w:p>
    <w:p w14:paraId="6430A782" w14:textId="1FB2B03B" w:rsidR="009E3090" w:rsidRDefault="0051189E" w:rsidP="009E3090">
      <w:r>
        <w:t>From 1 July 2025, provider</w:t>
      </w:r>
      <w:r w:rsidR="00494E88">
        <w:t>s</w:t>
      </w:r>
      <w:r>
        <w:t xml:space="preserve"> will </w:t>
      </w:r>
      <w:proofErr w:type="gramStart"/>
      <w:r>
        <w:t>be require</w:t>
      </w:r>
      <w:proofErr w:type="gramEnd"/>
      <w:r>
        <w:t xml:space="preserve"> to </w:t>
      </w:r>
      <w:r w:rsidR="009E3090">
        <w:t>report RAD and RAC</w:t>
      </w:r>
      <w:r>
        <w:t xml:space="preserve"> </w:t>
      </w:r>
      <w:r w:rsidR="009E3090">
        <w:t xml:space="preserve">balances </w:t>
      </w:r>
      <w:r>
        <w:t>under the</w:t>
      </w:r>
      <w:r w:rsidR="009E3090">
        <w:t xml:space="preserve"> </w:t>
      </w:r>
      <w:r w:rsidR="009E3090" w:rsidRPr="009E5AD8">
        <w:rPr>
          <w:i/>
          <w:iCs/>
        </w:rPr>
        <w:t>Aged Care Act 2024</w:t>
      </w:r>
      <w:r w:rsidR="009E3090">
        <w:t xml:space="preserve">. This means that providers will be required to report individual residents’ RAD and RAC balances as part of their monthly claim cycle, starting with the claim for their July </w:t>
      </w:r>
      <w:r>
        <w:t xml:space="preserve">2025 </w:t>
      </w:r>
      <w:r w:rsidR="009E3090">
        <w:t xml:space="preserve">payment. </w:t>
      </w:r>
      <w:r>
        <w:t xml:space="preserve">We will release more information when available. </w:t>
      </w:r>
    </w:p>
    <w:p w14:paraId="5C21D4FA" w14:textId="6C8DCFC2" w:rsidR="00355D01" w:rsidRDefault="009E3090" w:rsidP="009E3090">
      <w:r>
        <w:t xml:space="preserve">Under the </w:t>
      </w:r>
      <w:r w:rsidRPr="009E3090">
        <w:rPr>
          <w:i/>
          <w:iCs/>
        </w:rPr>
        <w:t>Aged Care Act 2024</w:t>
      </w:r>
      <w:r>
        <w:t xml:space="preserve">, individuals </w:t>
      </w:r>
      <w:r w:rsidR="0051189E">
        <w:t xml:space="preserve">will be required </w:t>
      </w:r>
      <w:r>
        <w:t>to keep their information current,</w:t>
      </w:r>
      <w:r w:rsidR="0051189E">
        <w:t xml:space="preserve"> which will</w:t>
      </w:r>
      <w:r>
        <w:t xml:space="preserve"> bring the aged care means assessment into closer alignment with the age pension means assessment. The reported RAD and RAC balances will be used to ensure that individuals records are current and</w:t>
      </w:r>
      <w:r w:rsidR="0051189E">
        <w:t xml:space="preserve"> </w:t>
      </w:r>
      <w:r>
        <w:t>ensure they are paying the correct fees and contributions.</w:t>
      </w:r>
      <w:bookmarkEnd w:id="5"/>
    </w:p>
    <w:p w14:paraId="4785158D" w14:textId="14006329" w:rsidR="0051189E" w:rsidRDefault="003D7D7C" w:rsidP="00B50C5D">
      <w:pPr>
        <w:pStyle w:val="Heading1"/>
      </w:pPr>
      <w:bookmarkStart w:id="8" w:name="_5)_Other"/>
      <w:bookmarkStart w:id="9" w:name="_5)_Financial_hardship"/>
      <w:bookmarkEnd w:id="8"/>
      <w:bookmarkEnd w:id="9"/>
      <w:r>
        <w:t>Financial hardship</w:t>
      </w:r>
    </w:p>
    <w:p w14:paraId="6739E77E" w14:textId="6E5DC99B" w:rsidR="0051189E" w:rsidRPr="004C4CF5" w:rsidRDefault="0051189E" w:rsidP="00B50C5D">
      <w:pPr>
        <w:pStyle w:val="Heading2"/>
      </w:pPr>
      <w:r w:rsidRPr="00B50C5D">
        <w:t>Will</w:t>
      </w:r>
      <w:r>
        <w:rPr>
          <w:rStyle w:val="normaltextrun"/>
        </w:rPr>
        <w:t xml:space="preserve"> the</w:t>
      </w:r>
      <w:r w:rsidRPr="005D51B5">
        <w:rPr>
          <w:rStyle w:val="normaltextrun"/>
        </w:rPr>
        <w:t xml:space="preserve"> full financial hardship application still be required on the lapse date</w:t>
      </w:r>
      <w:r>
        <w:rPr>
          <w:rStyle w:val="normaltextrun"/>
        </w:rPr>
        <w:t>?</w:t>
      </w:r>
      <w:r w:rsidRPr="005D51B5">
        <w:rPr>
          <w:rStyle w:val="normaltextrun"/>
        </w:rPr>
        <w:t xml:space="preserve"> </w:t>
      </w:r>
    </w:p>
    <w:p w14:paraId="3372C2C9" w14:textId="77777777" w:rsidR="0051189E" w:rsidRDefault="0051189E" w:rsidP="0051189E">
      <w:r w:rsidRPr="005D51B5">
        <w:t xml:space="preserve">The </w:t>
      </w:r>
      <w:r>
        <w:t>f</w:t>
      </w:r>
      <w:r w:rsidRPr="005D51B5">
        <w:t xml:space="preserve">inancial </w:t>
      </w:r>
      <w:r>
        <w:t>h</w:t>
      </w:r>
      <w:r w:rsidRPr="005D51B5">
        <w:t xml:space="preserve">ardship application process will remain the same. Applicants will need to complete a new application </w:t>
      </w:r>
      <w:r>
        <w:t xml:space="preserve">when </w:t>
      </w:r>
      <w:r w:rsidRPr="005D51B5">
        <w:t xml:space="preserve">their current one expires. </w:t>
      </w:r>
    </w:p>
    <w:p w14:paraId="5B895E38" w14:textId="1F0C4462" w:rsidR="0051189E" w:rsidRPr="00B50C5D" w:rsidRDefault="0051189E" w:rsidP="00B50C5D">
      <w:pPr>
        <w:rPr>
          <w:b/>
        </w:rPr>
      </w:pPr>
      <w:r w:rsidRPr="005D51B5">
        <w:t xml:space="preserve">Further information on </w:t>
      </w:r>
      <w:hyperlink r:id="rId21" w:history="1">
        <w:r w:rsidRPr="00695816">
          <w:rPr>
            <w:rStyle w:val="Hyperlink"/>
          </w:rPr>
          <w:t>financial assistance</w:t>
        </w:r>
      </w:hyperlink>
      <w:r w:rsidRPr="005D51B5">
        <w:t xml:space="preserve"> can be found at My Aged Care </w:t>
      </w:r>
      <w:r>
        <w:t>w</w:t>
      </w:r>
      <w:r w:rsidRPr="005D51B5">
        <w:t>ebsite.</w:t>
      </w:r>
    </w:p>
    <w:sectPr w:rsidR="0051189E" w:rsidRPr="00B50C5D" w:rsidSect="00802D29">
      <w:footerReference w:type="default" r:id="rId22"/>
      <w:headerReference w:type="first" r:id="rId23"/>
      <w:footerReference w:type="first" r:id="rId24"/>
      <w:pgSz w:w="11906" w:h="16838"/>
      <w:pgMar w:top="1440" w:right="851" w:bottom="851" w:left="851" w:header="2211" w:footer="8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A56AA" w14:textId="77777777" w:rsidR="005F5759" w:rsidRDefault="005F5759" w:rsidP="0076491B">
      <w:pPr>
        <w:spacing w:before="0" w:after="0" w:line="240" w:lineRule="auto"/>
      </w:pPr>
      <w:r>
        <w:separator/>
      </w:r>
    </w:p>
  </w:endnote>
  <w:endnote w:type="continuationSeparator" w:id="0">
    <w:p w14:paraId="23144C03" w14:textId="77777777" w:rsidR="005F5759" w:rsidRDefault="005F5759" w:rsidP="0076491B">
      <w:pPr>
        <w:spacing w:before="0" w:after="0" w:line="240" w:lineRule="auto"/>
      </w:pPr>
      <w:r>
        <w:continuationSeparator/>
      </w:r>
    </w:p>
  </w:endnote>
  <w:endnote w:type="continuationNotice" w:id="1">
    <w:p w14:paraId="230E077F" w14:textId="77777777" w:rsidR="005F5759" w:rsidRDefault="005F575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487430"/>
      <w:docPartObj>
        <w:docPartGallery w:val="Page Numbers (Bottom of Page)"/>
        <w:docPartUnique/>
      </w:docPartObj>
    </w:sdtPr>
    <w:sdtEndPr>
      <w:rPr>
        <w:noProof/>
      </w:rPr>
    </w:sdtEndPr>
    <w:sdtContent>
      <w:p w14:paraId="512A75DD" w14:textId="22DA7446" w:rsidR="003A7332" w:rsidRDefault="003A7332" w:rsidP="00EF44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750712"/>
      <w:docPartObj>
        <w:docPartGallery w:val="Page Numbers (Bottom of Page)"/>
        <w:docPartUnique/>
      </w:docPartObj>
    </w:sdtPr>
    <w:sdtEndPr>
      <w:rPr>
        <w:noProof/>
      </w:rPr>
    </w:sdtEndPr>
    <w:sdtContent>
      <w:p w14:paraId="5B42FB30" w14:textId="5B9A28CF" w:rsidR="003A7332" w:rsidRDefault="00802D29" w:rsidP="00EF4417">
        <w:pPr>
          <w:pStyle w:val="Footer"/>
          <w:jc w:val="center"/>
        </w:pPr>
        <w:r>
          <w:br/>
        </w:r>
        <w:r w:rsidR="003A7332">
          <w:fldChar w:fldCharType="begin"/>
        </w:r>
        <w:r w:rsidR="003A7332">
          <w:instrText xml:space="preserve"> PAGE   \* MERGEFORMAT </w:instrText>
        </w:r>
        <w:r w:rsidR="003A7332">
          <w:fldChar w:fldCharType="separate"/>
        </w:r>
        <w:r w:rsidR="003A7332">
          <w:rPr>
            <w:noProof/>
          </w:rPr>
          <w:t>2</w:t>
        </w:r>
        <w:r w:rsidR="003A7332">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A339D" w14:textId="77777777" w:rsidR="005F5759" w:rsidRDefault="005F5759" w:rsidP="0076491B">
      <w:pPr>
        <w:spacing w:before="0" w:after="0" w:line="240" w:lineRule="auto"/>
      </w:pPr>
      <w:r>
        <w:separator/>
      </w:r>
    </w:p>
  </w:footnote>
  <w:footnote w:type="continuationSeparator" w:id="0">
    <w:p w14:paraId="1445AE70" w14:textId="77777777" w:rsidR="005F5759" w:rsidRDefault="005F5759" w:rsidP="0076491B">
      <w:pPr>
        <w:spacing w:before="0" w:after="0" w:line="240" w:lineRule="auto"/>
      </w:pPr>
      <w:r>
        <w:continuationSeparator/>
      </w:r>
    </w:p>
  </w:footnote>
  <w:footnote w:type="continuationNotice" w:id="1">
    <w:p w14:paraId="0525D25F" w14:textId="77777777" w:rsidR="005F5759" w:rsidRDefault="005F575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6DD60" w14:textId="29883D6E" w:rsidR="0076491B" w:rsidRDefault="00802D29">
    <w:pPr>
      <w:pStyle w:val="Header"/>
    </w:pPr>
    <w:r>
      <w:rPr>
        <w:noProof/>
      </w:rPr>
      <w:drawing>
        <wp:anchor distT="0" distB="0" distL="114300" distR="114300" simplePos="0" relativeHeight="251658240" behindDoc="1" locked="0" layoutInCell="1" allowOverlap="1" wp14:anchorId="291F40A1" wp14:editId="41D1CFBB">
          <wp:simplePos x="0" y="0"/>
          <wp:positionH relativeFrom="page">
            <wp:posOffset>-349250</wp:posOffset>
          </wp:positionH>
          <wp:positionV relativeFrom="page">
            <wp:posOffset>-147320</wp:posOffset>
          </wp:positionV>
          <wp:extent cx="8230235" cy="3318510"/>
          <wp:effectExtent l="0" t="0" r="0" b="0"/>
          <wp:wrapNone/>
          <wp:docPr id="1144466079" name="Picture 1144466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t="19771" b="19771"/>
                  <a:stretch>
                    <a:fillRect/>
                  </a:stretch>
                </pic:blipFill>
                <pic:spPr bwMode="auto">
                  <a:xfrm>
                    <a:off x="0" y="0"/>
                    <a:ext cx="8230235" cy="3318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5BA9">
      <w:rPr>
        <w:noProof/>
        <w:lang w:val="en-US"/>
      </w:rPr>
      <w:drawing>
        <wp:anchor distT="0" distB="0" distL="114300" distR="114300" simplePos="0" relativeHeight="251658241" behindDoc="0" locked="0" layoutInCell="1" allowOverlap="1" wp14:anchorId="7E6ED052" wp14:editId="1E0F08D0">
          <wp:simplePos x="0" y="0"/>
          <wp:positionH relativeFrom="page">
            <wp:align>right</wp:align>
          </wp:positionH>
          <wp:positionV relativeFrom="page">
            <wp:align>top</wp:align>
          </wp:positionV>
          <wp:extent cx="7550150" cy="2109470"/>
          <wp:effectExtent l="0" t="0" r="0" b="5080"/>
          <wp:wrapNone/>
          <wp:docPr id="1349484005" name="Picture 1349484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015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A5C8B9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FF70B6"/>
    <w:multiLevelType w:val="hybridMultilevel"/>
    <w:tmpl w:val="881CFC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012A21"/>
    <w:multiLevelType w:val="hybridMultilevel"/>
    <w:tmpl w:val="F00EFBEE"/>
    <w:lvl w:ilvl="0" w:tplc="33720E80">
      <w:start w:val="1"/>
      <w:numFmt w:val="bullet"/>
      <w:lvlText w:val=""/>
      <w:lvlJc w:val="left"/>
      <w:rPr>
        <w:rFonts w:ascii="Symbol" w:hAnsi="Symbol" w:hint="default"/>
        <w:color w:val="DA576C"/>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 w15:restartNumberingAfterBreak="0">
    <w:nsid w:val="068B2295"/>
    <w:multiLevelType w:val="hybridMultilevel"/>
    <w:tmpl w:val="C290A552"/>
    <w:lvl w:ilvl="0" w:tplc="0CF8F064">
      <w:start w:val="1"/>
      <w:numFmt w:val="bullet"/>
      <w:lvlText w:val=""/>
      <w:lvlJc w:val="left"/>
      <w:rPr>
        <w:rFonts w:ascii="Symbol" w:hAnsi="Symbol" w:hint="default"/>
        <w:color w:val="DA576C"/>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6953B26"/>
    <w:multiLevelType w:val="hybridMultilevel"/>
    <w:tmpl w:val="C030891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 w15:restartNumberingAfterBreak="0">
    <w:nsid w:val="06F94071"/>
    <w:multiLevelType w:val="multilevel"/>
    <w:tmpl w:val="F706557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6" w15:restartNumberingAfterBreak="0">
    <w:nsid w:val="07434EA1"/>
    <w:multiLevelType w:val="hybridMultilevel"/>
    <w:tmpl w:val="860CF9DA"/>
    <w:lvl w:ilvl="0" w:tplc="2AAEA7F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5C0ED6"/>
    <w:multiLevelType w:val="hybridMultilevel"/>
    <w:tmpl w:val="B366EB18"/>
    <w:lvl w:ilvl="0" w:tplc="2AAEA7FC">
      <w:numFmt w:val="bullet"/>
      <w:lvlText w:val="•"/>
      <w:lvlJc w:val="left"/>
      <w:pPr>
        <w:ind w:left="1080" w:hanging="360"/>
      </w:pPr>
      <w:rPr>
        <w:rFonts w:ascii="Arial" w:eastAsia="Calibr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7F3356C"/>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9791215"/>
    <w:multiLevelType w:val="multilevel"/>
    <w:tmpl w:val="DA6E5D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F35110"/>
    <w:multiLevelType w:val="hybridMultilevel"/>
    <w:tmpl w:val="5374FCE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0C5B228C"/>
    <w:multiLevelType w:val="hybridMultilevel"/>
    <w:tmpl w:val="C7B29E56"/>
    <w:lvl w:ilvl="0" w:tplc="FF609D30">
      <w:numFmt w:val="bullet"/>
      <w:lvlText w:val="•"/>
      <w:lvlJc w:val="left"/>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D70296D"/>
    <w:multiLevelType w:val="hybridMultilevel"/>
    <w:tmpl w:val="D1A4F7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20E503B"/>
    <w:multiLevelType w:val="hybridMultilevel"/>
    <w:tmpl w:val="5852D5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A565C1"/>
    <w:multiLevelType w:val="multilevel"/>
    <w:tmpl w:val="C4B287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DA5E95"/>
    <w:multiLevelType w:val="hybridMultilevel"/>
    <w:tmpl w:val="6770B2EC"/>
    <w:lvl w:ilvl="0" w:tplc="4CA832A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9D952E5"/>
    <w:multiLevelType w:val="hybridMultilevel"/>
    <w:tmpl w:val="E5CA245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1AD466BE"/>
    <w:multiLevelType w:val="hybridMultilevel"/>
    <w:tmpl w:val="555AC2EA"/>
    <w:lvl w:ilvl="0" w:tplc="CB82E55E">
      <w:start w:val="1"/>
      <w:numFmt w:val="bullet"/>
      <w:lvlText w:val=""/>
      <w:lvlJc w:val="left"/>
      <w:rPr>
        <w:rFonts w:ascii="Symbol" w:hAnsi="Symbol" w:hint="default"/>
        <w:color w:val="F2692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0B117AE"/>
    <w:multiLevelType w:val="hybridMultilevel"/>
    <w:tmpl w:val="8794A0A0"/>
    <w:lvl w:ilvl="0" w:tplc="C58E76F6">
      <w:start w:val="1"/>
      <w:numFmt w:val="bullet"/>
      <w:lvlText w:val=""/>
      <w:lvlJc w:val="left"/>
      <w:pPr>
        <w:ind w:left="1440" w:hanging="360"/>
      </w:pPr>
      <w:rPr>
        <w:rFonts w:ascii="Symbol" w:hAnsi="Symbol" w:hint="default"/>
      </w:rPr>
    </w:lvl>
    <w:lvl w:ilvl="1" w:tplc="49442784">
      <w:start w:val="1"/>
      <w:numFmt w:val="bullet"/>
      <w:lvlText w:val="o"/>
      <w:lvlJc w:val="left"/>
      <w:pPr>
        <w:ind w:left="2160" w:hanging="360"/>
      </w:pPr>
      <w:rPr>
        <w:rFonts w:ascii="Courier New" w:hAnsi="Courier New" w:hint="default"/>
      </w:rPr>
    </w:lvl>
    <w:lvl w:ilvl="2" w:tplc="35460BFC">
      <w:start w:val="1"/>
      <w:numFmt w:val="bullet"/>
      <w:lvlText w:val=""/>
      <w:lvlJc w:val="left"/>
      <w:pPr>
        <w:ind w:left="2880" w:hanging="360"/>
      </w:pPr>
      <w:rPr>
        <w:rFonts w:ascii="Wingdings" w:hAnsi="Wingdings" w:hint="default"/>
      </w:rPr>
    </w:lvl>
    <w:lvl w:ilvl="3" w:tplc="45A2D64C">
      <w:start w:val="1"/>
      <w:numFmt w:val="bullet"/>
      <w:lvlText w:val=""/>
      <w:lvlJc w:val="left"/>
      <w:pPr>
        <w:ind w:left="3600" w:hanging="360"/>
      </w:pPr>
      <w:rPr>
        <w:rFonts w:ascii="Symbol" w:hAnsi="Symbol" w:hint="default"/>
      </w:rPr>
    </w:lvl>
    <w:lvl w:ilvl="4" w:tplc="B0204A82">
      <w:start w:val="1"/>
      <w:numFmt w:val="bullet"/>
      <w:lvlText w:val="o"/>
      <w:lvlJc w:val="left"/>
      <w:pPr>
        <w:ind w:left="4320" w:hanging="360"/>
      </w:pPr>
      <w:rPr>
        <w:rFonts w:ascii="Courier New" w:hAnsi="Courier New" w:hint="default"/>
      </w:rPr>
    </w:lvl>
    <w:lvl w:ilvl="5" w:tplc="B2247B90">
      <w:start w:val="1"/>
      <w:numFmt w:val="bullet"/>
      <w:lvlText w:val=""/>
      <w:lvlJc w:val="left"/>
      <w:pPr>
        <w:ind w:left="5040" w:hanging="360"/>
      </w:pPr>
      <w:rPr>
        <w:rFonts w:ascii="Wingdings" w:hAnsi="Wingdings" w:hint="default"/>
      </w:rPr>
    </w:lvl>
    <w:lvl w:ilvl="6" w:tplc="AE42C4BA">
      <w:start w:val="1"/>
      <w:numFmt w:val="bullet"/>
      <w:lvlText w:val=""/>
      <w:lvlJc w:val="left"/>
      <w:pPr>
        <w:ind w:left="5760" w:hanging="360"/>
      </w:pPr>
      <w:rPr>
        <w:rFonts w:ascii="Symbol" w:hAnsi="Symbol" w:hint="default"/>
      </w:rPr>
    </w:lvl>
    <w:lvl w:ilvl="7" w:tplc="CE7E50C0">
      <w:start w:val="1"/>
      <w:numFmt w:val="bullet"/>
      <w:lvlText w:val="o"/>
      <w:lvlJc w:val="left"/>
      <w:pPr>
        <w:ind w:left="6480" w:hanging="360"/>
      </w:pPr>
      <w:rPr>
        <w:rFonts w:ascii="Courier New" w:hAnsi="Courier New" w:hint="default"/>
      </w:rPr>
    </w:lvl>
    <w:lvl w:ilvl="8" w:tplc="4E6048B4">
      <w:start w:val="1"/>
      <w:numFmt w:val="bullet"/>
      <w:lvlText w:val=""/>
      <w:lvlJc w:val="left"/>
      <w:pPr>
        <w:ind w:left="7200" w:hanging="360"/>
      </w:pPr>
      <w:rPr>
        <w:rFonts w:ascii="Wingdings" w:hAnsi="Wingdings" w:hint="default"/>
      </w:rPr>
    </w:lvl>
  </w:abstractNum>
  <w:abstractNum w:abstractNumId="19" w15:restartNumberingAfterBreak="0">
    <w:nsid w:val="23AC2979"/>
    <w:multiLevelType w:val="multilevel"/>
    <w:tmpl w:val="61FA420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647"/>
        </w:tabs>
        <w:ind w:left="1647" w:hanging="360"/>
      </w:pPr>
      <w:rPr>
        <w:rFonts w:ascii="Symbol" w:hAnsi="Symbol" w:hint="default"/>
        <w:sz w:val="20"/>
      </w:rPr>
    </w:lvl>
    <w:lvl w:ilvl="2" w:tentative="1">
      <w:start w:val="1"/>
      <w:numFmt w:val="bullet"/>
      <w:lvlText w:val=""/>
      <w:lvlJc w:val="left"/>
      <w:pPr>
        <w:tabs>
          <w:tab w:val="num" w:pos="2367"/>
        </w:tabs>
        <w:ind w:left="2367" w:hanging="360"/>
      </w:pPr>
      <w:rPr>
        <w:rFonts w:ascii="Symbol" w:hAnsi="Symbol" w:hint="default"/>
        <w:sz w:val="20"/>
      </w:rPr>
    </w:lvl>
    <w:lvl w:ilvl="3" w:tentative="1">
      <w:start w:val="1"/>
      <w:numFmt w:val="bullet"/>
      <w:lvlText w:val=""/>
      <w:lvlJc w:val="left"/>
      <w:pPr>
        <w:tabs>
          <w:tab w:val="num" w:pos="3087"/>
        </w:tabs>
        <w:ind w:left="3087" w:hanging="360"/>
      </w:pPr>
      <w:rPr>
        <w:rFonts w:ascii="Symbol" w:hAnsi="Symbol" w:hint="default"/>
        <w:sz w:val="20"/>
      </w:rPr>
    </w:lvl>
    <w:lvl w:ilvl="4" w:tentative="1">
      <w:start w:val="1"/>
      <w:numFmt w:val="bullet"/>
      <w:lvlText w:val=""/>
      <w:lvlJc w:val="left"/>
      <w:pPr>
        <w:tabs>
          <w:tab w:val="num" w:pos="3807"/>
        </w:tabs>
        <w:ind w:left="3807" w:hanging="360"/>
      </w:pPr>
      <w:rPr>
        <w:rFonts w:ascii="Symbol" w:hAnsi="Symbol" w:hint="default"/>
        <w:sz w:val="20"/>
      </w:rPr>
    </w:lvl>
    <w:lvl w:ilvl="5" w:tentative="1">
      <w:start w:val="1"/>
      <w:numFmt w:val="bullet"/>
      <w:lvlText w:val=""/>
      <w:lvlJc w:val="left"/>
      <w:pPr>
        <w:tabs>
          <w:tab w:val="num" w:pos="4527"/>
        </w:tabs>
        <w:ind w:left="4527" w:hanging="360"/>
      </w:pPr>
      <w:rPr>
        <w:rFonts w:ascii="Symbol" w:hAnsi="Symbol" w:hint="default"/>
        <w:sz w:val="20"/>
      </w:rPr>
    </w:lvl>
    <w:lvl w:ilvl="6" w:tentative="1">
      <w:start w:val="1"/>
      <w:numFmt w:val="bullet"/>
      <w:lvlText w:val=""/>
      <w:lvlJc w:val="left"/>
      <w:pPr>
        <w:tabs>
          <w:tab w:val="num" w:pos="5247"/>
        </w:tabs>
        <w:ind w:left="5247" w:hanging="360"/>
      </w:pPr>
      <w:rPr>
        <w:rFonts w:ascii="Symbol" w:hAnsi="Symbol" w:hint="default"/>
        <w:sz w:val="20"/>
      </w:rPr>
    </w:lvl>
    <w:lvl w:ilvl="7" w:tentative="1">
      <w:start w:val="1"/>
      <w:numFmt w:val="bullet"/>
      <w:lvlText w:val=""/>
      <w:lvlJc w:val="left"/>
      <w:pPr>
        <w:tabs>
          <w:tab w:val="num" w:pos="5967"/>
        </w:tabs>
        <w:ind w:left="5967" w:hanging="360"/>
      </w:pPr>
      <w:rPr>
        <w:rFonts w:ascii="Symbol" w:hAnsi="Symbol" w:hint="default"/>
        <w:sz w:val="20"/>
      </w:rPr>
    </w:lvl>
    <w:lvl w:ilvl="8" w:tentative="1">
      <w:start w:val="1"/>
      <w:numFmt w:val="bullet"/>
      <w:lvlText w:val=""/>
      <w:lvlJc w:val="left"/>
      <w:pPr>
        <w:tabs>
          <w:tab w:val="num" w:pos="6687"/>
        </w:tabs>
        <w:ind w:left="6687" w:hanging="360"/>
      </w:pPr>
      <w:rPr>
        <w:rFonts w:ascii="Symbol" w:hAnsi="Symbol" w:hint="default"/>
        <w:sz w:val="20"/>
      </w:rPr>
    </w:lvl>
  </w:abstractNum>
  <w:abstractNum w:abstractNumId="20" w15:restartNumberingAfterBreak="0">
    <w:nsid w:val="24033F4D"/>
    <w:multiLevelType w:val="hybridMultilevel"/>
    <w:tmpl w:val="D28025E0"/>
    <w:lvl w:ilvl="0" w:tplc="CB82E55E">
      <w:start w:val="1"/>
      <w:numFmt w:val="bullet"/>
      <w:lvlText w:val=""/>
      <w:lvlJc w:val="left"/>
      <w:rPr>
        <w:rFonts w:ascii="Symbol" w:hAnsi="Symbol" w:hint="default"/>
        <w:color w:val="F2692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246328CC"/>
    <w:multiLevelType w:val="hybridMultilevel"/>
    <w:tmpl w:val="B42EF856"/>
    <w:lvl w:ilvl="0" w:tplc="33720E80">
      <w:start w:val="1"/>
      <w:numFmt w:val="bullet"/>
      <w:lvlText w:val=""/>
      <w:lvlJc w:val="left"/>
      <w:rPr>
        <w:rFonts w:ascii="Symbol" w:hAnsi="Symbol" w:hint="default"/>
        <w:color w:val="DA576C"/>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7FF14F1"/>
    <w:multiLevelType w:val="multilevel"/>
    <w:tmpl w:val="2DB4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A037983"/>
    <w:multiLevelType w:val="hybridMultilevel"/>
    <w:tmpl w:val="DBFCFC3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4" w15:restartNumberingAfterBreak="0">
    <w:nsid w:val="2A2453B4"/>
    <w:multiLevelType w:val="hybridMultilevel"/>
    <w:tmpl w:val="F0D49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B76376"/>
    <w:multiLevelType w:val="hybridMultilevel"/>
    <w:tmpl w:val="C2143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BC14BE"/>
    <w:multiLevelType w:val="hybridMultilevel"/>
    <w:tmpl w:val="07E4F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6F5CDB"/>
    <w:multiLevelType w:val="hybridMultilevel"/>
    <w:tmpl w:val="7F926684"/>
    <w:lvl w:ilvl="0" w:tplc="C9CE7010">
      <w:numFmt w:val="bullet"/>
      <w:lvlText w:val="•"/>
      <w:lvlJc w:val="left"/>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1072539"/>
    <w:multiLevelType w:val="hybridMultilevel"/>
    <w:tmpl w:val="1B68D16A"/>
    <w:lvl w:ilvl="0" w:tplc="7DEEA64C">
      <w:start w:val="1"/>
      <w:numFmt w:val="bullet"/>
      <w:pStyle w:val="List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9" w15:restartNumberingAfterBreak="0">
    <w:nsid w:val="33DB0E8E"/>
    <w:multiLevelType w:val="hybridMultilevel"/>
    <w:tmpl w:val="2624A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78A6432"/>
    <w:multiLevelType w:val="hybridMultilevel"/>
    <w:tmpl w:val="4ECA2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920A0E"/>
    <w:multiLevelType w:val="multilevel"/>
    <w:tmpl w:val="DDC8D1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87B7D4F"/>
    <w:multiLevelType w:val="hybridMultilevel"/>
    <w:tmpl w:val="6CDCD252"/>
    <w:lvl w:ilvl="0" w:tplc="9DA69248">
      <w:start w:val="1"/>
      <w:numFmt w:val="bullet"/>
      <w:lvlText w:val=""/>
      <w:lvlJc w:val="left"/>
      <w:rPr>
        <w:rFonts w:ascii="Symbol" w:hAnsi="Symbol" w:hint="default"/>
        <w:color w:val="F3B223"/>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B2B13B1"/>
    <w:multiLevelType w:val="hybridMultilevel"/>
    <w:tmpl w:val="4C584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BE030F1"/>
    <w:multiLevelType w:val="hybridMultilevel"/>
    <w:tmpl w:val="BADAD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C7A565B"/>
    <w:multiLevelType w:val="hybridMultilevel"/>
    <w:tmpl w:val="8D6A9F36"/>
    <w:lvl w:ilvl="0" w:tplc="2AAEA7F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F392824"/>
    <w:multiLevelType w:val="hybridMultilevel"/>
    <w:tmpl w:val="34109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4F52E8C"/>
    <w:multiLevelType w:val="hybridMultilevel"/>
    <w:tmpl w:val="56D6A3B6"/>
    <w:lvl w:ilvl="0" w:tplc="7A547E20">
      <w:start w:val="1"/>
      <w:numFmt w:val="bullet"/>
      <w:lvlText w:val=""/>
      <w:lvlJc w:val="left"/>
      <w:rPr>
        <w:rFonts w:ascii="Symbol" w:hAnsi="Symbol" w:hint="default"/>
        <w:color w:val="78BE4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4741593F"/>
    <w:multiLevelType w:val="hybridMultilevel"/>
    <w:tmpl w:val="FBE8AC26"/>
    <w:lvl w:ilvl="0" w:tplc="9AECBA28">
      <w:start w:val="1"/>
      <w:numFmt w:val="bullet"/>
      <w:lvlText w:val=""/>
      <w:lvlJc w:val="left"/>
      <w:rPr>
        <w:rFonts w:ascii="Symbol" w:hAnsi="Symbol" w:hint="default"/>
        <w:color w:val="F3B2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A022B2"/>
    <w:multiLevelType w:val="hybridMultilevel"/>
    <w:tmpl w:val="35E26942"/>
    <w:lvl w:ilvl="0" w:tplc="9AECBA28">
      <w:start w:val="1"/>
      <w:numFmt w:val="bullet"/>
      <w:lvlText w:val=""/>
      <w:lvlJc w:val="left"/>
      <w:rPr>
        <w:rFonts w:ascii="Symbol" w:hAnsi="Symbol" w:hint="default"/>
        <w:color w:val="F3B22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4C2B5FF2"/>
    <w:multiLevelType w:val="hybridMultilevel"/>
    <w:tmpl w:val="6DBE7834"/>
    <w:lvl w:ilvl="0" w:tplc="0CF8F064">
      <w:start w:val="1"/>
      <w:numFmt w:val="bullet"/>
      <w:lvlText w:val=""/>
      <w:lvlJc w:val="left"/>
      <w:rPr>
        <w:rFonts w:ascii="Symbol" w:hAnsi="Symbol" w:hint="default"/>
        <w:color w:val="DA576C"/>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53AD4A0E"/>
    <w:multiLevelType w:val="hybridMultilevel"/>
    <w:tmpl w:val="31FAC7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5A327F8"/>
    <w:multiLevelType w:val="hybridMultilevel"/>
    <w:tmpl w:val="881CFC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6262588"/>
    <w:multiLevelType w:val="hybridMultilevel"/>
    <w:tmpl w:val="2F7026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6FD7847"/>
    <w:multiLevelType w:val="hybridMultilevel"/>
    <w:tmpl w:val="12DE0C8E"/>
    <w:lvl w:ilvl="0" w:tplc="33720E80">
      <w:start w:val="1"/>
      <w:numFmt w:val="bullet"/>
      <w:lvlText w:val=""/>
      <w:lvlJc w:val="left"/>
      <w:rPr>
        <w:rFonts w:ascii="Symbol" w:hAnsi="Symbol" w:hint="default"/>
        <w:color w:val="DA576C"/>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8D941C3"/>
    <w:multiLevelType w:val="hybridMultilevel"/>
    <w:tmpl w:val="493E3BD4"/>
    <w:lvl w:ilvl="0" w:tplc="7A547E20">
      <w:start w:val="1"/>
      <w:numFmt w:val="bullet"/>
      <w:lvlText w:val=""/>
      <w:lvlJc w:val="left"/>
      <w:rPr>
        <w:rFonts w:ascii="Symbol" w:hAnsi="Symbol" w:hint="default"/>
        <w:color w:val="78BE4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5FBE5A09"/>
    <w:multiLevelType w:val="multilevel"/>
    <w:tmpl w:val="B48263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60043795"/>
    <w:multiLevelType w:val="multilevel"/>
    <w:tmpl w:val="124E8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2175110"/>
    <w:multiLevelType w:val="hybridMultilevel"/>
    <w:tmpl w:val="0E16D862"/>
    <w:lvl w:ilvl="0" w:tplc="2AAEA7FC">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5456429"/>
    <w:multiLevelType w:val="hybridMultilevel"/>
    <w:tmpl w:val="9E2C8BDC"/>
    <w:lvl w:ilvl="0" w:tplc="0C09000F">
      <w:start w:val="1"/>
      <w:numFmt w:val="decimal"/>
      <w:lvlText w:val="%1."/>
      <w:lvlJc w:val="left"/>
      <w:pPr>
        <w:ind w:left="369" w:hanging="36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EBECE84">
      <w:start w:val="1"/>
      <w:numFmt w:val="lowerLetter"/>
      <w:pStyle w:val="ListNumber2"/>
      <w:lvlText w:val="%2."/>
      <w:lvlJc w:val="left"/>
      <w:pPr>
        <w:ind w:left="738" w:hanging="369"/>
      </w:pPr>
    </w:lvl>
    <w:lvl w:ilvl="2" w:tplc="201ADD32">
      <w:start w:val="1"/>
      <w:numFmt w:val="lowerRoman"/>
      <w:pStyle w:val="ListNumber3"/>
      <w:lvlText w:val="%3."/>
      <w:lvlJc w:val="left"/>
      <w:pPr>
        <w:ind w:left="1107" w:hanging="369"/>
      </w:pPr>
    </w:lvl>
    <w:lvl w:ilvl="3" w:tplc="71AC6A0A">
      <w:start w:val="1"/>
      <w:numFmt w:val="none"/>
      <w:pStyle w:val="ListNumber4"/>
      <w:lvlText w:val="%4"/>
      <w:lvlJc w:val="left"/>
      <w:pPr>
        <w:ind w:left="1476" w:hanging="369"/>
      </w:pPr>
    </w:lvl>
    <w:lvl w:ilvl="4" w:tplc="A04E495A">
      <w:start w:val="1"/>
      <w:numFmt w:val="none"/>
      <w:pStyle w:val="ListNumber5"/>
      <w:lvlText w:val=""/>
      <w:lvlJc w:val="left"/>
      <w:pPr>
        <w:ind w:left="1845" w:hanging="369"/>
      </w:pPr>
    </w:lvl>
    <w:lvl w:ilvl="5" w:tplc="8736B2F8">
      <w:start w:val="1"/>
      <w:numFmt w:val="none"/>
      <w:lvlText w:val=""/>
      <w:lvlJc w:val="left"/>
      <w:pPr>
        <w:ind w:left="2214" w:hanging="369"/>
      </w:pPr>
    </w:lvl>
    <w:lvl w:ilvl="6" w:tplc="543E2AEC">
      <w:start w:val="1"/>
      <w:numFmt w:val="none"/>
      <w:lvlText w:val=""/>
      <w:lvlJc w:val="left"/>
      <w:pPr>
        <w:ind w:left="2583" w:hanging="369"/>
      </w:pPr>
    </w:lvl>
    <w:lvl w:ilvl="7" w:tplc="072459EE">
      <w:start w:val="1"/>
      <w:numFmt w:val="none"/>
      <w:lvlText w:val=""/>
      <w:lvlJc w:val="left"/>
      <w:pPr>
        <w:ind w:left="2952" w:hanging="369"/>
      </w:pPr>
    </w:lvl>
    <w:lvl w:ilvl="8" w:tplc="9A9CDCE8">
      <w:start w:val="1"/>
      <w:numFmt w:val="none"/>
      <w:lvlText w:val=""/>
      <w:lvlJc w:val="left"/>
      <w:pPr>
        <w:ind w:left="3321" w:hanging="369"/>
      </w:pPr>
    </w:lvl>
  </w:abstractNum>
  <w:abstractNum w:abstractNumId="50" w15:restartNumberingAfterBreak="0">
    <w:nsid w:val="672C62DE"/>
    <w:multiLevelType w:val="multilevel"/>
    <w:tmpl w:val="465E0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9570BA3"/>
    <w:multiLevelType w:val="hybridMultilevel"/>
    <w:tmpl w:val="48C8B4FA"/>
    <w:lvl w:ilvl="0" w:tplc="FC34FDC6">
      <w:start w:val="1"/>
      <w:numFmt w:val="bullet"/>
      <w:lvlText w:val=""/>
      <w:lvlJc w:val="left"/>
      <w:rPr>
        <w:rFonts w:ascii="Symbol" w:hAnsi="Symbol" w:hint="default"/>
        <w:color w:val="2AB1B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6AF21357"/>
    <w:multiLevelType w:val="hybridMultilevel"/>
    <w:tmpl w:val="62E215F0"/>
    <w:lvl w:ilvl="0" w:tplc="FC34FDC6">
      <w:start w:val="1"/>
      <w:numFmt w:val="bullet"/>
      <w:lvlText w:val=""/>
      <w:lvlJc w:val="left"/>
      <w:rPr>
        <w:rFonts w:ascii="Symbol" w:hAnsi="Symbol" w:hint="default"/>
        <w:color w:val="2AB1B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D785454"/>
    <w:multiLevelType w:val="hybridMultilevel"/>
    <w:tmpl w:val="77AA47CE"/>
    <w:lvl w:ilvl="0" w:tplc="0C090001">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4" w15:restartNumberingAfterBreak="0">
    <w:nsid w:val="70D56EC3"/>
    <w:multiLevelType w:val="multilevel"/>
    <w:tmpl w:val="18C493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0FA795D"/>
    <w:multiLevelType w:val="hybridMultilevel"/>
    <w:tmpl w:val="85AA72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2920CB2"/>
    <w:multiLevelType w:val="hybridMultilevel"/>
    <w:tmpl w:val="396E8FE8"/>
    <w:lvl w:ilvl="0" w:tplc="9AECBA28">
      <w:start w:val="1"/>
      <w:numFmt w:val="bullet"/>
      <w:lvlText w:val=""/>
      <w:lvlJc w:val="left"/>
      <w:rPr>
        <w:rFonts w:ascii="Symbol" w:hAnsi="Symbol" w:hint="default"/>
        <w:color w:val="F3B223"/>
      </w:rPr>
    </w:lvl>
    <w:lvl w:ilvl="1" w:tplc="C698354E">
      <w:numFmt w:val="bullet"/>
      <w:lvlText w:val="○"/>
      <w:lvlJc w:val="left"/>
      <w:rPr>
        <w:rFonts w:ascii="Arial" w:eastAsia="Calibr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3166700"/>
    <w:multiLevelType w:val="hybridMultilevel"/>
    <w:tmpl w:val="7030476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E964CA"/>
    <w:multiLevelType w:val="hybridMultilevel"/>
    <w:tmpl w:val="B5E24EBC"/>
    <w:lvl w:ilvl="0" w:tplc="9AECBA28">
      <w:start w:val="1"/>
      <w:numFmt w:val="bullet"/>
      <w:lvlText w:val=""/>
      <w:lvlJc w:val="left"/>
      <w:rPr>
        <w:rFonts w:ascii="Symbol" w:hAnsi="Symbol" w:hint="default"/>
        <w:color w:val="F3B223"/>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60" w15:restartNumberingAfterBreak="0">
    <w:nsid w:val="7A7361ED"/>
    <w:multiLevelType w:val="hybridMultilevel"/>
    <w:tmpl w:val="03B2410E"/>
    <w:lvl w:ilvl="0" w:tplc="9AECBA28">
      <w:start w:val="1"/>
      <w:numFmt w:val="bullet"/>
      <w:lvlText w:val=""/>
      <w:lvlJc w:val="left"/>
      <w:rPr>
        <w:rFonts w:ascii="Symbol" w:hAnsi="Symbol" w:hint="default"/>
        <w:color w:val="F3B223"/>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61" w15:restartNumberingAfterBreak="0">
    <w:nsid w:val="7BC630F2"/>
    <w:multiLevelType w:val="hybridMultilevel"/>
    <w:tmpl w:val="E260F858"/>
    <w:lvl w:ilvl="0" w:tplc="CD6E7520">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7FB5231D"/>
    <w:multiLevelType w:val="hybridMultilevel"/>
    <w:tmpl w:val="90DE3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9625956">
    <w:abstractNumId w:val="18"/>
  </w:num>
  <w:num w:numId="2" w16cid:durableId="1410889281">
    <w:abstractNumId w:val="49"/>
  </w:num>
  <w:num w:numId="3" w16cid:durableId="206113258">
    <w:abstractNumId w:val="15"/>
  </w:num>
  <w:num w:numId="4" w16cid:durableId="359742753">
    <w:abstractNumId w:val="1"/>
  </w:num>
  <w:num w:numId="5" w16cid:durableId="1519657532">
    <w:abstractNumId w:val="4"/>
  </w:num>
  <w:num w:numId="6" w16cid:durableId="1578175542">
    <w:abstractNumId w:val="42"/>
  </w:num>
  <w:num w:numId="7" w16cid:durableId="1703901600">
    <w:abstractNumId w:val="10"/>
  </w:num>
  <w:num w:numId="8" w16cid:durableId="1018771670">
    <w:abstractNumId w:val="46"/>
  </w:num>
  <w:num w:numId="9" w16cid:durableId="2523263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727342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48221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11439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28363786">
    <w:abstractNumId w:val="13"/>
  </w:num>
  <w:num w:numId="14" w16cid:durableId="1888100572">
    <w:abstractNumId w:val="53"/>
  </w:num>
  <w:num w:numId="15" w16cid:durableId="2012292026">
    <w:abstractNumId w:val="29"/>
  </w:num>
  <w:num w:numId="16" w16cid:durableId="8454375">
    <w:abstractNumId w:val="55"/>
  </w:num>
  <w:num w:numId="17" w16cid:durableId="1043556620">
    <w:abstractNumId w:val="28"/>
  </w:num>
  <w:num w:numId="18" w16cid:durableId="678964233">
    <w:abstractNumId w:val="16"/>
  </w:num>
  <w:num w:numId="19" w16cid:durableId="172114094">
    <w:abstractNumId w:val="8"/>
  </w:num>
  <w:num w:numId="20" w16cid:durableId="1714647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508"/>
    <w:rsid w:val="00003572"/>
    <w:rsid w:val="000035F1"/>
    <w:rsid w:val="000043E9"/>
    <w:rsid w:val="000066D2"/>
    <w:rsid w:val="0001245D"/>
    <w:rsid w:val="00017D82"/>
    <w:rsid w:val="00017EFA"/>
    <w:rsid w:val="00036936"/>
    <w:rsid w:val="00036BE4"/>
    <w:rsid w:val="000412A9"/>
    <w:rsid w:val="000616C1"/>
    <w:rsid w:val="00065D75"/>
    <w:rsid w:val="0007433B"/>
    <w:rsid w:val="000879B0"/>
    <w:rsid w:val="000909FD"/>
    <w:rsid w:val="000948D4"/>
    <w:rsid w:val="000979C9"/>
    <w:rsid w:val="000A08EC"/>
    <w:rsid w:val="000A0965"/>
    <w:rsid w:val="000B1ABF"/>
    <w:rsid w:val="000B2151"/>
    <w:rsid w:val="000B4650"/>
    <w:rsid w:val="000B54B3"/>
    <w:rsid w:val="000B6E63"/>
    <w:rsid w:val="000D40AB"/>
    <w:rsid w:val="000D7AF0"/>
    <w:rsid w:val="000F3DE7"/>
    <w:rsid w:val="000F62F8"/>
    <w:rsid w:val="00102595"/>
    <w:rsid w:val="00111BB5"/>
    <w:rsid w:val="00125E5E"/>
    <w:rsid w:val="001353A9"/>
    <w:rsid w:val="00147894"/>
    <w:rsid w:val="00150A7D"/>
    <w:rsid w:val="00152D7F"/>
    <w:rsid w:val="001532D0"/>
    <w:rsid w:val="00154F81"/>
    <w:rsid w:val="00155865"/>
    <w:rsid w:val="001617FA"/>
    <w:rsid w:val="00162082"/>
    <w:rsid w:val="00162282"/>
    <w:rsid w:val="0016301C"/>
    <w:rsid w:val="00164BA4"/>
    <w:rsid w:val="001740D6"/>
    <w:rsid w:val="00176394"/>
    <w:rsid w:val="00176517"/>
    <w:rsid w:val="0018025E"/>
    <w:rsid w:val="00191E5A"/>
    <w:rsid w:val="00194B46"/>
    <w:rsid w:val="001954FD"/>
    <w:rsid w:val="001A209B"/>
    <w:rsid w:val="001A2E4C"/>
    <w:rsid w:val="001A355A"/>
    <w:rsid w:val="001A4831"/>
    <w:rsid w:val="001B3A1A"/>
    <w:rsid w:val="001B74FE"/>
    <w:rsid w:val="001C0AEF"/>
    <w:rsid w:val="001C1597"/>
    <w:rsid w:val="001C1A62"/>
    <w:rsid w:val="001C1D44"/>
    <w:rsid w:val="001C3385"/>
    <w:rsid w:val="001C79F8"/>
    <w:rsid w:val="001D2A13"/>
    <w:rsid w:val="001D501D"/>
    <w:rsid w:val="001E441B"/>
    <w:rsid w:val="001E602D"/>
    <w:rsid w:val="001F6D4B"/>
    <w:rsid w:val="0020048F"/>
    <w:rsid w:val="00201C65"/>
    <w:rsid w:val="00212F74"/>
    <w:rsid w:val="00216FB3"/>
    <w:rsid w:val="00217E35"/>
    <w:rsid w:val="002205B7"/>
    <w:rsid w:val="002258A3"/>
    <w:rsid w:val="0023611D"/>
    <w:rsid w:val="002437E5"/>
    <w:rsid w:val="002460D9"/>
    <w:rsid w:val="00255649"/>
    <w:rsid w:val="00256703"/>
    <w:rsid w:val="00261F6B"/>
    <w:rsid w:val="00266DFB"/>
    <w:rsid w:val="002744F9"/>
    <w:rsid w:val="00277324"/>
    <w:rsid w:val="00277C06"/>
    <w:rsid w:val="002852B8"/>
    <w:rsid w:val="0028551C"/>
    <w:rsid w:val="00295A82"/>
    <w:rsid w:val="002A1351"/>
    <w:rsid w:val="002A13CE"/>
    <w:rsid w:val="002A3695"/>
    <w:rsid w:val="002A6EEB"/>
    <w:rsid w:val="002B393B"/>
    <w:rsid w:val="002B3EAB"/>
    <w:rsid w:val="002B6135"/>
    <w:rsid w:val="002D1A97"/>
    <w:rsid w:val="002D2F06"/>
    <w:rsid w:val="002D582C"/>
    <w:rsid w:val="002D6D8F"/>
    <w:rsid w:val="002E29A3"/>
    <w:rsid w:val="002E4C6A"/>
    <w:rsid w:val="002F2209"/>
    <w:rsid w:val="00301204"/>
    <w:rsid w:val="00302E54"/>
    <w:rsid w:val="003114B1"/>
    <w:rsid w:val="00313C5F"/>
    <w:rsid w:val="003150F4"/>
    <w:rsid w:val="0031610A"/>
    <w:rsid w:val="00316395"/>
    <w:rsid w:val="00320539"/>
    <w:rsid w:val="003206E7"/>
    <w:rsid w:val="00325048"/>
    <w:rsid w:val="00325A1E"/>
    <w:rsid w:val="0034073C"/>
    <w:rsid w:val="00345345"/>
    <w:rsid w:val="00355D01"/>
    <w:rsid w:val="00357923"/>
    <w:rsid w:val="0036098E"/>
    <w:rsid w:val="00360B34"/>
    <w:rsid w:val="00363637"/>
    <w:rsid w:val="00372793"/>
    <w:rsid w:val="00375E62"/>
    <w:rsid w:val="00376D34"/>
    <w:rsid w:val="00381D85"/>
    <w:rsid w:val="00393C31"/>
    <w:rsid w:val="0039673D"/>
    <w:rsid w:val="00396F8B"/>
    <w:rsid w:val="003A22DB"/>
    <w:rsid w:val="003A7332"/>
    <w:rsid w:val="003C0BBF"/>
    <w:rsid w:val="003D4D9E"/>
    <w:rsid w:val="003D799F"/>
    <w:rsid w:val="003D7D7C"/>
    <w:rsid w:val="003E3A5F"/>
    <w:rsid w:val="003E6CCF"/>
    <w:rsid w:val="003F7139"/>
    <w:rsid w:val="003F7B96"/>
    <w:rsid w:val="004110C2"/>
    <w:rsid w:val="00416508"/>
    <w:rsid w:val="004172BA"/>
    <w:rsid w:val="004264BE"/>
    <w:rsid w:val="00426F98"/>
    <w:rsid w:val="00431A0B"/>
    <w:rsid w:val="00431CD1"/>
    <w:rsid w:val="0044024F"/>
    <w:rsid w:val="004423BF"/>
    <w:rsid w:val="004476F9"/>
    <w:rsid w:val="00452E99"/>
    <w:rsid w:val="004557A0"/>
    <w:rsid w:val="004577D2"/>
    <w:rsid w:val="004819A7"/>
    <w:rsid w:val="00481E43"/>
    <w:rsid w:val="0048372F"/>
    <w:rsid w:val="004856A4"/>
    <w:rsid w:val="0048583F"/>
    <w:rsid w:val="00493A64"/>
    <w:rsid w:val="00494E88"/>
    <w:rsid w:val="00496D69"/>
    <w:rsid w:val="004A2698"/>
    <w:rsid w:val="004A4F71"/>
    <w:rsid w:val="004A76FF"/>
    <w:rsid w:val="004A7C5D"/>
    <w:rsid w:val="004B5C5A"/>
    <w:rsid w:val="004B73F2"/>
    <w:rsid w:val="004C11EB"/>
    <w:rsid w:val="004C142C"/>
    <w:rsid w:val="004C4CF5"/>
    <w:rsid w:val="004D4AA8"/>
    <w:rsid w:val="004D548B"/>
    <w:rsid w:val="004E1CA3"/>
    <w:rsid w:val="004F5634"/>
    <w:rsid w:val="004F5F0F"/>
    <w:rsid w:val="004F79FD"/>
    <w:rsid w:val="00500AA5"/>
    <w:rsid w:val="00501DDA"/>
    <w:rsid w:val="005035B6"/>
    <w:rsid w:val="00505EAA"/>
    <w:rsid w:val="0051189E"/>
    <w:rsid w:val="00513AE4"/>
    <w:rsid w:val="00520883"/>
    <w:rsid w:val="00521D53"/>
    <w:rsid w:val="0055582B"/>
    <w:rsid w:val="00563885"/>
    <w:rsid w:val="00563BF9"/>
    <w:rsid w:val="00572F88"/>
    <w:rsid w:val="005733AD"/>
    <w:rsid w:val="005744CB"/>
    <w:rsid w:val="00576A5B"/>
    <w:rsid w:val="00577C30"/>
    <w:rsid w:val="00581BDC"/>
    <w:rsid w:val="00583E80"/>
    <w:rsid w:val="00585B73"/>
    <w:rsid w:val="00592266"/>
    <w:rsid w:val="00597446"/>
    <w:rsid w:val="005A10D5"/>
    <w:rsid w:val="005A44F3"/>
    <w:rsid w:val="005A68A8"/>
    <w:rsid w:val="005B5680"/>
    <w:rsid w:val="005D094B"/>
    <w:rsid w:val="005D37CB"/>
    <w:rsid w:val="005D4DF7"/>
    <w:rsid w:val="005D51B5"/>
    <w:rsid w:val="005D5CEC"/>
    <w:rsid w:val="005D5FC4"/>
    <w:rsid w:val="005E0B7F"/>
    <w:rsid w:val="005F0854"/>
    <w:rsid w:val="005F5759"/>
    <w:rsid w:val="005F6586"/>
    <w:rsid w:val="005F739D"/>
    <w:rsid w:val="00600BE0"/>
    <w:rsid w:val="00602A9B"/>
    <w:rsid w:val="0060400D"/>
    <w:rsid w:val="00611FBF"/>
    <w:rsid w:val="00633DB4"/>
    <w:rsid w:val="00646B32"/>
    <w:rsid w:val="00647BA4"/>
    <w:rsid w:val="00651365"/>
    <w:rsid w:val="00651ACF"/>
    <w:rsid w:val="00656D9E"/>
    <w:rsid w:val="00665BD8"/>
    <w:rsid w:val="006712E1"/>
    <w:rsid w:val="00681E9F"/>
    <w:rsid w:val="00684130"/>
    <w:rsid w:val="00684B72"/>
    <w:rsid w:val="00686DB5"/>
    <w:rsid w:val="00692323"/>
    <w:rsid w:val="00695816"/>
    <w:rsid w:val="006A282C"/>
    <w:rsid w:val="006A5B63"/>
    <w:rsid w:val="006B16F0"/>
    <w:rsid w:val="006B5D90"/>
    <w:rsid w:val="006C4204"/>
    <w:rsid w:val="006D4C63"/>
    <w:rsid w:val="006D7389"/>
    <w:rsid w:val="006F4500"/>
    <w:rsid w:val="00726939"/>
    <w:rsid w:val="007429E9"/>
    <w:rsid w:val="00744982"/>
    <w:rsid w:val="00744B97"/>
    <w:rsid w:val="00745DB3"/>
    <w:rsid w:val="00751EB4"/>
    <w:rsid w:val="0075392D"/>
    <w:rsid w:val="00762331"/>
    <w:rsid w:val="0076491B"/>
    <w:rsid w:val="00764B51"/>
    <w:rsid w:val="00766F24"/>
    <w:rsid w:val="00771DFF"/>
    <w:rsid w:val="007801DC"/>
    <w:rsid w:val="00784F2A"/>
    <w:rsid w:val="00791951"/>
    <w:rsid w:val="007A7ACC"/>
    <w:rsid w:val="007D0CA4"/>
    <w:rsid w:val="007D3CA1"/>
    <w:rsid w:val="007E5BA9"/>
    <w:rsid w:val="00802D29"/>
    <w:rsid w:val="00804030"/>
    <w:rsid w:val="00806480"/>
    <w:rsid w:val="00810FCB"/>
    <w:rsid w:val="00821C59"/>
    <w:rsid w:val="0082590D"/>
    <w:rsid w:val="00826A70"/>
    <w:rsid w:val="00830BE2"/>
    <w:rsid w:val="0083346A"/>
    <w:rsid w:val="00842DB0"/>
    <w:rsid w:val="00845250"/>
    <w:rsid w:val="0085386B"/>
    <w:rsid w:val="00855420"/>
    <w:rsid w:val="008703E1"/>
    <w:rsid w:val="00871A8D"/>
    <w:rsid w:val="00874A7C"/>
    <w:rsid w:val="00874E3D"/>
    <w:rsid w:val="00876472"/>
    <w:rsid w:val="008818D7"/>
    <w:rsid w:val="008862BA"/>
    <w:rsid w:val="008B0D38"/>
    <w:rsid w:val="008B4497"/>
    <w:rsid w:val="008B733F"/>
    <w:rsid w:val="008C091A"/>
    <w:rsid w:val="008C3DE3"/>
    <w:rsid w:val="008C5D1A"/>
    <w:rsid w:val="008F3293"/>
    <w:rsid w:val="00901E78"/>
    <w:rsid w:val="00903A96"/>
    <w:rsid w:val="00903E01"/>
    <w:rsid w:val="00904327"/>
    <w:rsid w:val="009346B6"/>
    <w:rsid w:val="00941E85"/>
    <w:rsid w:val="00942A99"/>
    <w:rsid w:val="0095454B"/>
    <w:rsid w:val="00954EA1"/>
    <w:rsid w:val="009640E9"/>
    <w:rsid w:val="00975DB6"/>
    <w:rsid w:val="00992524"/>
    <w:rsid w:val="009B2828"/>
    <w:rsid w:val="009B5347"/>
    <w:rsid w:val="009C16E6"/>
    <w:rsid w:val="009C5F08"/>
    <w:rsid w:val="009D718B"/>
    <w:rsid w:val="009E0535"/>
    <w:rsid w:val="009E3090"/>
    <w:rsid w:val="009E403E"/>
    <w:rsid w:val="009E5AD8"/>
    <w:rsid w:val="009F3DDA"/>
    <w:rsid w:val="009F67AE"/>
    <w:rsid w:val="009F7194"/>
    <w:rsid w:val="00A002C3"/>
    <w:rsid w:val="00A01E14"/>
    <w:rsid w:val="00A10470"/>
    <w:rsid w:val="00A201F3"/>
    <w:rsid w:val="00A22E5D"/>
    <w:rsid w:val="00A32887"/>
    <w:rsid w:val="00A41AF8"/>
    <w:rsid w:val="00A44387"/>
    <w:rsid w:val="00A45BD1"/>
    <w:rsid w:val="00A47729"/>
    <w:rsid w:val="00A54033"/>
    <w:rsid w:val="00A54D44"/>
    <w:rsid w:val="00A571CB"/>
    <w:rsid w:val="00A6019C"/>
    <w:rsid w:val="00A63FFC"/>
    <w:rsid w:val="00A64DC6"/>
    <w:rsid w:val="00A700EC"/>
    <w:rsid w:val="00A72F09"/>
    <w:rsid w:val="00A741DA"/>
    <w:rsid w:val="00A81AB4"/>
    <w:rsid w:val="00A826E6"/>
    <w:rsid w:val="00A82991"/>
    <w:rsid w:val="00A833BA"/>
    <w:rsid w:val="00AA7748"/>
    <w:rsid w:val="00AA78A1"/>
    <w:rsid w:val="00AB18F9"/>
    <w:rsid w:val="00AB1E00"/>
    <w:rsid w:val="00AC4566"/>
    <w:rsid w:val="00AD075A"/>
    <w:rsid w:val="00AD1831"/>
    <w:rsid w:val="00AD677D"/>
    <w:rsid w:val="00AE24FD"/>
    <w:rsid w:val="00AE266D"/>
    <w:rsid w:val="00AE628C"/>
    <w:rsid w:val="00AE66F7"/>
    <w:rsid w:val="00AF7061"/>
    <w:rsid w:val="00B10C5B"/>
    <w:rsid w:val="00B15272"/>
    <w:rsid w:val="00B1542B"/>
    <w:rsid w:val="00B25406"/>
    <w:rsid w:val="00B50A5C"/>
    <w:rsid w:val="00B50C5D"/>
    <w:rsid w:val="00B64643"/>
    <w:rsid w:val="00B743E6"/>
    <w:rsid w:val="00B77F1C"/>
    <w:rsid w:val="00B92A39"/>
    <w:rsid w:val="00B93DCE"/>
    <w:rsid w:val="00B96BA5"/>
    <w:rsid w:val="00BB5E75"/>
    <w:rsid w:val="00BC0C7C"/>
    <w:rsid w:val="00BC6963"/>
    <w:rsid w:val="00BD4C1D"/>
    <w:rsid w:val="00BD7B2E"/>
    <w:rsid w:val="00BE2E52"/>
    <w:rsid w:val="00BF01B0"/>
    <w:rsid w:val="00BF3D97"/>
    <w:rsid w:val="00BF66C8"/>
    <w:rsid w:val="00C12649"/>
    <w:rsid w:val="00C22E33"/>
    <w:rsid w:val="00C2780C"/>
    <w:rsid w:val="00C330AD"/>
    <w:rsid w:val="00C36B54"/>
    <w:rsid w:val="00C45DD4"/>
    <w:rsid w:val="00C46331"/>
    <w:rsid w:val="00C47647"/>
    <w:rsid w:val="00C55F3B"/>
    <w:rsid w:val="00C57424"/>
    <w:rsid w:val="00C63D65"/>
    <w:rsid w:val="00C64096"/>
    <w:rsid w:val="00C70725"/>
    <w:rsid w:val="00C76786"/>
    <w:rsid w:val="00C76B54"/>
    <w:rsid w:val="00C80EAD"/>
    <w:rsid w:val="00C83BE2"/>
    <w:rsid w:val="00C905D6"/>
    <w:rsid w:val="00C9187A"/>
    <w:rsid w:val="00C96E16"/>
    <w:rsid w:val="00CA0CFC"/>
    <w:rsid w:val="00CB3C39"/>
    <w:rsid w:val="00CC0C52"/>
    <w:rsid w:val="00CD0F17"/>
    <w:rsid w:val="00CD281E"/>
    <w:rsid w:val="00CD302B"/>
    <w:rsid w:val="00CD5417"/>
    <w:rsid w:val="00CE0764"/>
    <w:rsid w:val="00CE1E8F"/>
    <w:rsid w:val="00CF034F"/>
    <w:rsid w:val="00CF150D"/>
    <w:rsid w:val="00D00586"/>
    <w:rsid w:val="00D00FFC"/>
    <w:rsid w:val="00D07E60"/>
    <w:rsid w:val="00D111A9"/>
    <w:rsid w:val="00D26BCB"/>
    <w:rsid w:val="00D279EC"/>
    <w:rsid w:val="00D27EEF"/>
    <w:rsid w:val="00D372BE"/>
    <w:rsid w:val="00D41508"/>
    <w:rsid w:val="00D415BB"/>
    <w:rsid w:val="00D4731A"/>
    <w:rsid w:val="00D534D4"/>
    <w:rsid w:val="00D80A73"/>
    <w:rsid w:val="00D83916"/>
    <w:rsid w:val="00D86771"/>
    <w:rsid w:val="00D929F3"/>
    <w:rsid w:val="00D934B1"/>
    <w:rsid w:val="00D94316"/>
    <w:rsid w:val="00D96247"/>
    <w:rsid w:val="00D96D10"/>
    <w:rsid w:val="00DA7C0B"/>
    <w:rsid w:val="00DC1A4B"/>
    <w:rsid w:val="00DC1C2C"/>
    <w:rsid w:val="00DC7556"/>
    <w:rsid w:val="00DC7CD9"/>
    <w:rsid w:val="00DD47A9"/>
    <w:rsid w:val="00DD60C2"/>
    <w:rsid w:val="00DD7702"/>
    <w:rsid w:val="00DF6FD0"/>
    <w:rsid w:val="00DF79B9"/>
    <w:rsid w:val="00E03ED5"/>
    <w:rsid w:val="00E11F20"/>
    <w:rsid w:val="00E14C08"/>
    <w:rsid w:val="00E262CE"/>
    <w:rsid w:val="00E27023"/>
    <w:rsid w:val="00E510D0"/>
    <w:rsid w:val="00E57ADC"/>
    <w:rsid w:val="00E63C8C"/>
    <w:rsid w:val="00E653B5"/>
    <w:rsid w:val="00E7171E"/>
    <w:rsid w:val="00E73F24"/>
    <w:rsid w:val="00E73F61"/>
    <w:rsid w:val="00E74E88"/>
    <w:rsid w:val="00E92296"/>
    <w:rsid w:val="00E93B23"/>
    <w:rsid w:val="00EA09EC"/>
    <w:rsid w:val="00EA68E0"/>
    <w:rsid w:val="00EC2E20"/>
    <w:rsid w:val="00EC5511"/>
    <w:rsid w:val="00EC624E"/>
    <w:rsid w:val="00ED2DCC"/>
    <w:rsid w:val="00EE4F32"/>
    <w:rsid w:val="00EE623C"/>
    <w:rsid w:val="00EE7A6E"/>
    <w:rsid w:val="00EF4417"/>
    <w:rsid w:val="00EF4ACF"/>
    <w:rsid w:val="00F030FB"/>
    <w:rsid w:val="00F05590"/>
    <w:rsid w:val="00F32385"/>
    <w:rsid w:val="00F35E07"/>
    <w:rsid w:val="00F36D0C"/>
    <w:rsid w:val="00F407A9"/>
    <w:rsid w:val="00F421A1"/>
    <w:rsid w:val="00F57DEA"/>
    <w:rsid w:val="00F61896"/>
    <w:rsid w:val="00F6440D"/>
    <w:rsid w:val="00F65DB0"/>
    <w:rsid w:val="00F820B4"/>
    <w:rsid w:val="00F93CA6"/>
    <w:rsid w:val="00F97DDF"/>
    <w:rsid w:val="00FA10FB"/>
    <w:rsid w:val="00FB7951"/>
    <w:rsid w:val="00FC1EAF"/>
    <w:rsid w:val="00FD1256"/>
    <w:rsid w:val="00FD61EF"/>
    <w:rsid w:val="00FE62FB"/>
    <w:rsid w:val="00FF593E"/>
    <w:rsid w:val="014AF598"/>
    <w:rsid w:val="01CA1CCA"/>
    <w:rsid w:val="088275BB"/>
    <w:rsid w:val="08B2A64E"/>
    <w:rsid w:val="0A5E5202"/>
    <w:rsid w:val="0C9344A8"/>
    <w:rsid w:val="1692A2DC"/>
    <w:rsid w:val="1BFC0EC9"/>
    <w:rsid w:val="26218EB4"/>
    <w:rsid w:val="26F8FAED"/>
    <w:rsid w:val="2915015D"/>
    <w:rsid w:val="307DCB3D"/>
    <w:rsid w:val="31507367"/>
    <w:rsid w:val="3299AF4B"/>
    <w:rsid w:val="39D86D09"/>
    <w:rsid w:val="44E122A5"/>
    <w:rsid w:val="474F40E4"/>
    <w:rsid w:val="47CC6595"/>
    <w:rsid w:val="47ED06F3"/>
    <w:rsid w:val="49CDA415"/>
    <w:rsid w:val="5484C030"/>
    <w:rsid w:val="5554473F"/>
    <w:rsid w:val="56D16448"/>
    <w:rsid w:val="6ABA7D80"/>
    <w:rsid w:val="742DA3C2"/>
    <w:rsid w:val="774FD3E8"/>
    <w:rsid w:val="7912D24A"/>
    <w:rsid w:val="7DF1E7C8"/>
    <w:rsid w:val="7E87398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1FC40"/>
  <w15:chartTrackingRefBased/>
  <w15:docId w15:val="{7DBD77FA-0E30-4F8E-A965-DDCDFD548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C5D"/>
    <w:pPr>
      <w:spacing w:before="120" w:after="120" w:line="276" w:lineRule="auto"/>
    </w:pPr>
    <w:rPr>
      <w:rFonts w:ascii="Arial" w:hAnsi="Arial"/>
      <w:sz w:val="24"/>
      <w:szCs w:val="24"/>
      <w:lang w:eastAsia="en-US"/>
    </w:rPr>
  </w:style>
  <w:style w:type="paragraph" w:styleId="Heading1">
    <w:name w:val="heading 1"/>
    <w:basedOn w:val="Normal"/>
    <w:next w:val="Normal"/>
    <w:link w:val="Heading1Char"/>
    <w:uiPriority w:val="9"/>
    <w:qFormat/>
    <w:rsid w:val="003F7B96"/>
    <w:pPr>
      <w:keepNext/>
      <w:keepLines/>
      <w:numPr>
        <w:numId w:val="19"/>
      </w:numPr>
      <w:spacing w:after="240"/>
      <w:ind w:left="431" w:hanging="431"/>
      <w:outlineLvl w:val="0"/>
    </w:pPr>
    <w:rPr>
      <w:rFonts w:eastAsia="Times New Roman" w:cs="Arial"/>
      <w:b/>
      <w:bCs/>
      <w:color w:val="1E1544"/>
      <w:sz w:val="32"/>
      <w:szCs w:val="60"/>
    </w:rPr>
  </w:style>
  <w:style w:type="paragraph" w:styleId="Heading2">
    <w:name w:val="heading 2"/>
    <w:basedOn w:val="Normal"/>
    <w:next w:val="Normal"/>
    <w:link w:val="Heading2Char"/>
    <w:uiPriority w:val="9"/>
    <w:unhideWhenUsed/>
    <w:qFormat/>
    <w:rsid w:val="00E11F20"/>
    <w:pPr>
      <w:keepNext/>
      <w:keepLines/>
      <w:numPr>
        <w:ilvl w:val="1"/>
        <w:numId w:val="19"/>
      </w:numPr>
      <w:spacing w:after="240"/>
      <w:ind w:left="578" w:hanging="578"/>
      <w:outlineLvl w:val="1"/>
    </w:pPr>
    <w:rPr>
      <w:rFonts w:eastAsia="Times New Roman"/>
      <w:b/>
      <w:color w:val="1E1544"/>
      <w:sz w:val="28"/>
      <w:szCs w:val="26"/>
    </w:rPr>
  </w:style>
  <w:style w:type="paragraph" w:styleId="Heading3">
    <w:name w:val="heading 3"/>
    <w:basedOn w:val="Heading2"/>
    <w:next w:val="Normal"/>
    <w:link w:val="Heading3Char"/>
    <w:uiPriority w:val="9"/>
    <w:unhideWhenUsed/>
    <w:qFormat/>
    <w:rsid w:val="003E3A5F"/>
    <w:pPr>
      <w:numPr>
        <w:ilvl w:val="2"/>
      </w:numPr>
      <w:spacing w:line="288" w:lineRule="auto"/>
      <w:outlineLvl w:val="2"/>
    </w:pPr>
    <w:rPr>
      <w:szCs w:val="24"/>
    </w:rPr>
  </w:style>
  <w:style w:type="paragraph" w:styleId="Heading4">
    <w:name w:val="heading 4"/>
    <w:basedOn w:val="Heading3"/>
    <w:next w:val="Normal"/>
    <w:link w:val="Heading4Char"/>
    <w:uiPriority w:val="9"/>
    <w:unhideWhenUsed/>
    <w:qFormat/>
    <w:rsid w:val="0076491B"/>
    <w:pPr>
      <w:numPr>
        <w:ilvl w:val="3"/>
      </w:numPr>
      <w:outlineLvl w:val="3"/>
    </w:pPr>
    <w:rPr>
      <w:sz w:val="24"/>
      <w:szCs w:val="22"/>
    </w:rPr>
  </w:style>
  <w:style w:type="paragraph" w:styleId="Heading5">
    <w:name w:val="heading 5"/>
    <w:basedOn w:val="Normal"/>
    <w:next w:val="Normal"/>
    <w:link w:val="Heading5Char"/>
    <w:uiPriority w:val="9"/>
    <w:semiHidden/>
    <w:unhideWhenUsed/>
    <w:qFormat/>
    <w:rsid w:val="00B50C5D"/>
    <w:pPr>
      <w:keepNext/>
      <w:keepLines/>
      <w:numPr>
        <w:ilvl w:val="4"/>
        <w:numId w:val="1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50C5D"/>
    <w:pPr>
      <w:keepNext/>
      <w:keepLines/>
      <w:numPr>
        <w:ilvl w:val="5"/>
        <w:numId w:val="1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50C5D"/>
    <w:pPr>
      <w:keepNext/>
      <w:keepLines/>
      <w:numPr>
        <w:ilvl w:val="6"/>
        <w:numId w:val="1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50C5D"/>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50C5D"/>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F7B96"/>
    <w:rPr>
      <w:rFonts w:ascii="Arial" w:eastAsia="Times New Roman" w:hAnsi="Arial" w:cs="Arial"/>
      <w:b/>
      <w:bCs/>
      <w:color w:val="1E1544"/>
      <w:sz w:val="32"/>
      <w:szCs w:val="60"/>
      <w:lang w:eastAsia="en-US"/>
    </w:rPr>
  </w:style>
  <w:style w:type="paragraph" w:styleId="NoSpacing">
    <w:name w:val="No Spacing"/>
    <w:uiPriority w:val="1"/>
    <w:qFormat/>
    <w:rsid w:val="00C9187A"/>
    <w:pPr>
      <w:spacing w:line="276" w:lineRule="auto"/>
    </w:pPr>
    <w:rPr>
      <w:rFonts w:ascii="Arial" w:hAnsi="Arial"/>
      <w:sz w:val="24"/>
      <w:szCs w:val="24"/>
      <w:lang w:eastAsia="en-US"/>
    </w:rPr>
  </w:style>
  <w:style w:type="character" w:customStyle="1" w:styleId="Heading2Char">
    <w:name w:val="Heading 2 Char"/>
    <w:link w:val="Heading2"/>
    <w:uiPriority w:val="9"/>
    <w:rsid w:val="00E11F20"/>
    <w:rPr>
      <w:rFonts w:ascii="Arial" w:eastAsia="Times New Roman" w:hAnsi="Arial"/>
      <w:b/>
      <w:color w:val="1E1544"/>
      <w:sz w:val="28"/>
      <w:szCs w:val="26"/>
      <w:lang w:eastAsia="en-US"/>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Body text"/>
    <w:basedOn w:val="Normal"/>
    <w:link w:val="ListParagraphChar"/>
    <w:uiPriority w:val="1"/>
    <w:qFormat/>
    <w:rsid w:val="00646B32"/>
    <w:pPr>
      <w:spacing w:before="0"/>
      <w:contextualSpacing/>
    </w:pPr>
  </w:style>
  <w:style w:type="character" w:customStyle="1" w:styleId="Heading3Char">
    <w:name w:val="Heading 3 Char"/>
    <w:link w:val="Heading3"/>
    <w:uiPriority w:val="9"/>
    <w:rsid w:val="003E3A5F"/>
    <w:rPr>
      <w:rFonts w:ascii="Arial" w:eastAsia="Times New Roman" w:hAnsi="Arial"/>
      <w:b/>
      <w:color w:val="1E1544"/>
      <w:sz w:val="28"/>
      <w:szCs w:val="24"/>
      <w:lang w:eastAsia="en-US"/>
    </w:rPr>
  </w:style>
  <w:style w:type="character" w:customStyle="1" w:styleId="Heading4Char">
    <w:name w:val="Heading 4 Char"/>
    <w:link w:val="Heading4"/>
    <w:uiPriority w:val="9"/>
    <w:rsid w:val="0076491B"/>
    <w:rPr>
      <w:rFonts w:ascii="Arial" w:eastAsia="Times New Roman" w:hAnsi="Arial" w:cs="Times New Roman"/>
      <w:b/>
      <w:color w:val="1E1544"/>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link w:val="FootnoteText"/>
    <w:uiPriority w:val="99"/>
    <w:semiHidden/>
    <w:rsid w:val="009F67AE"/>
    <w:rPr>
      <w:rFonts w:ascii="Arial" w:hAnsi="Arial"/>
      <w:sz w:val="20"/>
      <w:szCs w:val="20"/>
    </w:rPr>
  </w:style>
  <w:style w:type="character" w:styleId="FootnoteReference">
    <w:name w:val="footnote reference"/>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bottom w:val="single" w:sz="4" w:space="0" w:color="DA576C"/>
        <w:insideH w:val="single" w:sz="4" w:space="0" w:color="DA576C"/>
      </w:tblBorders>
    </w:tblPr>
  </w:style>
  <w:style w:type="paragraph" w:customStyle="1" w:styleId="boxtext">
    <w:name w:val="box text"/>
    <w:basedOn w:val="IntenseQuote"/>
    <w:qFormat/>
    <w:rsid w:val="00E27023"/>
    <w:pPr>
      <w:pBdr>
        <w:top w:val="single" w:sz="4" w:space="10" w:color="DA576C"/>
        <w:left w:val="single" w:sz="4" w:space="4" w:color="DA576C"/>
        <w:bottom w:val="single" w:sz="4" w:space="10" w:color="DA576C"/>
        <w:right w:val="single" w:sz="4" w:space="4" w:color="DA576C"/>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left w:val="single" w:sz="4" w:space="4" w:color="DA576C"/>
        <w:bottom w:val="single" w:sz="4" w:space="10" w:color="DA576C"/>
        <w:right w:val="single" w:sz="4" w:space="4" w:color="DA576C"/>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imes New Roman" w:hAnsi="Arial"/>
      <w:b/>
      <w:bCs/>
      <w:color w:val="1E1544"/>
      <w:sz w:val="24"/>
      <w:szCs w:val="24"/>
      <w:lang w:eastAsia="en-US"/>
    </w:rPr>
  </w:style>
  <w:style w:type="paragraph" w:styleId="IntenseQuote">
    <w:name w:val="Intense Quote"/>
    <w:basedOn w:val="Normal"/>
    <w:next w:val="Normal"/>
    <w:link w:val="IntenseQuoteChar"/>
    <w:uiPriority w:val="30"/>
    <w:qFormat/>
    <w:rsid w:val="003A22DB"/>
    <w:pPr>
      <w:pBdr>
        <w:top w:val="single" w:sz="4" w:space="10" w:color="2AB1BB"/>
        <w:bottom w:val="single" w:sz="4" w:space="10" w:color="2AB1BB"/>
      </w:pBdr>
      <w:spacing w:before="360" w:after="360"/>
      <w:ind w:left="864" w:right="864"/>
      <w:jc w:val="center"/>
    </w:pPr>
    <w:rPr>
      <w:i/>
      <w:iCs/>
      <w:color w:val="2AB1BB"/>
    </w:rPr>
  </w:style>
  <w:style w:type="character" w:customStyle="1" w:styleId="IntenseQuoteChar">
    <w:name w:val="Intense Quote Char"/>
    <w:link w:val="IntenseQuote"/>
    <w:uiPriority w:val="30"/>
    <w:rsid w:val="003A22DB"/>
    <w:rPr>
      <w:rFonts w:ascii="Arial" w:hAnsi="Arial"/>
      <w:i/>
      <w:iCs/>
      <w:color w:val="2AB1BB"/>
    </w:rPr>
  </w:style>
  <w:style w:type="character" w:styleId="Hyperlink">
    <w:name w:val="Hyperlink"/>
    <w:uiPriority w:val="99"/>
    <w:unhideWhenUsed/>
    <w:rsid w:val="00684B72"/>
    <w:rPr>
      <w:color w:val="2AB1BB"/>
      <w:u w:val="single"/>
    </w:rPr>
  </w:style>
  <w:style w:type="character" w:styleId="UnresolvedMention">
    <w:name w:val="Unresolved Mention"/>
    <w:uiPriority w:val="99"/>
    <w:unhideWhenUsed/>
    <w:rsid w:val="00E27023"/>
    <w:rPr>
      <w:color w:val="605E5C"/>
      <w:shd w:val="clear" w:color="auto" w:fill="E1DFDD"/>
    </w:rPr>
  </w:style>
  <w:style w:type="paragraph" w:styleId="NormalWeb">
    <w:name w:val="Normal (Web)"/>
    <w:basedOn w:val="Normal"/>
    <w:uiPriority w:val="99"/>
    <w:unhideWhenUsed/>
    <w:rsid w:val="00325048"/>
    <w:pPr>
      <w:spacing w:before="100" w:beforeAutospacing="1" w:after="100" w:afterAutospacing="1" w:line="240" w:lineRule="auto"/>
    </w:pPr>
    <w:rPr>
      <w:rFonts w:ascii="Times New Roman" w:eastAsia="Times New Roman" w:hAnsi="Times New Roman"/>
      <w:lang w:eastAsia="en-AU"/>
    </w:rPr>
  </w:style>
  <w:style w:type="character" w:customStyle="1" w:styleId="normaltextrun">
    <w:name w:val="normaltextrun"/>
    <w:basedOn w:val="DefaultParagraphFont"/>
    <w:rsid w:val="00325048"/>
  </w:style>
  <w:style w:type="paragraph" w:styleId="TOAHeading">
    <w:name w:val="toa heading"/>
    <w:basedOn w:val="Normal"/>
    <w:next w:val="Normal"/>
    <w:uiPriority w:val="99"/>
    <w:unhideWhenUsed/>
    <w:rsid w:val="00E11F20"/>
    <w:rPr>
      <w:rFonts w:eastAsiaTheme="majorEastAsia" w:cstheme="majorBidi"/>
      <w:b/>
      <w:bCs/>
      <w:color w:val="1E1544"/>
      <w:sz w:val="32"/>
    </w:rPr>
  </w:style>
  <w:style w:type="character" w:styleId="FollowedHyperlink">
    <w:name w:val="FollowedHyperlink"/>
    <w:uiPriority w:val="99"/>
    <w:semiHidden/>
    <w:unhideWhenUsed/>
    <w:rsid w:val="00325048"/>
    <w:rPr>
      <w:color w:val="6D6D70"/>
      <w:u w:val="single"/>
    </w:rPr>
  </w:style>
  <w:style w:type="paragraph" w:customStyle="1" w:styleId="paragraph">
    <w:name w:val="paragraph"/>
    <w:basedOn w:val="Normal"/>
    <w:link w:val="paragraphChar"/>
    <w:rsid w:val="00325048"/>
    <w:pPr>
      <w:spacing w:before="100" w:beforeAutospacing="1" w:after="100" w:afterAutospacing="1" w:line="240" w:lineRule="auto"/>
    </w:pPr>
    <w:rPr>
      <w:rFonts w:ascii="Times New Roman" w:eastAsia="Times New Roman" w:hAnsi="Times New Roman"/>
      <w:lang w:eastAsia="en-AU"/>
    </w:rPr>
  </w:style>
  <w:style w:type="character" w:styleId="IntenseReference">
    <w:name w:val="Intense Reference"/>
    <w:uiPriority w:val="32"/>
    <w:qFormat/>
    <w:rsid w:val="00325048"/>
    <w:rPr>
      <w:b/>
      <w:bCs/>
      <w:smallCaps/>
      <w:color w:val="2AB1BB"/>
      <w:spacing w:val="5"/>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link w:val="ListParagraph"/>
    <w:uiPriority w:val="1"/>
    <w:qFormat/>
    <w:rsid w:val="00646B32"/>
    <w:rPr>
      <w:rFonts w:ascii="Arial" w:hAnsi="Arial"/>
    </w:rPr>
  </w:style>
  <w:style w:type="character" w:styleId="CommentReference">
    <w:name w:val="annotation reference"/>
    <w:uiPriority w:val="99"/>
    <w:semiHidden/>
    <w:unhideWhenUsed/>
    <w:rsid w:val="00E14C08"/>
    <w:rPr>
      <w:sz w:val="16"/>
      <w:szCs w:val="16"/>
    </w:rPr>
  </w:style>
  <w:style w:type="paragraph" w:styleId="CommentText">
    <w:name w:val="annotation text"/>
    <w:basedOn w:val="Normal"/>
    <w:link w:val="CommentTextChar"/>
    <w:uiPriority w:val="99"/>
    <w:unhideWhenUsed/>
    <w:rsid w:val="00E14C08"/>
    <w:pPr>
      <w:spacing w:line="240" w:lineRule="auto"/>
    </w:pPr>
    <w:rPr>
      <w:sz w:val="20"/>
      <w:szCs w:val="20"/>
    </w:rPr>
  </w:style>
  <w:style w:type="character" w:customStyle="1" w:styleId="CommentTextChar">
    <w:name w:val="Comment Text Char"/>
    <w:link w:val="CommentText"/>
    <w:uiPriority w:val="99"/>
    <w:rsid w:val="00E14C0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14C08"/>
    <w:rPr>
      <w:b/>
      <w:bCs/>
    </w:rPr>
  </w:style>
  <w:style w:type="character" w:customStyle="1" w:styleId="CommentSubjectChar">
    <w:name w:val="Comment Subject Char"/>
    <w:link w:val="CommentSubject"/>
    <w:uiPriority w:val="99"/>
    <w:semiHidden/>
    <w:rsid w:val="00E14C08"/>
    <w:rPr>
      <w:rFonts w:ascii="Arial" w:hAnsi="Arial"/>
      <w:b/>
      <w:bCs/>
      <w:sz w:val="20"/>
      <w:szCs w:val="20"/>
    </w:rPr>
  </w:style>
  <w:style w:type="paragraph" w:customStyle="1" w:styleId="Bullet2">
    <w:name w:val="Bullet2"/>
    <w:basedOn w:val="Heading3"/>
    <w:next w:val="paragraph"/>
    <w:link w:val="Bullet2Char"/>
    <w:qFormat/>
    <w:rsid w:val="00E73F61"/>
    <w:pPr>
      <w:spacing w:line="276" w:lineRule="auto"/>
      <w:textAlignment w:val="baseline"/>
    </w:pPr>
    <w:rPr>
      <w:rFonts w:cs="Arial"/>
      <w:b w:val="0"/>
      <w:bCs/>
      <w:color w:val="1F848B"/>
      <w:szCs w:val="28"/>
      <w:lang w:val="en-US" w:eastAsia="en-AU"/>
    </w:rPr>
  </w:style>
  <w:style w:type="paragraph" w:customStyle="1" w:styleId="null">
    <w:name w:val="null"/>
    <w:basedOn w:val="Normal"/>
    <w:rsid w:val="00AB1E00"/>
    <w:pPr>
      <w:spacing w:before="100" w:beforeAutospacing="1" w:after="100" w:afterAutospacing="1" w:line="240" w:lineRule="auto"/>
    </w:pPr>
    <w:rPr>
      <w:rFonts w:ascii="Calibri" w:hAnsi="Calibri" w:cs="Calibri"/>
      <w:sz w:val="22"/>
      <w:szCs w:val="22"/>
      <w:lang w:eastAsia="en-AU"/>
    </w:rPr>
  </w:style>
  <w:style w:type="character" w:customStyle="1" w:styleId="paragraphChar">
    <w:name w:val="paragraph Char"/>
    <w:link w:val="paragraph"/>
    <w:rsid w:val="00871A8D"/>
    <w:rPr>
      <w:rFonts w:ascii="Times New Roman" w:eastAsia="Times New Roman" w:hAnsi="Times New Roman" w:cs="Times New Roman"/>
      <w:lang w:eastAsia="en-AU"/>
    </w:rPr>
  </w:style>
  <w:style w:type="character" w:customStyle="1" w:styleId="Bullet2Char">
    <w:name w:val="Bullet2 Char"/>
    <w:link w:val="Bullet2"/>
    <w:rsid w:val="00E73F61"/>
    <w:rPr>
      <w:rFonts w:ascii="Arial" w:eastAsia="Times New Roman" w:hAnsi="Arial" w:cs="Arial"/>
      <w:bCs/>
      <w:color w:val="1F848B"/>
      <w:sz w:val="28"/>
      <w:szCs w:val="28"/>
      <w:lang w:val="en-US" w:eastAsia="en-AU"/>
    </w:rPr>
  </w:style>
  <w:style w:type="character" w:customStyle="1" w:styleId="null1">
    <w:name w:val="null1"/>
    <w:basedOn w:val="DefaultParagraphFont"/>
    <w:rsid w:val="00AB1E00"/>
  </w:style>
  <w:style w:type="paragraph" w:customStyle="1" w:styleId="Tableheader">
    <w:name w:val="Table header"/>
    <w:basedOn w:val="Normal"/>
    <w:rsid w:val="00CF150D"/>
    <w:pPr>
      <w:spacing w:before="80" w:after="80"/>
    </w:pPr>
    <w:rPr>
      <w:rFonts w:cs="Arial"/>
      <w:b/>
      <w:bCs/>
      <w:color w:val="FFFFFF"/>
      <w:sz w:val="20"/>
      <w:szCs w:val="20"/>
    </w:rPr>
  </w:style>
  <w:style w:type="character" w:customStyle="1" w:styleId="TabletextleftChar">
    <w:name w:val="Table text left Char"/>
    <w:link w:val="Tabletextleft"/>
    <w:locked/>
    <w:rsid w:val="00CF150D"/>
    <w:rPr>
      <w:rFonts w:ascii="Arial" w:hAnsi="Arial" w:cs="Arial"/>
      <w:color w:val="000000"/>
    </w:rPr>
  </w:style>
  <w:style w:type="paragraph" w:customStyle="1" w:styleId="Tabletextleft">
    <w:name w:val="Table text left"/>
    <w:basedOn w:val="Normal"/>
    <w:link w:val="TabletextleftChar"/>
    <w:rsid w:val="00CF150D"/>
    <w:pPr>
      <w:spacing w:after="60" w:line="240" w:lineRule="auto"/>
    </w:pPr>
    <w:rPr>
      <w:rFonts w:cs="Arial"/>
      <w:color w:val="000000"/>
      <w:sz w:val="20"/>
      <w:szCs w:val="20"/>
      <w:lang w:eastAsia="en-AU"/>
    </w:rPr>
  </w:style>
  <w:style w:type="paragraph" w:styleId="TableofFigures">
    <w:name w:val="table of figures"/>
    <w:next w:val="Normal"/>
    <w:uiPriority w:val="99"/>
    <w:unhideWhenUsed/>
    <w:rsid w:val="002D1A97"/>
    <w:pPr>
      <w:contextualSpacing/>
    </w:pPr>
    <w:rPr>
      <w:rFonts w:ascii="Arial" w:eastAsia="Times New Roman" w:hAnsi="Arial"/>
      <w:noProof/>
      <w:shd w:val="clear" w:color="auto" w:fill="FFFFFF"/>
      <w:lang w:eastAsia="en-GB"/>
    </w:rPr>
  </w:style>
  <w:style w:type="table" w:styleId="ListTable3">
    <w:name w:val="List Table 3"/>
    <w:basedOn w:val="TableNormal"/>
    <w:uiPriority w:val="48"/>
    <w:rsid w:val="002D1A97"/>
    <w:rPr>
      <w:rFonts w:ascii="Helvetica" w:eastAsia="SimSun" w:hAnsi="Helvetica"/>
      <w:sz w:val="24"/>
      <w:szCs w:val="24"/>
      <w:lang w:eastAsia="zh-CN"/>
    </w:rPr>
    <w:tblPr>
      <w:tblStyleRowBandSize w:val="1"/>
      <w:tblStyleColBandSize w:val="1"/>
      <w:tblBorders>
        <w:top w:val="single" w:sz="4" w:space="0" w:color="1E1545"/>
        <w:left w:val="single" w:sz="4" w:space="0" w:color="1E1545"/>
        <w:bottom w:val="single" w:sz="4" w:space="0" w:color="1E1545"/>
        <w:right w:val="single" w:sz="4" w:space="0" w:color="1E1545"/>
      </w:tblBorders>
    </w:tblPr>
    <w:tblStylePr w:type="firstRow">
      <w:rPr>
        <w:b/>
        <w:bCs/>
        <w:color w:val="FFFFFF"/>
      </w:rPr>
      <w:tblPr/>
      <w:tcPr>
        <w:shd w:val="clear" w:color="auto" w:fill="1E1545"/>
      </w:tcPr>
    </w:tblStylePr>
    <w:tblStylePr w:type="lastRow">
      <w:rPr>
        <w:b/>
        <w:bCs/>
      </w:rPr>
      <w:tblPr/>
      <w:tcPr>
        <w:tcBorders>
          <w:top w:val="double" w:sz="4" w:space="0" w:color="1E154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E1545"/>
          <w:right w:val="single" w:sz="4" w:space="0" w:color="1E1545"/>
        </w:tcBorders>
      </w:tcPr>
    </w:tblStylePr>
    <w:tblStylePr w:type="band1Horz">
      <w:tblPr/>
      <w:tcPr>
        <w:tcBorders>
          <w:top w:val="single" w:sz="4" w:space="0" w:color="1E1545"/>
          <w:bottom w:val="single" w:sz="4" w:space="0" w:color="1E154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1545"/>
          <w:left w:val="nil"/>
        </w:tcBorders>
      </w:tcPr>
    </w:tblStylePr>
    <w:tblStylePr w:type="swCell">
      <w:tblPr/>
      <w:tcPr>
        <w:tcBorders>
          <w:top w:val="double" w:sz="4" w:space="0" w:color="1E1545"/>
          <w:right w:val="nil"/>
        </w:tcBorders>
      </w:tcPr>
    </w:tblStylePr>
  </w:style>
  <w:style w:type="paragraph" w:styleId="Revision">
    <w:name w:val="Revision"/>
    <w:hidden/>
    <w:uiPriority w:val="99"/>
    <w:semiHidden/>
    <w:rsid w:val="004172BA"/>
    <w:rPr>
      <w:rFonts w:ascii="Arial" w:hAnsi="Arial"/>
      <w:sz w:val="24"/>
      <w:szCs w:val="24"/>
      <w:lang w:eastAsia="en-US"/>
    </w:rPr>
  </w:style>
  <w:style w:type="paragraph" w:styleId="ListNumber">
    <w:name w:val="List Number"/>
    <w:basedOn w:val="Normal"/>
    <w:uiPriority w:val="99"/>
    <w:unhideWhenUsed/>
    <w:rsid w:val="00D27EEF"/>
    <w:pPr>
      <w:spacing w:line="240" w:lineRule="auto"/>
    </w:pPr>
    <w:rPr>
      <w:rFonts w:eastAsiaTheme="minorHAnsi" w:cs="Arial"/>
      <w:sz w:val="22"/>
      <w:szCs w:val="22"/>
      <w:lang w:eastAsia="en-AU"/>
    </w:rPr>
  </w:style>
  <w:style w:type="paragraph" w:styleId="ListNumber2">
    <w:name w:val="List Number 2"/>
    <w:basedOn w:val="Normal"/>
    <w:uiPriority w:val="99"/>
    <w:semiHidden/>
    <w:unhideWhenUsed/>
    <w:rsid w:val="00D27EEF"/>
    <w:pPr>
      <w:numPr>
        <w:ilvl w:val="1"/>
        <w:numId w:val="2"/>
      </w:numPr>
      <w:spacing w:after="200"/>
    </w:pPr>
    <w:rPr>
      <w:rFonts w:eastAsiaTheme="minorHAnsi" w:cs="Arial"/>
      <w:sz w:val="22"/>
      <w:szCs w:val="22"/>
      <w:lang w:eastAsia="en-AU"/>
    </w:rPr>
  </w:style>
  <w:style w:type="paragraph" w:styleId="ListNumber3">
    <w:name w:val="List Number 3"/>
    <w:basedOn w:val="Normal"/>
    <w:uiPriority w:val="99"/>
    <w:semiHidden/>
    <w:unhideWhenUsed/>
    <w:rsid w:val="00D27EEF"/>
    <w:pPr>
      <w:numPr>
        <w:ilvl w:val="2"/>
        <w:numId w:val="2"/>
      </w:numPr>
      <w:spacing w:after="200"/>
    </w:pPr>
    <w:rPr>
      <w:rFonts w:eastAsiaTheme="minorHAnsi" w:cs="Arial"/>
      <w:sz w:val="22"/>
      <w:szCs w:val="22"/>
      <w:lang w:eastAsia="en-AU"/>
    </w:rPr>
  </w:style>
  <w:style w:type="paragraph" w:styleId="ListNumber4">
    <w:name w:val="List Number 4"/>
    <w:basedOn w:val="Normal"/>
    <w:uiPriority w:val="99"/>
    <w:semiHidden/>
    <w:unhideWhenUsed/>
    <w:rsid w:val="00D27EEF"/>
    <w:pPr>
      <w:numPr>
        <w:ilvl w:val="3"/>
        <w:numId w:val="2"/>
      </w:numPr>
      <w:spacing w:after="200"/>
    </w:pPr>
    <w:rPr>
      <w:rFonts w:eastAsiaTheme="minorHAnsi" w:cs="Arial"/>
      <w:sz w:val="22"/>
      <w:szCs w:val="22"/>
      <w:lang w:eastAsia="en-AU"/>
    </w:rPr>
  </w:style>
  <w:style w:type="paragraph" w:styleId="ListNumber5">
    <w:name w:val="List Number 5"/>
    <w:basedOn w:val="Normal"/>
    <w:uiPriority w:val="99"/>
    <w:semiHidden/>
    <w:unhideWhenUsed/>
    <w:rsid w:val="00D27EEF"/>
    <w:pPr>
      <w:numPr>
        <w:ilvl w:val="4"/>
        <w:numId w:val="2"/>
      </w:numPr>
      <w:spacing w:after="200"/>
    </w:pPr>
    <w:rPr>
      <w:rFonts w:eastAsiaTheme="minorHAnsi" w:cs="Arial"/>
      <w:sz w:val="22"/>
      <w:szCs w:val="22"/>
      <w:lang w:eastAsia="en-AU"/>
    </w:rPr>
  </w:style>
  <w:style w:type="paragraph" w:styleId="Title">
    <w:name w:val="Title"/>
    <w:next w:val="Normal"/>
    <w:link w:val="TitleChar"/>
    <w:uiPriority w:val="10"/>
    <w:qFormat/>
    <w:rsid w:val="00E11F20"/>
    <w:pPr>
      <w:spacing w:before="2760" w:after="240"/>
    </w:pPr>
    <w:rPr>
      <w:rFonts w:ascii="Arial" w:eastAsia="Times New Roman" w:hAnsi="Arial" w:cs="Arial"/>
      <w:b/>
      <w:bCs/>
      <w:color w:val="1E1544"/>
      <w:sz w:val="60"/>
      <w:szCs w:val="60"/>
      <w:lang w:eastAsia="en-US"/>
    </w:rPr>
  </w:style>
  <w:style w:type="character" w:customStyle="1" w:styleId="TitleChar">
    <w:name w:val="Title Char"/>
    <w:basedOn w:val="DefaultParagraphFont"/>
    <w:link w:val="Title"/>
    <w:uiPriority w:val="10"/>
    <w:rsid w:val="00E11F20"/>
    <w:rPr>
      <w:rFonts w:ascii="Arial" w:eastAsia="Times New Roman" w:hAnsi="Arial" w:cs="Arial"/>
      <w:b/>
      <w:bCs/>
      <w:color w:val="1E1544"/>
      <w:sz w:val="60"/>
      <w:szCs w:val="60"/>
      <w:lang w:eastAsia="en-US"/>
    </w:rPr>
  </w:style>
  <w:style w:type="character" w:customStyle="1" w:styleId="Heading5Char">
    <w:name w:val="Heading 5 Char"/>
    <w:basedOn w:val="DefaultParagraphFont"/>
    <w:link w:val="Heading5"/>
    <w:uiPriority w:val="9"/>
    <w:semiHidden/>
    <w:rsid w:val="00B50C5D"/>
    <w:rPr>
      <w:rFonts w:asciiTheme="majorHAnsi" w:eastAsiaTheme="majorEastAsia" w:hAnsiTheme="majorHAnsi" w:cstheme="majorBidi"/>
      <w:color w:val="2F5496" w:themeColor="accent1" w:themeShade="BF"/>
      <w:sz w:val="24"/>
      <w:szCs w:val="24"/>
      <w:lang w:eastAsia="en-US"/>
    </w:rPr>
  </w:style>
  <w:style w:type="character" w:customStyle="1" w:styleId="Heading6Char">
    <w:name w:val="Heading 6 Char"/>
    <w:basedOn w:val="DefaultParagraphFont"/>
    <w:link w:val="Heading6"/>
    <w:uiPriority w:val="9"/>
    <w:semiHidden/>
    <w:rsid w:val="00B50C5D"/>
    <w:rPr>
      <w:rFonts w:asciiTheme="majorHAnsi" w:eastAsiaTheme="majorEastAsia" w:hAnsiTheme="majorHAnsi" w:cstheme="majorBidi"/>
      <w:color w:val="1F3763" w:themeColor="accent1" w:themeShade="7F"/>
      <w:sz w:val="24"/>
      <w:szCs w:val="24"/>
      <w:lang w:eastAsia="en-US"/>
    </w:rPr>
  </w:style>
  <w:style w:type="character" w:customStyle="1" w:styleId="Heading7Char">
    <w:name w:val="Heading 7 Char"/>
    <w:basedOn w:val="DefaultParagraphFont"/>
    <w:link w:val="Heading7"/>
    <w:uiPriority w:val="9"/>
    <w:semiHidden/>
    <w:rsid w:val="00B50C5D"/>
    <w:rPr>
      <w:rFonts w:asciiTheme="majorHAnsi" w:eastAsiaTheme="majorEastAsia" w:hAnsiTheme="majorHAnsi" w:cstheme="majorBidi"/>
      <w:i/>
      <w:iCs/>
      <w:color w:val="1F3763" w:themeColor="accent1" w:themeShade="7F"/>
      <w:sz w:val="24"/>
      <w:szCs w:val="24"/>
      <w:lang w:eastAsia="en-US"/>
    </w:rPr>
  </w:style>
  <w:style w:type="character" w:customStyle="1" w:styleId="Heading8Char">
    <w:name w:val="Heading 8 Char"/>
    <w:basedOn w:val="DefaultParagraphFont"/>
    <w:link w:val="Heading8"/>
    <w:uiPriority w:val="9"/>
    <w:semiHidden/>
    <w:rsid w:val="00B50C5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B50C5D"/>
    <w:rPr>
      <w:rFonts w:asciiTheme="majorHAnsi" w:eastAsiaTheme="majorEastAsia" w:hAnsiTheme="majorHAnsi" w:cstheme="majorBidi"/>
      <w:i/>
      <w:iCs/>
      <w:color w:val="272727" w:themeColor="text1" w:themeTint="D8"/>
      <w:sz w:val="21"/>
      <w:szCs w:val="21"/>
      <w:lang w:eastAsia="en-US"/>
    </w:rPr>
  </w:style>
  <w:style w:type="paragraph" w:styleId="ListBullet">
    <w:name w:val="List Bullet"/>
    <w:basedOn w:val="ListParagraph"/>
    <w:uiPriority w:val="99"/>
    <w:unhideWhenUsed/>
    <w:rsid w:val="00B50C5D"/>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880637">
      <w:bodyDiv w:val="1"/>
      <w:marLeft w:val="0"/>
      <w:marRight w:val="0"/>
      <w:marTop w:val="0"/>
      <w:marBottom w:val="0"/>
      <w:divBdr>
        <w:top w:val="none" w:sz="0" w:space="0" w:color="auto"/>
        <w:left w:val="none" w:sz="0" w:space="0" w:color="auto"/>
        <w:bottom w:val="none" w:sz="0" w:space="0" w:color="auto"/>
        <w:right w:val="none" w:sz="0" w:space="0" w:color="auto"/>
      </w:divBdr>
    </w:div>
    <w:div w:id="526218391">
      <w:bodyDiv w:val="1"/>
      <w:marLeft w:val="0"/>
      <w:marRight w:val="0"/>
      <w:marTop w:val="0"/>
      <w:marBottom w:val="0"/>
      <w:divBdr>
        <w:top w:val="none" w:sz="0" w:space="0" w:color="auto"/>
        <w:left w:val="none" w:sz="0" w:space="0" w:color="auto"/>
        <w:bottom w:val="none" w:sz="0" w:space="0" w:color="auto"/>
        <w:right w:val="none" w:sz="0" w:space="0" w:color="auto"/>
      </w:divBdr>
      <w:divsChild>
        <w:div w:id="132912768">
          <w:marLeft w:val="0"/>
          <w:marRight w:val="0"/>
          <w:marTop w:val="0"/>
          <w:marBottom w:val="0"/>
          <w:divBdr>
            <w:top w:val="none" w:sz="0" w:space="0" w:color="auto"/>
            <w:left w:val="none" w:sz="0" w:space="0" w:color="auto"/>
            <w:bottom w:val="none" w:sz="0" w:space="0" w:color="auto"/>
            <w:right w:val="none" w:sz="0" w:space="0" w:color="auto"/>
          </w:divBdr>
        </w:div>
        <w:div w:id="220750212">
          <w:marLeft w:val="0"/>
          <w:marRight w:val="0"/>
          <w:marTop w:val="0"/>
          <w:marBottom w:val="0"/>
          <w:divBdr>
            <w:top w:val="none" w:sz="0" w:space="0" w:color="auto"/>
            <w:left w:val="none" w:sz="0" w:space="0" w:color="auto"/>
            <w:bottom w:val="none" w:sz="0" w:space="0" w:color="auto"/>
            <w:right w:val="none" w:sz="0" w:space="0" w:color="auto"/>
          </w:divBdr>
        </w:div>
        <w:div w:id="237322813">
          <w:marLeft w:val="0"/>
          <w:marRight w:val="0"/>
          <w:marTop w:val="0"/>
          <w:marBottom w:val="0"/>
          <w:divBdr>
            <w:top w:val="none" w:sz="0" w:space="0" w:color="auto"/>
            <w:left w:val="none" w:sz="0" w:space="0" w:color="auto"/>
            <w:bottom w:val="none" w:sz="0" w:space="0" w:color="auto"/>
            <w:right w:val="none" w:sz="0" w:space="0" w:color="auto"/>
          </w:divBdr>
        </w:div>
        <w:div w:id="245044331">
          <w:marLeft w:val="0"/>
          <w:marRight w:val="0"/>
          <w:marTop w:val="0"/>
          <w:marBottom w:val="0"/>
          <w:divBdr>
            <w:top w:val="none" w:sz="0" w:space="0" w:color="auto"/>
            <w:left w:val="none" w:sz="0" w:space="0" w:color="auto"/>
            <w:bottom w:val="none" w:sz="0" w:space="0" w:color="auto"/>
            <w:right w:val="none" w:sz="0" w:space="0" w:color="auto"/>
          </w:divBdr>
        </w:div>
        <w:div w:id="344982196">
          <w:marLeft w:val="0"/>
          <w:marRight w:val="0"/>
          <w:marTop w:val="0"/>
          <w:marBottom w:val="0"/>
          <w:divBdr>
            <w:top w:val="none" w:sz="0" w:space="0" w:color="auto"/>
            <w:left w:val="none" w:sz="0" w:space="0" w:color="auto"/>
            <w:bottom w:val="none" w:sz="0" w:space="0" w:color="auto"/>
            <w:right w:val="none" w:sz="0" w:space="0" w:color="auto"/>
          </w:divBdr>
        </w:div>
        <w:div w:id="373117183">
          <w:marLeft w:val="0"/>
          <w:marRight w:val="0"/>
          <w:marTop w:val="0"/>
          <w:marBottom w:val="0"/>
          <w:divBdr>
            <w:top w:val="none" w:sz="0" w:space="0" w:color="auto"/>
            <w:left w:val="none" w:sz="0" w:space="0" w:color="auto"/>
            <w:bottom w:val="none" w:sz="0" w:space="0" w:color="auto"/>
            <w:right w:val="none" w:sz="0" w:space="0" w:color="auto"/>
          </w:divBdr>
        </w:div>
        <w:div w:id="376586331">
          <w:marLeft w:val="0"/>
          <w:marRight w:val="0"/>
          <w:marTop w:val="0"/>
          <w:marBottom w:val="0"/>
          <w:divBdr>
            <w:top w:val="none" w:sz="0" w:space="0" w:color="auto"/>
            <w:left w:val="none" w:sz="0" w:space="0" w:color="auto"/>
            <w:bottom w:val="none" w:sz="0" w:space="0" w:color="auto"/>
            <w:right w:val="none" w:sz="0" w:space="0" w:color="auto"/>
          </w:divBdr>
        </w:div>
        <w:div w:id="516114074">
          <w:marLeft w:val="0"/>
          <w:marRight w:val="0"/>
          <w:marTop w:val="0"/>
          <w:marBottom w:val="0"/>
          <w:divBdr>
            <w:top w:val="none" w:sz="0" w:space="0" w:color="auto"/>
            <w:left w:val="none" w:sz="0" w:space="0" w:color="auto"/>
            <w:bottom w:val="none" w:sz="0" w:space="0" w:color="auto"/>
            <w:right w:val="none" w:sz="0" w:space="0" w:color="auto"/>
          </w:divBdr>
        </w:div>
        <w:div w:id="549535514">
          <w:marLeft w:val="0"/>
          <w:marRight w:val="0"/>
          <w:marTop w:val="0"/>
          <w:marBottom w:val="0"/>
          <w:divBdr>
            <w:top w:val="none" w:sz="0" w:space="0" w:color="auto"/>
            <w:left w:val="none" w:sz="0" w:space="0" w:color="auto"/>
            <w:bottom w:val="none" w:sz="0" w:space="0" w:color="auto"/>
            <w:right w:val="none" w:sz="0" w:space="0" w:color="auto"/>
          </w:divBdr>
        </w:div>
        <w:div w:id="603421154">
          <w:marLeft w:val="0"/>
          <w:marRight w:val="0"/>
          <w:marTop w:val="0"/>
          <w:marBottom w:val="0"/>
          <w:divBdr>
            <w:top w:val="none" w:sz="0" w:space="0" w:color="auto"/>
            <w:left w:val="none" w:sz="0" w:space="0" w:color="auto"/>
            <w:bottom w:val="none" w:sz="0" w:space="0" w:color="auto"/>
            <w:right w:val="none" w:sz="0" w:space="0" w:color="auto"/>
          </w:divBdr>
        </w:div>
        <w:div w:id="759061269">
          <w:marLeft w:val="0"/>
          <w:marRight w:val="0"/>
          <w:marTop w:val="0"/>
          <w:marBottom w:val="0"/>
          <w:divBdr>
            <w:top w:val="none" w:sz="0" w:space="0" w:color="auto"/>
            <w:left w:val="none" w:sz="0" w:space="0" w:color="auto"/>
            <w:bottom w:val="none" w:sz="0" w:space="0" w:color="auto"/>
            <w:right w:val="none" w:sz="0" w:space="0" w:color="auto"/>
          </w:divBdr>
        </w:div>
        <w:div w:id="761070909">
          <w:marLeft w:val="0"/>
          <w:marRight w:val="0"/>
          <w:marTop w:val="0"/>
          <w:marBottom w:val="0"/>
          <w:divBdr>
            <w:top w:val="none" w:sz="0" w:space="0" w:color="auto"/>
            <w:left w:val="none" w:sz="0" w:space="0" w:color="auto"/>
            <w:bottom w:val="none" w:sz="0" w:space="0" w:color="auto"/>
            <w:right w:val="none" w:sz="0" w:space="0" w:color="auto"/>
          </w:divBdr>
        </w:div>
        <w:div w:id="806778143">
          <w:marLeft w:val="0"/>
          <w:marRight w:val="0"/>
          <w:marTop w:val="0"/>
          <w:marBottom w:val="0"/>
          <w:divBdr>
            <w:top w:val="none" w:sz="0" w:space="0" w:color="auto"/>
            <w:left w:val="none" w:sz="0" w:space="0" w:color="auto"/>
            <w:bottom w:val="none" w:sz="0" w:space="0" w:color="auto"/>
            <w:right w:val="none" w:sz="0" w:space="0" w:color="auto"/>
          </w:divBdr>
        </w:div>
        <w:div w:id="834495185">
          <w:marLeft w:val="0"/>
          <w:marRight w:val="0"/>
          <w:marTop w:val="0"/>
          <w:marBottom w:val="0"/>
          <w:divBdr>
            <w:top w:val="none" w:sz="0" w:space="0" w:color="auto"/>
            <w:left w:val="none" w:sz="0" w:space="0" w:color="auto"/>
            <w:bottom w:val="none" w:sz="0" w:space="0" w:color="auto"/>
            <w:right w:val="none" w:sz="0" w:space="0" w:color="auto"/>
          </w:divBdr>
        </w:div>
        <w:div w:id="900359728">
          <w:marLeft w:val="0"/>
          <w:marRight w:val="0"/>
          <w:marTop w:val="0"/>
          <w:marBottom w:val="0"/>
          <w:divBdr>
            <w:top w:val="none" w:sz="0" w:space="0" w:color="auto"/>
            <w:left w:val="none" w:sz="0" w:space="0" w:color="auto"/>
            <w:bottom w:val="none" w:sz="0" w:space="0" w:color="auto"/>
            <w:right w:val="none" w:sz="0" w:space="0" w:color="auto"/>
          </w:divBdr>
        </w:div>
        <w:div w:id="924075188">
          <w:marLeft w:val="0"/>
          <w:marRight w:val="0"/>
          <w:marTop w:val="0"/>
          <w:marBottom w:val="0"/>
          <w:divBdr>
            <w:top w:val="none" w:sz="0" w:space="0" w:color="auto"/>
            <w:left w:val="none" w:sz="0" w:space="0" w:color="auto"/>
            <w:bottom w:val="none" w:sz="0" w:space="0" w:color="auto"/>
            <w:right w:val="none" w:sz="0" w:space="0" w:color="auto"/>
          </w:divBdr>
        </w:div>
        <w:div w:id="954292129">
          <w:marLeft w:val="0"/>
          <w:marRight w:val="0"/>
          <w:marTop w:val="0"/>
          <w:marBottom w:val="0"/>
          <w:divBdr>
            <w:top w:val="none" w:sz="0" w:space="0" w:color="auto"/>
            <w:left w:val="none" w:sz="0" w:space="0" w:color="auto"/>
            <w:bottom w:val="none" w:sz="0" w:space="0" w:color="auto"/>
            <w:right w:val="none" w:sz="0" w:space="0" w:color="auto"/>
          </w:divBdr>
        </w:div>
        <w:div w:id="1016157505">
          <w:marLeft w:val="0"/>
          <w:marRight w:val="0"/>
          <w:marTop w:val="0"/>
          <w:marBottom w:val="0"/>
          <w:divBdr>
            <w:top w:val="none" w:sz="0" w:space="0" w:color="auto"/>
            <w:left w:val="none" w:sz="0" w:space="0" w:color="auto"/>
            <w:bottom w:val="none" w:sz="0" w:space="0" w:color="auto"/>
            <w:right w:val="none" w:sz="0" w:space="0" w:color="auto"/>
          </w:divBdr>
        </w:div>
        <w:div w:id="1090463664">
          <w:marLeft w:val="0"/>
          <w:marRight w:val="0"/>
          <w:marTop w:val="0"/>
          <w:marBottom w:val="0"/>
          <w:divBdr>
            <w:top w:val="none" w:sz="0" w:space="0" w:color="auto"/>
            <w:left w:val="none" w:sz="0" w:space="0" w:color="auto"/>
            <w:bottom w:val="none" w:sz="0" w:space="0" w:color="auto"/>
            <w:right w:val="none" w:sz="0" w:space="0" w:color="auto"/>
          </w:divBdr>
        </w:div>
        <w:div w:id="1129779895">
          <w:marLeft w:val="0"/>
          <w:marRight w:val="0"/>
          <w:marTop w:val="0"/>
          <w:marBottom w:val="0"/>
          <w:divBdr>
            <w:top w:val="none" w:sz="0" w:space="0" w:color="auto"/>
            <w:left w:val="none" w:sz="0" w:space="0" w:color="auto"/>
            <w:bottom w:val="none" w:sz="0" w:space="0" w:color="auto"/>
            <w:right w:val="none" w:sz="0" w:space="0" w:color="auto"/>
          </w:divBdr>
        </w:div>
        <w:div w:id="1195390535">
          <w:marLeft w:val="0"/>
          <w:marRight w:val="0"/>
          <w:marTop w:val="0"/>
          <w:marBottom w:val="0"/>
          <w:divBdr>
            <w:top w:val="none" w:sz="0" w:space="0" w:color="auto"/>
            <w:left w:val="none" w:sz="0" w:space="0" w:color="auto"/>
            <w:bottom w:val="none" w:sz="0" w:space="0" w:color="auto"/>
            <w:right w:val="none" w:sz="0" w:space="0" w:color="auto"/>
          </w:divBdr>
        </w:div>
        <w:div w:id="1202128395">
          <w:marLeft w:val="0"/>
          <w:marRight w:val="0"/>
          <w:marTop w:val="0"/>
          <w:marBottom w:val="0"/>
          <w:divBdr>
            <w:top w:val="none" w:sz="0" w:space="0" w:color="auto"/>
            <w:left w:val="none" w:sz="0" w:space="0" w:color="auto"/>
            <w:bottom w:val="none" w:sz="0" w:space="0" w:color="auto"/>
            <w:right w:val="none" w:sz="0" w:space="0" w:color="auto"/>
          </w:divBdr>
        </w:div>
        <w:div w:id="1262445652">
          <w:marLeft w:val="0"/>
          <w:marRight w:val="0"/>
          <w:marTop w:val="0"/>
          <w:marBottom w:val="0"/>
          <w:divBdr>
            <w:top w:val="none" w:sz="0" w:space="0" w:color="auto"/>
            <w:left w:val="none" w:sz="0" w:space="0" w:color="auto"/>
            <w:bottom w:val="none" w:sz="0" w:space="0" w:color="auto"/>
            <w:right w:val="none" w:sz="0" w:space="0" w:color="auto"/>
          </w:divBdr>
        </w:div>
        <w:div w:id="1304194497">
          <w:marLeft w:val="0"/>
          <w:marRight w:val="0"/>
          <w:marTop w:val="0"/>
          <w:marBottom w:val="0"/>
          <w:divBdr>
            <w:top w:val="none" w:sz="0" w:space="0" w:color="auto"/>
            <w:left w:val="none" w:sz="0" w:space="0" w:color="auto"/>
            <w:bottom w:val="none" w:sz="0" w:space="0" w:color="auto"/>
            <w:right w:val="none" w:sz="0" w:space="0" w:color="auto"/>
          </w:divBdr>
        </w:div>
        <w:div w:id="1378237770">
          <w:marLeft w:val="0"/>
          <w:marRight w:val="0"/>
          <w:marTop w:val="0"/>
          <w:marBottom w:val="0"/>
          <w:divBdr>
            <w:top w:val="none" w:sz="0" w:space="0" w:color="auto"/>
            <w:left w:val="none" w:sz="0" w:space="0" w:color="auto"/>
            <w:bottom w:val="none" w:sz="0" w:space="0" w:color="auto"/>
            <w:right w:val="none" w:sz="0" w:space="0" w:color="auto"/>
          </w:divBdr>
        </w:div>
        <w:div w:id="1387416783">
          <w:marLeft w:val="0"/>
          <w:marRight w:val="0"/>
          <w:marTop w:val="0"/>
          <w:marBottom w:val="0"/>
          <w:divBdr>
            <w:top w:val="none" w:sz="0" w:space="0" w:color="auto"/>
            <w:left w:val="none" w:sz="0" w:space="0" w:color="auto"/>
            <w:bottom w:val="none" w:sz="0" w:space="0" w:color="auto"/>
            <w:right w:val="none" w:sz="0" w:space="0" w:color="auto"/>
          </w:divBdr>
        </w:div>
        <w:div w:id="1634287496">
          <w:marLeft w:val="0"/>
          <w:marRight w:val="0"/>
          <w:marTop w:val="0"/>
          <w:marBottom w:val="0"/>
          <w:divBdr>
            <w:top w:val="none" w:sz="0" w:space="0" w:color="auto"/>
            <w:left w:val="none" w:sz="0" w:space="0" w:color="auto"/>
            <w:bottom w:val="none" w:sz="0" w:space="0" w:color="auto"/>
            <w:right w:val="none" w:sz="0" w:space="0" w:color="auto"/>
          </w:divBdr>
        </w:div>
        <w:div w:id="1698119836">
          <w:marLeft w:val="0"/>
          <w:marRight w:val="0"/>
          <w:marTop w:val="0"/>
          <w:marBottom w:val="0"/>
          <w:divBdr>
            <w:top w:val="none" w:sz="0" w:space="0" w:color="auto"/>
            <w:left w:val="none" w:sz="0" w:space="0" w:color="auto"/>
            <w:bottom w:val="none" w:sz="0" w:space="0" w:color="auto"/>
            <w:right w:val="none" w:sz="0" w:space="0" w:color="auto"/>
          </w:divBdr>
        </w:div>
        <w:div w:id="1778132926">
          <w:marLeft w:val="0"/>
          <w:marRight w:val="0"/>
          <w:marTop w:val="0"/>
          <w:marBottom w:val="0"/>
          <w:divBdr>
            <w:top w:val="none" w:sz="0" w:space="0" w:color="auto"/>
            <w:left w:val="none" w:sz="0" w:space="0" w:color="auto"/>
            <w:bottom w:val="none" w:sz="0" w:space="0" w:color="auto"/>
            <w:right w:val="none" w:sz="0" w:space="0" w:color="auto"/>
          </w:divBdr>
        </w:div>
        <w:div w:id="1865245834">
          <w:marLeft w:val="0"/>
          <w:marRight w:val="0"/>
          <w:marTop w:val="0"/>
          <w:marBottom w:val="0"/>
          <w:divBdr>
            <w:top w:val="none" w:sz="0" w:space="0" w:color="auto"/>
            <w:left w:val="none" w:sz="0" w:space="0" w:color="auto"/>
            <w:bottom w:val="none" w:sz="0" w:space="0" w:color="auto"/>
            <w:right w:val="none" w:sz="0" w:space="0" w:color="auto"/>
          </w:divBdr>
        </w:div>
        <w:div w:id="1873758907">
          <w:marLeft w:val="0"/>
          <w:marRight w:val="0"/>
          <w:marTop w:val="0"/>
          <w:marBottom w:val="0"/>
          <w:divBdr>
            <w:top w:val="none" w:sz="0" w:space="0" w:color="auto"/>
            <w:left w:val="none" w:sz="0" w:space="0" w:color="auto"/>
            <w:bottom w:val="none" w:sz="0" w:space="0" w:color="auto"/>
            <w:right w:val="none" w:sz="0" w:space="0" w:color="auto"/>
          </w:divBdr>
        </w:div>
        <w:div w:id="1875119763">
          <w:marLeft w:val="0"/>
          <w:marRight w:val="0"/>
          <w:marTop w:val="0"/>
          <w:marBottom w:val="0"/>
          <w:divBdr>
            <w:top w:val="none" w:sz="0" w:space="0" w:color="auto"/>
            <w:left w:val="none" w:sz="0" w:space="0" w:color="auto"/>
            <w:bottom w:val="none" w:sz="0" w:space="0" w:color="auto"/>
            <w:right w:val="none" w:sz="0" w:space="0" w:color="auto"/>
          </w:divBdr>
        </w:div>
        <w:div w:id="1999766363">
          <w:marLeft w:val="0"/>
          <w:marRight w:val="0"/>
          <w:marTop w:val="0"/>
          <w:marBottom w:val="0"/>
          <w:divBdr>
            <w:top w:val="none" w:sz="0" w:space="0" w:color="auto"/>
            <w:left w:val="none" w:sz="0" w:space="0" w:color="auto"/>
            <w:bottom w:val="none" w:sz="0" w:space="0" w:color="auto"/>
            <w:right w:val="none" w:sz="0" w:space="0" w:color="auto"/>
          </w:divBdr>
        </w:div>
        <w:div w:id="2131046458">
          <w:marLeft w:val="0"/>
          <w:marRight w:val="0"/>
          <w:marTop w:val="0"/>
          <w:marBottom w:val="0"/>
          <w:divBdr>
            <w:top w:val="none" w:sz="0" w:space="0" w:color="auto"/>
            <w:left w:val="none" w:sz="0" w:space="0" w:color="auto"/>
            <w:bottom w:val="none" w:sz="0" w:space="0" w:color="auto"/>
            <w:right w:val="none" w:sz="0" w:space="0" w:color="auto"/>
          </w:divBdr>
        </w:div>
      </w:divsChild>
    </w:div>
    <w:div w:id="946037054">
      <w:bodyDiv w:val="1"/>
      <w:marLeft w:val="0"/>
      <w:marRight w:val="0"/>
      <w:marTop w:val="0"/>
      <w:marBottom w:val="0"/>
      <w:divBdr>
        <w:top w:val="none" w:sz="0" w:space="0" w:color="auto"/>
        <w:left w:val="none" w:sz="0" w:space="0" w:color="auto"/>
        <w:bottom w:val="none" w:sz="0" w:space="0" w:color="auto"/>
        <w:right w:val="none" w:sz="0" w:space="0" w:color="auto"/>
      </w:divBdr>
    </w:div>
    <w:div w:id="1414937932">
      <w:bodyDiv w:val="1"/>
      <w:marLeft w:val="0"/>
      <w:marRight w:val="0"/>
      <w:marTop w:val="0"/>
      <w:marBottom w:val="0"/>
      <w:divBdr>
        <w:top w:val="none" w:sz="0" w:space="0" w:color="auto"/>
        <w:left w:val="none" w:sz="0" w:space="0" w:color="auto"/>
        <w:bottom w:val="none" w:sz="0" w:space="0" w:color="auto"/>
        <w:right w:val="none" w:sz="0" w:space="0" w:color="auto"/>
      </w:divBdr>
      <w:divsChild>
        <w:div w:id="22556180">
          <w:marLeft w:val="0"/>
          <w:marRight w:val="0"/>
          <w:marTop w:val="0"/>
          <w:marBottom w:val="0"/>
          <w:divBdr>
            <w:top w:val="none" w:sz="0" w:space="0" w:color="auto"/>
            <w:left w:val="none" w:sz="0" w:space="0" w:color="auto"/>
            <w:bottom w:val="none" w:sz="0" w:space="0" w:color="auto"/>
            <w:right w:val="none" w:sz="0" w:space="0" w:color="auto"/>
          </w:divBdr>
          <w:divsChild>
            <w:div w:id="1741366401">
              <w:marLeft w:val="0"/>
              <w:marRight w:val="0"/>
              <w:marTop w:val="0"/>
              <w:marBottom w:val="0"/>
              <w:divBdr>
                <w:top w:val="none" w:sz="0" w:space="0" w:color="auto"/>
                <w:left w:val="none" w:sz="0" w:space="0" w:color="auto"/>
                <w:bottom w:val="none" w:sz="0" w:space="0" w:color="auto"/>
                <w:right w:val="none" w:sz="0" w:space="0" w:color="auto"/>
              </w:divBdr>
            </w:div>
            <w:div w:id="2084330499">
              <w:marLeft w:val="0"/>
              <w:marRight w:val="0"/>
              <w:marTop w:val="0"/>
              <w:marBottom w:val="0"/>
              <w:divBdr>
                <w:top w:val="none" w:sz="0" w:space="0" w:color="auto"/>
                <w:left w:val="none" w:sz="0" w:space="0" w:color="auto"/>
                <w:bottom w:val="none" w:sz="0" w:space="0" w:color="auto"/>
                <w:right w:val="none" w:sz="0" w:space="0" w:color="auto"/>
              </w:divBdr>
            </w:div>
          </w:divsChild>
        </w:div>
        <w:div w:id="250743968">
          <w:marLeft w:val="0"/>
          <w:marRight w:val="0"/>
          <w:marTop w:val="0"/>
          <w:marBottom w:val="0"/>
          <w:divBdr>
            <w:top w:val="none" w:sz="0" w:space="0" w:color="auto"/>
            <w:left w:val="none" w:sz="0" w:space="0" w:color="auto"/>
            <w:bottom w:val="none" w:sz="0" w:space="0" w:color="auto"/>
            <w:right w:val="none" w:sz="0" w:space="0" w:color="auto"/>
          </w:divBdr>
        </w:div>
        <w:div w:id="315955180">
          <w:marLeft w:val="0"/>
          <w:marRight w:val="0"/>
          <w:marTop w:val="0"/>
          <w:marBottom w:val="0"/>
          <w:divBdr>
            <w:top w:val="none" w:sz="0" w:space="0" w:color="auto"/>
            <w:left w:val="none" w:sz="0" w:space="0" w:color="auto"/>
            <w:bottom w:val="none" w:sz="0" w:space="0" w:color="auto"/>
            <w:right w:val="none" w:sz="0" w:space="0" w:color="auto"/>
          </w:divBdr>
        </w:div>
        <w:div w:id="814492616">
          <w:marLeft w:val="0"/>
          <w:marRight w:val="0"/>
          <w:marTop w:val="0"/>
          <w:marBottom w:val="0"/>
          <w:divBdr>
            <w:top w:val="none" w:sz="0" w:space="0" w:color="auto"/>
            <w:left w:val="none" w:sz="0" w:space="0" w:color="auto"/>
            <w:bottom w:val="none" w:sz="0" w:space="0" w:color="auto"/>
            <w:right w:val="none" w:sz="0" w:space="0" w:color="auto"/>
          </w:divBdr>
          <w:divsChild>
            <w:div w:id="74205812">
              <w:marLeft w:val="0"/>
              <w:marRight w:val="0"/>
              <w:marTop w:val="0"/>
              <w:marBottom w:val="0"/>
              <w:divBdr>
                <w:top w:val="none" w:sz="0" w:space="0" w:color="auto"/>
                <w:left w:val="none" w:sz="0" w:space="0" w:color="auto"/>
                <w:bottom w:val="none" w:sz="0" w:space="0" w:color="auto"/>
                <w:right w:val="none" w:sz="0" w:space="0" w:color="auto"/>
              </w:divBdr>
            </w:div>
            <w:div w:id="117257561">
              <w:marLeft w:val="0"/>
              <w:marRight w:val="0"/>
              <w:marTop w:val="0"/>
              <w:marBottom w:val="0"/>
              <w:divBdr>
                <w:top w:val="none" w:sz="0" w:space="0" w:color="auto"/>
                <w:left w:val="none" w:sz="0" w:space="0" w:color="auto"/>
                <w:bottom w:val="none" w:sz="0" w:space="0" w:color="auto"/>
                <w:right w:val="none" w:sz="0" w:space="0" w:color="auto"/>
              </w:divBdr>
            </w:div>
            <w:div w:id="490291508">
              <w:marLeft w:val="0"/>
              <w:marRight w:val="0"/>
              <w:marTop w:val="0"/>
              <w:marBottom w:val="0"/>
              <w:divBdr>
                <w:top w:val="none" w:sz="0" w:space="0" w:color="auto"/>
                <w:left w:val="none" w:sz="0" w:space="0" w:color="auto"/>
                <w:bottom w:val="none" w:sz="0" w:space="0" w:color="auto"/>
                <w:right w:val="none" w:sz="0" w:space="0" w:color="auto"/>
              </w:divBdr>
            </w:div>
            <w:div w:id="1271623146">
              <w:marLeft w:val="0"/>
              <w:marRight w:val="0"/>
              <w:marTop w:val="0"/>
              <w:marBottom w:val="0"/>
              <w:divBdr>
                <w:top w:val="none" w:sz="0" w:space="0" w:color="auto"/>
                <w:left w:val="none" w:sz="0" w:space="0" w:color="auto"/>
                <w:bottom w:val="none" w:sz="0" w:space="0" w:color="auto"/>
                <w:right w:val="none" w:sz="0" w:space="0" w:color="auto"/>
              </w:divBdr>
            </w:div>
            <w:div w:id="1494225881">
              <w:marLeft w:val="0"/>
              <w:marRight w:val="0"/>
              <w:marTop w:val="0"/>
              <w:marBottom w:val="0"/>
              <w:divBdr>
                <w:top w:val="none" w:sz="0" w:space="0" w:color="auto"/>
                <w:left w:val="none" w:sz="0" w:space="0" w:color="auto"/>
                <w:bottom w:val="none" w:sz="0" w:space="0" w:color="auto"/>
                <w:right w:val="none" w:sz="0" w:space="0" w:color="auto"/>
              </w:divBdr>
            </w:div>
          </w:divsChild>
        </w:div>
        <w:div w:id="828326324">
          <w:marLeft w:val="0"/>
          <w:marRight w:val="0"/>
          <w:marTop w:val="0"/>
          <w:marBottom w:val="0"/>
          <w:divBdr>
            <w:top w:val="none" w:sz="0" w:space="0" w:color="auto"/>
            <w:left w:val="none" w:sz="0" w:space="0" w:color="auto"/>
            <w:bottom w:val="none" w:sz="0" w:space="0" w:color="auto"/>
            <w:right w:val="none" w:sz="0" w:space="0" w:color="auto"/>
          </w:divBdr>
        </w:div>
        <w:div w:id="881668223">
          <w:marLeft w:val="0"/>
          <w:marRight w:val="0"/>
          <w:marTop w:val="0"/>
          <w:marBottom w:val="0"/>
          <w:divBdr>
            <w:top w:val="none" w:sz="0" w:space="0" w:color="auto"/>
            <w:left w:val="none" w:sz="0" w:space="0" w:color="auto"/>
            <w:bottom w:val="none" w:sz="0" w:space="0" w:color="auto"/>
            <w:right w:val="none" w:sz="0" w:space="0" w:color="auto"/>
          </w:divBdr>
        </w:div>
        <w:div w:id="1125540745">
          <w:marLeft w:val="0"/>
          <w:marRight w:val="0"/>
          <w:marTop w:val="0"/>
          <w:marBottom w:val="0"/>
          <w:divBdr>
            <w:top w:val="none" w:sz="0" w:space="0" w:color="auto"/>
            <w:left w:val="none" w:sz="0" w:space="0" w:color="auto"/>
            <w:bottom w:val="none" w:sz="0" w:space="0" w:color="auto"/>
            <w:right w:val="none" w:sz="0" w:space="0" w:color="auto"/>
          </w:divBdr>
          <w:divsChild>
            <w:div w:id="33964704">
              <w:marLeft w:val="0"/>
              <w:marRight w:val="0"/>
              <w:marTop w:val="0"/>
              <w:marBottom w:val="0"/>
              <w:divBdr>
                <w:top w:val="none" w:sz="0" w:space="0" w:color="auto"/>
                <w:left w:val="none" w:sz="0" w:space="0" w:color="auto"/>
                <w:bottom w:val="none" w:sz="0" w:space="0" w:color="auto"/>
                <w:right w:val="none" w:sz="0" w:space="0" w:color="auto"/>
              </w:divBdr>
            </w:div>
            <w:div w:id="83958897">
              <w:marLeft w:val="0"/>
              <w:marRight w:val="0"/>
              <w:marTop w:val="0"/>
              <w:marBottom w:val="0"/>
              <w:divBdr>
                <w:top w:val="none" w:sz="0" w:space="0" w:color="auto"/>
                <w:left w:val="none" w:sz="0" w:space="0" w:color="auto"/>
                <w:bottom w:val="none" w:sz="0" w:space="0" w:color="auto"/>
                <w:right w:val="none" w:sz="0" w:space="0" w:color="auto"/>
              </w:divBdr>
            </w:div>
            <w:div w:id="822936678">
              <w:marLeft w:val="0"/>
              <w:marRight w:val="0"/>
              <w:marTop w:val="0"/>
              <w:marBottom w:val="0"/>
              <w:divBdr>
                <w:top w:val="none" w:sz="0" w:space="0" w:color="auto"/>
                <w:left w:val="none" w:sz="0" w:space="0" w:color="auto"/>
                <w:bottom w:val="none" w:sz="0" w:space="0" w:color="auto"/>
                <w:right w:val="none" w:sz="0" w:space="0" w:color="auto"/>
              </w:divBdr>
            </w:div>
            <w:div w:id="1647009636">
              <w:marLeft w:val="0"/>
              <w:marRight w:val="0"/>
              <w:marTop w:val="0"/>
              <w:marBottom w:val="0"/>
              <w:divBdr>
                <w:top w:val="none" w:sz="0" w:space="0" w:color="auto"/>
                <w:left w:val="none" w:sz="0" w:space="0" w:color="auto"/>
                <w:bottom w:val="none" w:sz="0" w:space="0" w:color="auto"/>
                <w:right w:val="none" w:sz="0" w:space="0" w:color="auto"/>
              </w:divBdr>
            </w:div>
            <w:div w:id="1689679850">
              <w:marLeft w:val="0"/>
              <w:marRight w:val="0"/>
              <w:marTop w:val="0"/>
              <w:marBottom w:val="0"/>
              <w:divBdr>
                <w:top w:val="none" w:sz="0" w:space="0" w:color="auto"/>
                <w:left w:val="none" w:sz="0" w:space="0" w:color="auto"/>
                <w:bottom w:val="none" w:sz="0" w:space="0" w:color="auto"/>
                <w:right w:val="none" w:sz="0" w:space="0" w:color="auto"/>
              </w:divBdr>
            </w:div>
          </w:divsChild>
        </w:div>
        <w:div w:id="1464425260">
          <w:marLeft w:val="0"/>
          <w:marRight w:val="0"/>
          <w:marTop w:val="0"/>
          <w:marBottom w:val="0"/>
          <w:divBdr>
            <w:top w:val="none" w:sz="0" w:space="0" w:color="auto"/>
            <w:left w:val="none" w:sz="0" w:space="0" w:color="auto"/>
            <w:bottom w:val="none" w:sz="0" w:space="0" w:color="auto"/>
            <w:right w:val="none" w:sz="0" w:space="0" w:color="auto"/>
          </w:divBdr>
        </w:div>
        <w:div w:id="1543248534">
          <w:marLeft w:val="0"/>
          <w:marRight w:val="0"/>
          <w:marTop w:val="0"/>
          <w:marBottom w:val="0"/>
          <w:divBdr>
            <w:top w:val="none" w:sz="0" w:space="0" w:color="auto"/>
            <w:left w:val="none" w:sz="0" w:space="0" w:color="auto"/>
            <w:bottom w:val="none" w:sz="0" w:space="0" w:color="auto"/>
            <w:right w:val="none" w:sz="0" w:space="0" w:color="auto"/>
          </w:divBdr>
        </w:div>
        <w:div w:id="1600914497">
          <w:marLeft w:val="0"/>
          <w:marRight w:val="0"/>
          <w:marTop w:val="0"/>
          <w:marBottom w:val="0"/>
          <w:divBdr>
            <w:top w:val="none" w:sz="0" w:space="0" w:color="auto"/>
            <w:left w:val="none" w:sz="0" w:space="0" w:color="auto"/>
            <w:bottom w:val="none" w:sz="0" w:space="0" w:color="auto"/>
            <w:right w:val="none" w:sz="0" w:space="0" w:color="auto"/>
          </w:divBdr>
        </w:div>
        <w:div w:id="1947150113">
          <w:marLeft w:val="0"/>
          <w:marRight w:val="0"/>
          <w:marTop w:val="0"/>
          <w:marBottom w:val="0"/>
          <w:divBdr>
            <w:top w:val="none" w:sz="0" w:space="0" w:color="auto"/>
            <w:left w:val="none" w:sz="0" w:space="0" w:color="auto"/>
            <w:bottom w:val="none" w:sz="0" w:space="0" w:color="auto"/>
            <w:right w:val="none" w:sz="0" w:space="0" w:color="auto"/>
          </w:divBdr>
          <w:divsChild>
            <w:div w:id="84720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31110">
      <w:bodyDiv w:val="1"/>
      <w:marLeft w:val="0"/>
      <w:marRight w:val="0"/>
      <w:marTop w:val="0"/>
      <w:marBottom w:val="0"/>
      <w:divBdr>
        <w:top w:val="none" w:sz="0" w:space="0" w:color="auto"/>
        <w:left w:val="none" w:sz="0" w:space="0" w:color="auto"/>
        <w:bottom w:val="none" w:sz="0" w:space="0" w:color="auto"/>
        <w:right w:val="none" w:sz="0" w:space="0" w:color="auto"/>
      </w:divBdr>
      <w:divsChild>
        <w:div w:id="724909836">
          <w:marLeft w:val="0"/>
          <w:marRight w:val="0"/>
          <w:marTop w:val="0"/>
          <w:marBottom w:val="0"/>
          <w:divBdr>
            <w:top w:val="none" w:sz="0" w:space="0" w:color="auto"/>
            <w:left w:val="none" w:sz="0" w:space="0" w:color="auto"/>
            <w:bottom w:val="none" w:sz="0" w:space="0" w:color="auto"/>
            <w:right w:val="none" w:sz="0" w:space="0" w:color="auto"/>
          </w:divBdr>
          <w:divsChild>
            <w:div w:id="1716657071">
              <w:marLeft w:val="0"/>
              <w:marRight w:val="0"/>
              <w:marTop w:val="30"/>
              <w:marBottom w:val="30"/>
              <w:divBdr>
                <w:top w:val="none" w:sz="0" w:space="0" w:color="auto"/>
                <w:left w:val="none" w:sz="0" w:space="0" w:color="auto"/>
                <w:bottom w:val="none" w:sz="0" w:space="0" w:color="auto"/>
                <w:right w:val="none" w:sz="0" w:space="0" w:color="auto"/>
              </w:divBdr>
              <w:divsChild>
                <w:div w:id="121072062">
                  <w:marLeft w:val="0"/>
                  <w:marRight w:val="0"/>
                  <w:marTop w:val="0"/>
                  <w:marBottom w:val="0"/>
                  <w:divBdr>
                    <w:top w:val="none" w:sz="0" w:space="0" w:color="auto"/>
                    <w:left w:val="none" w:sz="0" w:space="0" w:color="auto"/>
                    <w:bottom w:val="none" w:sz="0" w:space="0" w:color="auto"/>
                    <w:right w:val="none" w:sz="0" w:space="0" w:color="auto"/>
                  </w:divBdr>
                  <w:divsChild>
                    <w:div w:id="1584292474">
                      <w:marLeft w:val="0"/>
                      <w:marRight w:val="0"/>
                      <w:marTop w:val="0"/>
                      <w:marBottom w:val="0"/>
                      <w:divBdr>
                        <w:top w:val="none" w:sz="0" w:space="0" w:color="auto"/>
                        <w:left w:val="none" w:sz="0" w:space="0" w:color="auto"/>
                        <w:bottom w:val="none" w:sz="0" w:space="0" w:color="auto"/>
                        <w:right w:val="none" w:sz="0" w:space="0" w:color="auto"/>
                      </w:divBdr>
                    </w:div>
                  </w:divsChild>
                </w:div>
                <w:div w:id="143402569">
                  <w:marLeft w:val="0"/>
                  <w:marRight w:val="0"/>
                  <w:marTop w:val="0"/>
                  <w:marBottom w:val="0"/>
                  <w:divBdr>
                    <w:top w:val="none" w:sz="0" w:space="0" w:color="auto"/>
                    <w:left w:val="none" w:sz="0" w:space="0" w:color="auto"/>
                    <w:bottom w:val="none" w:sz="0" w:space="0" w:color="auto"/>
                    <w:right w:val="none" w:sz="0" w:space="0" w:color="auto"/>
                  </w:divBdr>
                  <w:divsChild>
                    <w:div w:id="1544056086">
                      <w:marLeft w:val="0"/>
                      <w:marRight w:val="0"/>
                      <w:marTop w:val="0"/>
                      <w:marBottom w:val="0"/>
                      <w:divBdr>
                        <w:top w:val="none" w:sz="0" w:space="0" w:color="auto"/>
                        <w:left w:val="none" w:sz="0" w:space="0" w:color="auto"/>
                        <w:bottom w:val="none" w:sz="0" w:space="0" w:color="auto"/>
                        <w:right w:val="none" w:sz="0" w:space="0" w:color="auto"/>
                      </w:divBdr>
                    </w:div>
                  </w:divsChild>
                </w:div>
                <w:div w:id="177623656">
                  <w:marLeft w:val="0"/>
                  <w:marRight w:val="0"/>
                  <w:marTop w:val="0"/>
                  <w:marBottom w:val="0"/>
                  <w:divBdr>
                    <w:top w:val="none" w:sz="0" w:space="0" w:color="auto"/>
                    <w:left w:val="none" w:sz="0" w:space="0" w:color="auto"/>
                    <w:bottom w:val="none" w:sz="0" w:space="0" w:color="auto"/>
                    <w:right w:val="none" w:sz="0" w:space="0" w:color="auto"/>
                  </w:divBdr>
                  <w:divsChild>
                    <w:div w:id="395789160">
                      <w:marLeft w:val="0"/>
                      <w:marRight w:val="0"/>
                      <w:marTop w:val="0"/>
                      <w:marBottom w:val="0"/>
                      <w:divBdr>
                        <w:top w:val="none" w:sz="0" w:space="0" w:color="auto"/>
                        <w:left w:val="none" w:sz="0" w:space="0" w:color="auto"/>
                        <w:bottom w:val="none" w:sz="0" w:space="0" w:color="auto"/>
                        <w:right w:val="none" w:sz="0" w:space="0" w:color="auto"/>
                      </w:divBdr>
                    </w:div>
                    <w:div w:id="693002434">
                      <w:marLeft w:val="0"/>
                      <w:marRight w:val="0"/>
                      <w:marTop w:val="0"/>
                      <w:marBottom w:val="0"/>
                      <w:divBdr>
                        <w:top w:val="none" w:sz="0" w:space="0" w:color="auto"/>
                        <w:left w:val="none" w:sz="0" w:space="0" w:color="auto"/>
                        <w:bottom w:val="none" w:sz="0" w:space="0" w:color="auto"/>
                        <w:right w:val="none" w:sz="0" w:space="0" w:color="auto"/>
                      </w:divBdr>
                    </w:div>
                  </w:divsChild>
                </w:div>
                <w:div w:id="237330320">
                  <w:marLeft w:val="0"/>
                  <w:marRight w:val="0"/>
                  <w:marTop w:val="0"/>
                  <w:marBottom w:val="0"/>
                  <w:divBdr>
                    <w:top w:val="none" w:sz="0" w:space="0" w:color="auto"/>
                    <w:left w:val="none" w:sz="0" w:space="0" w:color="auto"/>
                    <w:bottom w:val="none" w:sz="0" w:space="0" w:color="auto"/>
                    <w:right w:val="none" w:sz="0" w:space="0" w:color="auto"/>
                  </w:divBdr>
                  <w:divsChild>
                    <w:div w:id="1351645146">
                      <w:marLeft w:val="0"/>
                      <w:marRight w:val="0"/>
                      <w:marTop w:val="0"/>
                      <w:marBottom w:val="0"/>
                      <w:divBdr>
                        <w:top w:val="none" w:sz="0" w:space="0" w:color="auto"/>
                        <w:left w:val="none" w:sz="0" w:space="0" w:color="auto"/>
                        <w:bottom w:val="none" w:sz="0" w:space="0" w:color="auto"/>
                        <w:right w:val="none" w:sz="0" w:space="0" w:color="auto"/>
                      </w:divBdr>
                    </w:div>
                  </w:divsChild>
                </w:div>
                <w:div w:id="310601046">
                  <w:marLeft w:val="0"/>
                  <w:marRight w:val="0"/>
                  <w:marTop w:val="0"/>
                  <w:marBottom w:val="0"/>
                  <w:divBdr>
                    <w:top w:val="none" w:sz="0" w:space="0" w:color="auto"/>
                    <w:left w:val="none" w:sz="0" w:space="0" w:color="auto"/>
                    <w:bottom w:val="none" w:sz="0" w:space="0" w:color="auto"/>
                    <w:right w:val="none" w:sz="0" w:space="0" w:color="auto"/>
                  </w:divBdr>
                  <w:divsChild>
                    <w:div w:id="1417750201">
                      <w:marLeft w:val="0"/>
                      <w:marRight w:val="0"/>
                      <w:marTop w:val="0"/>
                      <w:marBottom w:val="0"/>
                      <w:divBdr>
                        <w:top w:val="none" w:sz="0" w:space="0" w:color="auto"/>
                        <w:left w:val="none" w:sz="0" w:space="0" w:color="auto"/>
                        <w:bottom w:val="none" w:sz="0" w:space="0" w:color="auto"/>
                        <w:right w:val="none" w:sz="0" w:space="0" w:color="auto"/>
                      </w:divBdr>
                    </w:div>
                  </w:divsChild>
                </w:div>
                <w:div w:id="475033877">
                  <w:marLeft w:val="0"/>
                  <w:marRight w:val="0"/>
                  <w:marTop w:val="0"/>
                  <w:marBottom w:val="0"/>
                  <w:divBdr>
                    <w:top w:val="none" w:sz="0" w:space="0" w:color="auto"/>
                    <w:left w:val="none" w:sz="0" w:space="0" w:color="auto"/>
                    <w:bottom w:val="none" w:sz="0" w:space="0" w:color="auto"/>
                    <w:right w:val="none" w:sz="0" w:space="0" w:color="auto"/>
                  </w:divBdr>
                  <w:divsChild>
                    <w:div w:id="1880581431">
                      <w:marLeft w:val="0"/>
                      <w:marRight w:val="0"/>
                      <w:marTop w:val="0"/>
                      <w:marBottom w:val="0"/>
                      <w:divBdr>
                        <w:top w:val="none" w:sz="0" w:space="0" w:color="auto"/>
                        <w:left w:val="none" w:sz="0" w:space="0" w:color="auto"/>
                        <w:bottom w:val="none" w:sz="0" w:space="0" w:color="auto"/>
                        <w:right w:val="none" w:sz="0" w:space="0" w:color="auto"/>
                      </w:divBdr>
                    </w:div>
                  </w:divsChild>
                </w:div>
                <w:div w:id="527303792">
                  <w:marLeft w:val="0"/>
                  <w:marRight w:val="0"/>
                  <w:marTop w:val="0"/>
                  <w:marBottom w:val="0"/>
                  <w:divBdr>
                    <w:top w:val="none" w:sz="0" w:space="0" w:color="auto"/>
                    <w:left w:val="none" w:sz="0" w:space="0" w:color="auto"/>
                    <w:bottom w:val="none" w:sz="0" w:space="0" w:color="auto"/>
                    <w:right w:val="none" w:sz="0" w:space="0" w:color="auto"/>
                  </w:divBdr>
                  <w:divsChild>
                    <w:div w:id="2030180167">
                      <w:marLeft w:val="0"/>
                      <w:marRight w:val="0"/>
                      <w:marTop w:val="0"/>
                      <w:marBottom w:val="0"/>
                      <w:divBdr>
                        <w:top w:val="none" w:sz="0" w:space="0" w:color="auto"/>
                        <w:left w:val="none" w:sz="0" w:space="0" w:color="auto"/>
                        <w:bottom w:val="none" w:sz="0" w:space="0" w:color="auto"/>
                        <w:right w:val="none" w:sz="0" w:space="0" w:color="auto"/>
                      </w:divBdr>
                    </w:div>
                  </w:divsChild>
                </w:div>
                <w:div w:id="654264803">
                  <w:marLeft w:val="0"/>
                  <w:marRight w:val="0"/>
                  <w:marTop w:val="0"/>
                  <w:marBottom w:val="0"/>
                  <w:divBdr>
                    <w:top w:val="none" w:sz="0" w:space="0" w:color="auto"/>
                    <w:left w:val="none" w:sz="0" w:space="0" w:color="auto"/>
                    <w:bottom w:val="none" w:sz="0" w:space="0" w:color="auto"/>
                    <w:right w:val="none" w:sz="0" w:space="0" w:color="auto"/>
                  </w:divBdr>
                  <w:divsChild>
                    <w:div w:id="346448163">
                      <w:marLeft w:val="0"/>
                      <w:marRight w:val="0"/>
                      <w:marTop w:val="0"/>
                      <w:marBottom w:val="0"/>
                      <w:divBdr>
                        <w:top w:val="none" w:sz="0" w:space="0" w:color="auto"/>
                        <w:left w:val="none" w:sz="0" w:space="0" w:color="auto"/>
                        <w:bottom w:val="none" w:sz="0" w:space="0" w:color="auto"/>
                        <w:right w:val="none" w:sz="0" w:space="0" w:color="auto"/>
                      </w:divBdr>
                    </w:div>
                  </w:divsChild>
                </w:div>
                <w:div w:id="688726905">
                  <w:marLeft w:val="0"/>
                  <w:marRight w:val="0"/>
                  <w:marTop w:val="0"/>
                  <w:marBottom w:val="0"/>
                  <w:divBdr>
                    <w:top w:val="none" w:sz="0" w:space="0" w:color="auto"/>
                    <w:left w:val="none" w:sz="0" w:space="0" w:color="auto"/>
                    <w:bottom w:val="none" w:sz="0" w:space="0" w:color="auto"/>
                    <w:right w:val="none" w:sz="0" w:space="0" w:color="auto"/>
                  </w:divBdr>
                  <w:divsChild>
                    <w:div w:id="1787581830">
                      <w:marLeft w:val="0"/>
                      <w:marRight w:val="0"/>
                      <w:marTop w:val="0"/>
                      <w:marBottom w:val="0"/>
                      <w:divBdr>
                        <w:top w:val="none" w:sz="0" w:space="0" w:color="auto"/>
                        <w:left w:val="none" w:sz="0" w:space="0" w:color="auto"/>
                        <w:bottom w:val="none" w:sz="0" w:space="0" w:color="auto"/>
                        <w:right w:val="none" w:sz="0" w:space="0" w:color="auto"/>
                      </w:divBdr>
                    </w:div>
                  </w:divsChild>
                </w:div>
                <w:div w:id="751048529">
                  <w:marLeft w:val="0"/>
                  <w:marRight w:val="0"/>
                  <w:marTop w:val="0"/>
                  <w:marBottom w:val="0"/>
                  <w:divBdr>
                    <w:top w:val="none" w:sz="0" w:space="0" w:color="auto"/>
                    <w:left w:val="none" w:sz="0" w:space="0" w:color="auto"/>
                    <w:bottom w:val="none" w:sz="0" w:space="0" w:color="auto"/>
                    <w:right w:val="none" w:sz="0" w:space="0" w:color="auto"/>
                  </w:divBdr>
                  <w:divsChild>
                    <w:div w:id="1009141416">
                      <w:marLeft w:val="0"/>
                      <w:marRight w:val="0"/>
                      <w:marTop w:val="0"/>
                      <w:marBottom w:val="0"/>
                      <w:divBdr>
                        <w:top w:val="none" w:sz="0" w:space="0" w:color="auto"/>
                        <w:left w:val="none" w:sz="0" w:space="0" w:color="auto"/>
                        <w:bottom w:val="none" w:sz="0" w:space="0" w:color="auto"/>
                        <w:right w:val="none" w:sz="0" w:space="0" w:color="auto"/>
                      </w:divBdr>
                    </w:div>
                  </w:divsChild>
                </w:div>
                <w:div w:id="818378938">
                  <w:marLeft w:val="0"/>
                  <w:marRight w:val="0"/>
                  <w:marTop w:val="0"/>
                  <w:marBottom w:val="0"/>
                  <w:divBdr>
                    <w:top w:val="none" w:sz="0" w:space="0" w:color="auto"/>
                    <w:left w:val="none" w:sz="0" w:space="0" w:color="auto"/>
                    <w:bottom w:val="none" w:sz="0" w:space="0" w:color="auto"/>
                    <w:right w:val="none" w:sz="0" w:space="0" w:color="auto"/>
                  </w:divBdr>
                  <w:divsChild>
                    <w:div w:id="1301618268">
                      <w:marLeft w:val="0"/>
                      <w:marRight w:val="0"/>
                      <w:marTop w:val="0"/>
                      <w:marBottom w:val="0"/>
                      <w:divBdr>
                        <w:top w:val="none" w:sz="0" w:space="0" w:color="auto"/>
                        <w:left w:val="none" w:sz="0" w:space="0" w:color="auto"/>
                        <w:bottom w:val="none" w:sz="0" w:space="0" w:color="auto"/>
                        <w:right w:val="none" w:sz="0" w:space="0" w:color="auto"/>
                      </w:divBdr>
                    </w:div>
                  </w:divsChild>
                </w:div>
                <w:div w:id="819884603">
                  <w:marLeft w:val="0"/>
                  <w:marRight w:val="0"/>
                  <w:marTop w:val="0"/>
                  <w:marBottom w:val="0"/>
                  <w:divBdr>
                    <w:top w:val="none" w:sz="0" w:space="0" w:color="auto"/>
                    <w:left w:val="none" w:sz="0" w:space="0" w:color="auto"/>
                    <w:bottom w:val="none" w:sz="0" w:space="0" w:color="auto"/>
                    <w:right w:val="none" w:sz="0" w:space="0" w:color="auto"/>
                  </w:divBdr>
                  <w:divsChild>
                    <w:div w:id="37164921">
                      <w:marLeft w:val="0"/>
                      <w:marRight w:val="0"/>
                      <w:marTop w:val="0"/>
                      <w:marBottom w:val="0"/>
                      <w:divBdr>
                        <w:top w:val="none" w:sz="0" w:space="0" w:color="auto"/>
                        <w:left w:val="none" w:sz="0" w:space="0" w:color="auto"/>
                        <w:bottom w:val="none" w:sz="0" w:space="0" w:color="auto"/>
                        <w:right w:val="none" w:sz="0" w:space="0" w:color="auto"/>
                      </w:divBdr>
                    </w:div>
                    <w:div w:id="348877594">
                      <w:marLeft w:val="0"/>
                      <w:marRight w:val="0"/>
                      <w:marTop w:val="0"/>
                      <w:marBottom w:val="0"/>
                      <w:divBdr>
                        <w:top w:val="none" w:sz="0" w:space="0" w:color="auto"/>
                        <w:left w:val="none" w:sz="0" w:space="0" w:color="auto"/>
                        <w:bottom w:val="none" w:sz="0" w:space="0" w:color="auto"/>
                        <w:right w:val="none" w:sz="0" w:space="0" w:color="auto"/>
                      </w:divBdr>
                    </w:div>
                    <w:div w:id="516426529">
                      <w:marLeft w:val="0"/>
                      <w:marRight w:val="0"/>
                      <w:marTop w:val="0"/>
                      <w:marBottom w:val="0"/>
                      <w:divBdr>
                        <w:top w:val="none" w:sz="0" w:space="0" w:color="auto"/>
                        <w:left w:val="none" w:sz="0" w:space="0" w:color="auto"/>
                        <w:bottom w:val="none" w:sz="0" w:space="0" w:color="auto"/>
                        <w:right w:val="none" w:sz="0" w:space="0" w:color="auto"/>
                      </w:divBdr>
                    </w:div>
                    <w:div w:id="923222419">
                      <w:marLeft w:val="0"/>
                      <w:marRight w:val="0"/>
                      <w:marTop w:val="0"/>
                      <w:marBottom w:val="0"/>
                      <w:divBdr>
                        <w:top w:val="none" w:sz="0" w:space="0" w:color="auto"/>
                        <w:left w:val="none" w:sz="0" w:space="0" w:color="auto"/>
                        <w:bottom w:val="none" w:sz="0" w:space="0" w:color="auto"/>
                        <w:right w:val="none" w:sz="0" w:space="0" w:color="auto"/>
                      </w:divBdr>
                    </w:div>
                    <w:div w:id="1035040255">
                      <w:marLeft w:val="0"/>
                      <w:marRight w:val="0"/>
                      <w:marTop w:val="0"/>
                      <w:marBottom w:val="0"/>
                      <w:divBdr>
                        <w:top w:val="none" w:sz="0" w:space="0" w:color="auto"/>
                        <w:left w:val="none" w:sz="0" w:space="0" w:color="auto"/>
                        <w:bottom w:val="none" w:sz="0" w:space="0" w:color="auto"/>
                        <w:right w:val="none" w:sz="0" w:space="0" w:color="auto"/>
                      </w:divBdr>
                    </w:div>
                    <w:div w:id="1329795948">
                      <w:marLeft w:val="0"/>
                      <w:marRight w:val="0"/>
                      <w:marTop w:val="0"/>
                      <w:marBottom w:val="0"/>
                      <w:divBdr>
                        <w:top w:val="none" w:sz="0" w:space="0" w:color="auto"/>
                        <w:left w:val="none" w:sz="0" w:space="0" w:color="auto"/>
                        <w:bottom w:val="none" w:sz="0" w:space="0" w:color="auto"/>
                        <w:right w:val="none" w:sz="0" w:space="0" w:color="auto"/>
                      </w:divBdr>
                    </w:div>
                    <w:div w:id="1337461289">
                      <w:marLeft w:val="0"/>
                      <w:marRight w:val="0"/>
                      <w:marTop w:val="0"/>
                      <w:marBottom w:val="0"/>
                      <w:divBdr>
                        <w:top w:val="none" w:sz="0" w:space="0" w:color="auto"/>
                        <w:left w:val="none" w:sz="0" w:space="0" w:color="auto"/>
                        <w:bottom w:val="none" w:sz="0" w:space="0" w:color="auto"/>
                        <w:right w:val="none" w:sz="0" w:space="0" w:color="auto"/>
                      </w:divBdr>
                    </w:div>
                    <w:div w:id="1517384395">
                      <w:marLeft w:val="0"/>
                      <w:marRight w:val="0"/>
                      <w:marTop w:val="0"/>
                      <w:marBottom w:val="0"/>
                      <w:divBdr>
                        <w:top w:val="none" w:sz="0" w:space="0" w:color="auto"/>
                        <w:left w:val="none" w:sz="0" w:space="0" w:color="auto"/>
                        <w:bottom w:val="none" w:sz="0" w:space="0" w:color="auto"/>
                        <w:right w:val="none" w:sz="0" w:space="0" w:color="auto"/>
                      </w:divBdr>
                    </w:div>
                    <w:div w:id="1525053707">
                      <w:marLeft w:val="0"/>
                      <w:marRight w:val="0"/>
                      <w:marTop w:val="0"/>
                      <w:marBottom w:val="0"/>
                      <w:divBdr>
                        <w:top w:val="none" w:sz="0" w:space="0" w:color="auto"/>
                        <w:left w:val="none" w:sz="0" w:space="0" w:color="auto"/>
                        <w:bottom w:val="none" w:sz="0" w:space="0" w:color="auto"/>
                        <w:right w:val="none" w:sz="0" w:space="0" w:color="auto"/>
                      </w:divBdr>
                    </w:div>
                    <w:div w:id="1687562055">
                      <w:marLeft w:val="0"/>
                      <w:marRight w:val="0"/>
                      <w:marTop w:val="0"/>
                      <w:marBottom w:val="0"/>
                      <w:divBdr>
                        <w:top w:val="none" w:sz="0" w:space="0" w:color="auto"/>
                        <w:left w:val="none" w:sz="0" w:space="0" w:color="auto"/>
                        <w:bottom w:val="none" w:sz="0" w:space="0" w:color="auto"/>
                        <w:right w:val="none" w:sz="0" w:space="0" w:color="auto"/>
                      </w:divBdr>
                    </w:div>
                    <w:div w:id="1973975144">
                      <w:marLeft w:val="0"/>
                      <w:marRight w:val="0"/>
                      <w:marTop w:val="0"/>
                      <w:marBottom w:val="0"/>
                      <w:divBdr>
                        <w:top w:val="none" w:sz="0" w:space="0" w:color="auto"/>
                        <w:left w:val="none" w:sz="0" w:space="0" w:color="auto"/>
                        <w:bottom w:val="none" w:sz="0" w:space="0" w:color="auto"/>
                        <w:right w:val="none" w:sz="0" w:space="0" w:color="auto"/>
                      </w:divBdr>
                    </w:div>
                  </w:divsChild>
                </w:div>
                <w:div w:id="839197667">
                  <w:marLeft w:val="0"/>
                  <w:marRight w:val="0"/>
                  <w:marTop w:val="0"/>
                  <w:marBottom w:val="0"/>
                  <w:divBdr>
                    <w:top w:val="none" w:sz="0" w:space="0" w:color="auto"/>
                    <w:left w:val="none" w:sz="0" w:space="0" w:color="auto"/>
                    <w:bottom w:val="none" w:sz="0" w:space="0" w:color="auto"/>
                    <w:right w:val="none" w:sz="0" w:space="0" w:color="auto"/>
                  </w:divBdr>
                  <w:divsChild>
                    <w:div w:id="1732537930">
                      <w:marLeft w:val="0"/>
                      <w:marRight w:val="0"/>
                      <w:marTop w:val="0"/>
                      <w:marBottom w:val="0"/>
                      <w:divBdr>
                        <w:top w:val="none" w:sz="0" w:space="0" w:color="auto"/>
                        <w:left w:val="none" w:sz="0" w:space="0" w:color="auto"/>
                        <w:bottom w:val="none" w:sz="0" w:space="0" w:color="auto"/>
                        <w:right w:val="none" w:sz="0" w:space="0" w:color="auto"/>
                      </w:divBdr>
                    </w:div>
                  </w:divsChild>
                </w:div>
                <w:div w:id="857088575">
                  <w:marLeft w:val="0"/>
                  <w:marRight w:val="0"/>
                  <w:marTop w:val="0"/>
                  <w:marBottom w:val="0"/>
                  <w:divBdr>
                    <w:top w:val="none" w:sz="0" w:space="0" w:color="auto"/>
                    <w:left w:val="none" w:sz="0" w:space="0" w:color="auto"/>
                    <w:bottom w:val="none" w:sz="0" w:space="0" w:color="auto"/>
                    <w:right w:val="none" w:sz="0" w:space="0" w:color="auto"/>
                  </w:divBdr>
                  <w:divsChild>
                    <w:div w:id="1125388978">
                      <w:marLeft w:val="0"/>
                      <w:marRight w:val="0"/>
                      <w:marTop w:val="0"/>
                      <w:marBottom w:val="0"/>
                      <w:divBdr>
                        <w:top w:val="none" w:sz="0" w:space="0" w:color="auto"/>
                        <w:left w:val="none" w:sz="0" w:space="0" w:color="auto"/>
                        <w:bottom w:val="none" w:sz="0" w:space="0" w:color="auto"/>
                        <w:right w:val="none" w:sz="0" w:space="0" w:color="auto"/>
                      </w:divBdr>
                    </w:div>
                  </w:divsChild>
                </w:div>
                <w:div w:id="957377396">
                  <w:marLeft w:val="0"/>
                  <w:marRight w:val="0"/>
                  <w:marTop w:val="0"/>
                  <w:marBottom w:val="0"/>
                  <w:divBdr>
                    <w:top w:val="none" w:sz="0" w:space="0" w:color="auto"/>
                    <w:left w:val="none" w:sz="0" w:space="0" w:color="auto"/>
                    <w:bottom w:val="none" w:sz="0" w:space="0" w:color="auto"/>
                    <w:right w:val="none" w:sz="0" w:space="0" w:color="auto"/>
                  </w:divBdr>
                  <w:divsChild>
                    <w:div w:id="1377121132">
                      <w:marLeft w:val="0"/>
                      <w:marRight w:val="0"/>
                      <w:marTop w:val="0"/>
                      <w:marBottom w:val="0"/>
                      <w:divBdr>
                        <w:top w:val="none" w:sz="0" w:space="0" w:color="auto"/>
                        <w:left w:val="none" w:sz="0" w:space="0" w:color="auto"/>
                        <w:bottom w:val="none" w:sz="0" w:space="0" w:color="auto"/>
                        <w:right w:val="none" w:sz="0" w:space="0" w:color="auto"/>
                      </w:divBdr>
                    </w:div>
                    <w:div w:id="1452433463">
                      <w:marLeft w:val="0"/>
                      <w:marRight w:val="0"/>
                      <w:marTop w:val="0"/>
                      <w:marBottom w:val="0"/>
                      <w:divBdr>
                        <w:top w:val="none" w:sz="0" w:space="0" w:color="auto"/>
                        <w:left w:val="none" w:sz="0" w:space="0" w:color="auto"/>
                        <w:bottom w:val="none" w:sz="0" w:space="0" w:color="auto"/>
                        <w:right w:val="none" w:sz="0" w:space="0" w:color="auto"/>
                      </w:divBdr>
                    </w:div>
                  </w:divsChild>
                </w:div>
                <w:div w:id="985159568">
                  <w:marLeft w:val="0"/>
                  <w:marRight w:val="0"/>
                  <w:marTop w:val="0"/>
                  <w:marBottom w:val="0"/>
                  <w:divBdr>
                    <w:top w:val="none" w:sz="0" w:space="0" w:color="auto"/>
                    <w:left w:val="none" w:sz="0" w:space="0" w:color="auto"/>
                    <w:bottom w:val="none" w:sz="0" w:space="0" w:color="auto"/>
                    <w:right w:val="none" w:sz="0" w:space="0" w:color="auto"/>
                  </w:divBdr>
                  <w:divsChild>
                    <w:div w:id="70391190">
                      <w:marLeft w:val="0"/>
                      <w:marRight w:val="0"/>
                      <w:marTop w:val="0"/>
                      <w:marBottom w:val="0"/>
                      <w:divBdr>
                        <w:top w:val="none" w:sz="0" w:space="0" w:color="auto"/>
                        <w:left w:val="none" w:sz="0" w:space="0" w:color="auto"/>
                        <w:bottom w:val="none" w:sz="0" w:space="0" w:color="auto"/>
                        <w:right w:val="none" w:sz="0" w:space="0" w:color="auto"/>
                      </w:divBdr>
                    </w:div>
                  </w:divsChild>
                </w:div>
                <w:div w:id="1088771991">
                  <w:marLeft w:val="0"/>
                  <w:marRight w:val="0"/>
                  <w:marTop w:val="0"/>
                  <w:marBottom w:val="0"/>
                  <w:divBdr>
                    <w:top w:val="none" w:sz="0" w:space="0" w:color="auto"/>
                    <w:left w:val="none" w:sz="0" w:space="0" w:color="auto"/>
                    <w:bottom w:val="none" w:sz="0" w:space="0" w:color="auto"/>
                    <w:right w:val="none" w:sz="0" w:space="0" w:color="auto"/>
                  </w:divBdr>
                  <w:divsChild>
                    <w:div w:id="51731714">
                      <w:marLeft w:val="0"/>
                      <w:marRight w:val="0"/>
                      <w:marTop w:val="0"/>
                      <w:marBottom w:val="0"/>
                      <w:divBdr>
                        <w:top w:val="none" w:sz="0" w:space="0" w:color="auto"/>
                        <w:left w:val="none" w:sz="0" w:space="0" w:color="auto"/>
                        <w:bottom w:val="none" w:sz="0" w:space="0" w:color="auto"/>
                        <w:right w:val="none" w:sz="0" w:space="0" w:color="auto"/>
                      </w:divBdr>
                    </w:div>
                  </w:divsChild>
                </w:div>
                <w:div w:id="1186403042">
                  <w:marLeft w:val="0"/>
                  <w:marRight w:val="0"/>
                  <w:marTop w:val="0"/>
                  <w:marBottom w:val="0"/>
                  <w:divBdr>
                    <w:top w:val="none" w:sz="0" w:space="0" w:color="auto"/>
                    <w:left w:val="none" w:sz="0" w:space="0" w:color="auto"/>
                    <w:bottom w:val="none" w:sz="0" w:space="0" w:color="auto"/>
                    <w:right w:val="none" w:sz="0" w:space="0" w:color="auto"/>
                  </w:divBdr>
                  <w:divsChild>
                    <w:div w:id="1335958331">
                      <w:marLeft w:val="0"/>
                      <w:marRight w:val="0"/>
                      <w:marTop w:val="0"/>
                      <w:marBottom w:val="0"/>
                      <w:divBdr>
                        <w:top w:val="none" w:sz="0" w:space="0" w:color="auto"/>
                        <w:left w:val="none" w:sz="0" w:space="0" w:color="auto"/>
                        <w:bottom w:val="none" w:sz="0" w:space="0" w:color="auto"/>
                        <w:right w:val="none" w:sz="0" w:space="0" w:color="auto"/>
                      </w:divBdr>
                    </w:div>
                  </w:divsChild>
                </w:div>
                <w:div w:id="1228421239">
                  <w:marLeft w:val="0"/>
                  <w:marRight w:val="0"/>
                  <w:marTop w:val="0"/>
                  <w:marBottom w:val="0"/>
                  <w:divBdr>
                    <w:top w:val="none" w:sz="0" w:space="0" w:color="auto"/>
                    <w:left w:val="none" w:sz="0" w:space="0" w:color="auto"/>
                    <w:bottom w:val="none" w:sz="0" w:space="0" w:color="auto"/>
                    <w:right w:val="none" w:sz="0" w:space="0" w:color="auto"/>
                  </w:divBdr>
                  <w:divsChild>
                    <w:div w:id="1055466000">
                      <w:marLeft w:val="0"/>
                      <w:marRight w:val="0"/>
                      <w:marTop w:val="0"/>
                      <w:marBottom w:val="0"/>
                      <w:divBdr>
                        <w:top w:val="none" w:sz="0" w:space="0" w:color="auto"/>
                        <w:left w:val="none" w:sz="0" w:space="0" w:color="auto"/>
                        <w:bottom w:val="none" w:sz="0" w:space="0" w:color="auto"/>
                        <w:right w:val="none" w:sz="0" w:space="0" w:color="auto"/>
                      </w:divBdr>
                    </w:div>
                  </w:divsChild>
                </w:div>
                <w:div w:id="1445618069">
                  <w:marLeft w:val="0"/>
                  <w:marRight w:val="0"/>
                  <w:marTop w:val="0"/>
                  <w:marBottom w:val="0"/>
                  <w:divBdr>
                    <w:top w:val="none" w:sz="0" w:space="0" w:color="auto"/>
                    <w:left w:val="none" w:sz="0" w:space="0" w:color="auto"/>
                    <w:bottom w:val="none" w:sz="0" w:space="0" w:color="auto"/>
                    <w:right w:val="none" w:sz="0" w:space="0" w:color="auto"/>
                  </w:divBdr>
                  <w:divsChild>
                    <w:div w:id="792210727">
                      <w:marLeft w:val="0"/>
                      <w:marRight w:val="0"/>
                      <w:marTop w:val="0"/>
                      <w:marBottom w:val="0"/>
                      <w:divBdr>
                        <w:top w:val="none" w:sz="0" w:space="0" w:color="auto"/>
                        <w:left w:val="none" w:sz="0" w:space="0" w:color="auto"/>
                        <w:bottom w:val="none" w:sz="0" w:space="0" w:color="auto"/>
                        <w:right w:val="none" w:sz="0" w:space="0" w:color="auto"/>
                      </w:divBdr>
                    </w:div>
                  </w:divsChild>
                </w:div>
                <w:div w:id="1448235492">
                  <w:marLeft w:val="0"/>
                  <w:marRight w:val="0"/>
                  <w:marTop w:val="0"/>
                  <w:marBottom w:val="0"/>
                  <w:divBdr>
                    <w:top w:val="none" w:sz="0" w:space="0" w:color="auto"/>
                    <w:left w:val="none" w:sz="0" w:space="0" w:color="auto"/>
                    <w:bottom w:val="none" w:sz="0" w:space="0" w:color="auto"/>
                    <w:right w:val="none" w:sz="0" w:space="0" w:color="auto"/>
                  </w:divBdr>
                  <w:divsChild>
                    <w:div w:id="582841204">
                      <w:marLeft w:val="0"/>
                      <w:marRight w:val="0"/>
                      <w:marTop w:val="0"/>
                      <w:marBottom w:val="0"/>
                      <w:divBdr>
                        <w:top w:val="none" w:sz="0" w:space="0" w:color="auto"/>
                        <w:left w:val="none" w:sz="0" w:space="0" w:color="auto"/>
                        <w:bottom w:val="none" w:sz="0" w:space="0" w:color="auto"/>
                        <w:right w:val="none" w:sz="0" w:space="0" w:color="auto"/>
                      </w:divBdr>
                    </w:div>
                  </w:divsChild>
                </w:div>
                <w:div w:id="1530408233">
                  <w:marLeft w:val="0"/>
                  <w:marRight w:val="0"/>
                  <w:marTop w:val="0"/>
                  <w:marBottom w:val="0"/>
                  <w:divBdr>
                    <w:top w:val="none" w:sz="0" w:space="0" w:color="auto"/>
                    <w:left w:val="none" w:sz="0" w:space="0" w:color="auto"/>
                    <w:bottom w:val="none" w:sz="0" w:space="0" w:color="auto"/>
                    <w:right w:val="none" w:sz="0" w:space="0" w:color="auto"/>
                  </w:divBdr>
                  <w:divsChild>
                    <w:div w:id="1756047021">
                      <w:marLeft w:val="0"/>
                      <w:marRight w:val="0"/>
                      <w:marTop w:val="0"/>
                      <w:marBottom w:val="0"/>
                      <w:divBdr>
                        <w:top w:val="none" w:sz="0" w:space="0" w:color="auto"/>
                        <w:left w:val="none" w:sz="0" w:space="0" w:color="auto"/>
                        <w:bottom w:val="none" w:sz="0" w:space="0" w:color="auto"/>
                        <w:right w:val="none" w:sz="0" w:space="0" w:color="auto"/>
                      </w:divBdr>
                    </w:div>
                  </w:divsChild>
                </w:div>
                <w:div w:id="1579291913">
                  <w:marLeft w:val="0"/>
                  <w:marRight w:val="0"/>
                  <w:marTop w:val="0"/>
                  <w:marBottom w:val="0"/>
                  <w:divBdr>
                    <w:top w:val="none" w:sz="0" w:space="0" w:color="auto"/>
                    <w:left w:val="none" w:sz="0" w:space="0" w:color="auto"/>
                    <w:bottom w:val="none" w:sz="0" w:space="0" w:color="auto"/>
                    <w:right w:val="none" w:sz="0" w:space="0" w:color="auto"/>
                  </w:divBdr>
                  <w:divsChild>
                    <w:div w:id="378745348">
                      <w:marLeft w:val="0"/>
                      <w:marRight w:val="0"/>
                      <w:marTop w:val="0"/>
                      <w:marBottom w:val="0"/>
                      <w:divBdr>
                        <w:top w:val="none" w:sz="0" w:space="0" w:color="auto"/>
                        <w:left w:val="none" w:sz="0" w:space="0" w:color="auto"/>
                        <w:bottom w:val="none" w:sz="0" w:space="0" w:color="auto"/>
                        <w:right w:val="none" w:sz="0" w:space="0" w:color="auto"/>
                      </w:divBdr>
                    </w:div>
                  </w:divsChild>
                </w:div>
                <w:div w:id="1665545960">
                  <w:marLeft w:val="0"/>
                  <w:marRight w:val="0"/>
                  <w:marTop w:val="0"/>
                  <w:marBottom w:val="0"/>
                  <w:divBdr>
                    <w:top w:val="none" w:sz="0" w:space="0" w:color="auto"/>
                    <w:left w:val="none" w:sz="0" w:space="0" w:color="auto"/>
                    <w:bottom w:val="none" w:sz="0" w:space="0" w:color="auto"/>
                    <w:right w:val="none" w:sz="0" w:space="0" w:color="auto"/>
                  </w:divBdr>
                  <w:divsChild>
                    <w:div w:id="1112285479">
                      <w:marLeft w:val="0"/>
                      <w:marRight w:val="0"/>
                      <w:marTop w:val="0"/>
                      <w:marBottom w:val="0"/>
                      <w:divBdr>
                        <w:top w:val="none" w:sz="0" w:space="0" w:color="auto"/>
                        <w:left w:val="none" w:sz="0" w:space="0" w:color="auto"/>
                        <w:bottom w:val="none" w:sz="0" w:space="0" w:color="auto"/>
                        <w:right w:val="none" w:sz="0" w:space="0" w:color="auto"/>
                      </w:divBdr>
                    </w:div>
                  </w:divsChild>
                </w:div>
                <w:div w:id="1681740324">
                  <w:marLeft w:val="0"/>
                  <w:marRight w:val="0"/>
                  <w:marTop w:val="0"/>
                  <w:marBottom w:val="0"/>
                  <w:divBdr>
                    <w:top w:val="none" w:sz="0" w:space="0" w:color="auto"/>
                    <w:left w:val="none" w:sz="0" w:space="0" w:color="auto"/>
                    <w:bottom w:val="none" w:sz="0" w:space="0" w:color="auto"/>
                    <w:right w:val="none" w:sz="0" w:space="0" w:color="auto"/>
                  </w:divBdr>
                  <w:divsChild>
                    <w:div w:id="1261719744">
                      <w:marLeft w:val="0"/>
                      <w:marRight w:val="0"/>
                      <w:marTop w:val="0"/>
                      <w:marBottom w:val="0"/>
                      <w:divBdr>
                        <w:top w:val="none" w:sz="0" w:space="0" w:color="auto"/>
                        <w:left w:val="none" w:sz="0" w:space="0" w:color="auto"/>
                        <w:bottom w:val="none" w:sz="0" w:space="0" w:color="auto"/>
                        <w:right w:val="none" w:sz="0" w:space="0" w:color="auto"/>
                      </w:divBdr>
                    </w:div>
                  </w:divsChild>
                </w:div>
                <w:div w:id="1684744752">
                  <w:marLeft w:val="0"/>
                  <w:marRight w:val="0"/>
                  <w:marTop w:val="0"/>
                  <w:marBottom w:val="0"/>
                  <w:divBdr>
                    <w:top w:val="none" w:sz="0" w:space="0" w:color="auto"/>
                    <w:left w:val="none" w:sz="0" w:space="0" w:color="auto"/>
                    <w:bottom w:val="none" w:sz="0" w:space="0" w:color="auto"/>
                    <w:right w:val="none" w:sz="0" w:space="0" w:color="auto"/>
                  </w:divBdr>
                  <w:divsChild>
                    <w:div w:id="867066122">
                      <w:marLeft w:val="0"/>
                      <w:marRight w:val="0"/>
                      <w:marTop w:val="0"/>
                      <w:marBottom w:val="0"/>
                      <w:divBdr>
                        <w:top w:val="none" w:sz="0" w:space="0" w:color="auto"/>
                        <w:left w:val="none" w:sz="0" w:space="0" w:color="auto"/>
                        <w:bottom w:val="none" w:sz="0" w:space="0" w:color="auto"/>
                        <w:right w:val="none" w:sz="0" w:space="0" w:color="auto"/>
                      </w:divBdr>
                    </w:div>
                  </w:divsChild>
                </w:div>
                <w:div w:id="1772822989">
                  <w:marLeft w:val="0"/>
                  <w:marRight w:val="0"/>
                  <w:marTop w:val="0"/>
                  <w:marBottom w:val="0"/>
                  <w:divBdr>
                    <w:top w:val="none" w:sz="0" w:space="0" w:color="auto"/>
                    <w:left w:val="none" w:sz="0" w:space="0" w:color="auto"/>
                    <w:bottom w:val="none" w:sz="0" w:space="0" w:color="auto"/>
                    <w:right w:val="none" w:sz="0" w:space="0" w:color="auto"/>
                  </w:divBdr>
                  <w:divsChild>
                    <w:div w:id="445348692">
                      <w:marLeft w:val="0"/>
                      <w:marRight w:val="0"/>
                      <w:marTop w:val="0"/>
                      <w:marBottom w:val="0"/>
                      <w:divBdr>
                        <w:top w:val="none" w:sz="0" w:space="0" w:color="auto"/>
                        <w:left w:val="none" w:sz="0" w:space="0" w:color="auto"/>
                        <w:bottom w:val="none" w:sz="0" w:space="0" w:color="auto"/>
                        <w:right w:val="none" w:sz="0" w:space="0" w:color="auto"/>
                      </w:divBdr>
                    </w:div>
                    <w:div w:id="1580944306">
                      <w:marLeft w:val="0"/>
                      <w:marRight w:val="0"/>
                      <w:marTop w:val="0"/>
                      <w:marBottom w:val="0"/>
                      <w:divBdr>
                        <w:top w:val="none" w:sz="0" w:space="0" w:color="auto"/>
                        <w:left w:val="none" w:sz="0" w:space="0" w:color="auto"/>
                        <w:bottom w:val="none" w:sz="0" w:space="0" w:color="auto"/>
                        <w:right w:val="none" w:sz="0" w:space="0" w:color="auto"/>
                      </w:divBdr>
                    </w:div>
                    <w:div w:id="2054885526">
                      <w:marLeft w:val="0"/>
                      <w:marRight w:val="0"/>
                      <w:marTop w:val="0"/>
                      <w:marBottom w:val="0"/>
                      <w:divBdr>
                        <w:top w:val="none" w:sz="0" w:space="0" w:color="auto"/>
                        <w:left w:val="none" w:sz="0" w:space="0" w:color="auto"/>
                        <w:bottom w:val="none" w:sz="0" w:space="0" w:color="auto"/>
                        <w:right w:val="none" w:sz="0" w:space="0" w:color="auto"/>
                      </w:divBdr>
                    </w:div>
                  </w:divsChild>
                </w:div>
                <w:div w:id="1784498434">
                  <w:marLeft w:val="0"/>
                  <w:marRight w:val="0"/>
                  <w:marTop w:val="0"/>
                  <w:marBottom w:val="0"/>
                  <w:divBdr>
                    <w:top w:val="none" w:sz="0" w:space="0" w:color="auto"/>
                    <w:left w:val="none" w:sz="0" w:space="0" w:color="auto"/>
                    <w:bottom w:val="none" w:sz="0" w:space="0" w:color="auto"/>
                    <w:right w:val="none" w:sz="0" w:space="0" w:color="auto"/>
                  </w:divBdr>
                  <w:divsChild>
                    <w:div w:id="2046368692">
                      <w:marLeft w:val="0"/>
                      <w:marRight w:val="0"/>
                      <w:marTop w:val="0"/>
                      <w:marBottom w:val="0"/>
                      <w:divBdr>
                        <w:top w:val="none" w:sz="0" w:space="0" w:color="auto"/>
                        <w:left w:val="none" w:sz="0" w:space="0" w:color="auto"/>
                        <w:bottom w:val="none" w:sz="0" w:space="0" w:color="auto"/>
                        <w:right w:val="none" w:sz="0" w:space="0" w:color="auto"/>
                      </w:divBdr>
                    </w:div>
                  </w:divsChild>
                </w:div>
                <w:div w:id="2063559615">
                  <w:marLeft w:val="0"/>
                  <w:marRight w:val="0"/>
                  <w:marTop w:val="0"/>
                  <w:marBottom w:val="0"/>
                  <w:divBdr>
                    <w:top w:val="none" w:sz="0" w:space="0" w:color="auto"/>
                    <w:left w:val="none" w:sz="0" w:space="0" w:color="auto"/>
                    <w:bottom w:val="none" w:sz="0" w:space="0" w:color="auto"/>
                    <w:right w:val="none" w:sz="0" w:space="0" w:color="auto"/>
                  </w:divBdr>
                  <w:divsChild>
                    <w:div w:id="796067560">
                      <w:marLeft w:val="0"/>
                      <w:marRight w:val="0"/>
                      <w:marTop w:val="0"/>
                      <w:marBottom w:val="0"/>
                      <w:divBdr>
                        <w:top w:val="none" w:sz="0" w:space="0" w:color="auto"/>
                        <w:left w:val="none" w:sz="0" w:space="0" w:color="auto"/>
                        <w:bottom w:val="none" w:sz="0" w:space="0" w:color="auto"/>
                        <w:right w:val="none" w:sz="0" w:space="0" w:color="auto"/>
                      </w:divBdr>
                    </w:div>
                  </w:divsChild>
                </w:div>
                <w:div w:id="2133017487">
                  <w:marLeft w:val="0"/>
                  <w:marRight w:val="0"/>
                  <w:marTop w:val="0"/>
                  <w:marBottom w:val="0"/>
                  <w:divBdr>
                    <w:top w:val="none" w:sz="0" w:space="0" w:color="auto"/>
                    <w:left w:val="none" w:sz="0" w:space="0" w:color="auto"/>
                    <w:bottom w:val="none" w:sz="0" w:space="0" w:color="auto"/>
                    <w:right w:val="none" w:sz="0" w:space="0" w:color="auto"/>
                  </w:divBdr>
                  <w:divsChild>
                    <w:div w:id="17287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67360">
          <w:marLeft w:val="0"/>
          <w:marRight w:val="0"/>
          <w:marTop w:val="0"/>
          <w:marBottom w:val="0"/>
          <w:divBdr>
            <w:top w:val="none" w:sz="0" w:space="0" w:color="auto"/>
            <w:left w:val="none" w:sz="0" w:space="0" w:color="auto"/>
            <w:bottom w:val="none" w:sz="0" w:space="0" w:color="auto"/>
            <w:right w:val="none" w:sz="0" w:space="0" w:color="auto"/>
          </w:divBdr>
        </w:div>
      </w:divsChild>
    </w:div>
    <w:div w:id="1802456344">
      <w:bodyDiv w:val="1"/>
      <w:marLeft w:val="0"/>
      <w:marRight w:val="0"/>
      <w:marTop w:val="0"/>
      <w:marBottom w:val="0"/>
      <w:divBdr>
        <w:top w:val="none" w:sz="0" w:space="0" w:color="auto"/>
        <w:left w:val="none" w:sz="0" w:space="0" w:color="auto"/>
        <w:bottom w:val="none" w:sz="0" w:space="0" w:color="auto"/>
        <w:right w:val="none" w:sz="0" w:space="0" w:color="auto"/>
      </w:divBdr>
    </w:div>
    <w:div w:id="1870794351">
      <w:bodyDiv w:val="1"/>
      <w:marLeft w:val="0"/>
      <w:marRight w:val="0"/>
      <w:marTop w:val="0"/>
      <w:marBottom w:val="0"/>
      <w:divBdr>
        <w:top w:val="none" w:sz="0" w:space="0" w:color="auto"/>
        <w:left w:val="none" w:sz="0" w:space="0" w:color="auto"/>
        <w:bottom w:val="none" w:sz="0" w:space="0" w:color="auto"/>
        <w:right w:val="none" w:sz="0" w:space="0" w:color="auto"/>
      </w:divBdr>
    </w:div>
    <w:div w:id="208876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 TargetMode="External"/><Relationship Id="rId18" Type="http://schemas.openxmlformats.org/officeDocument/2006/relationships/hyperlink" Target="https://www.myagedcare.gov.au/improving-australias-aged-care-syste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myagedcare.gov.au/aged-care-home-costs-and-fees" TargetMode="External"/><Relationship Id="rId7" Type="http://schemas.openxmlformats.org/officeDocument/2006/relationships/settings" Target="settings.xml"/><Relationship Id="rId12" Type="http://schemas.openxmlformats.org/officeDocument/2006/relationships/hyperlink" Target="https://www.health.gov.au/our-work/residential-aged-care" TargetMode="External"/><Relationship Id="rId17" Type="http://schemas.openxmlformats.org/officeDocument/2006/relationships/hyperlink" Target="https://www.health.gov.au/resources/collections/aged-care-taskforce-resource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our-work/residential-aged-care/charging/fees/scenarios" TargetMode="External"/><Relationship Id="rId20" Type="http://schemas.openxmlformats.org/officeDocument/2006/relationships/hyperlink" Target="https://operational.servicesaustralia.gov.au/public/Pages/separated-parents/277-50070020-01.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webinars/residential-care-fees-and-means-testing-webinar?language=en"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myagedcare.gov.au/how-much-will-i-pay"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ervicesaustralia.gov.au/aged-care-carer-or-close-relative-assessment-for-aged-cost-care?context=2329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using-our-websites/subscriptions/subscribe-to-aged-care-newsletters-and-alerts?language=und" TargetMode="External"/><Relationship Id="rId22" Type="http://schemas.openxmlformats.org/officeDocument/2006/relationships/footer" Target="footer1.xml"/><Relationship Id="rId27"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BE19ECB5-053C-4039-9BDC-B537FAE74844}">
    <t:Anchor>
      <t:Comment id="1119976123"/>
    </t:Anchor>
    <t:History>
      <t:Event id="{974592B1-135D-46F0-A76D-A7AD469F7278}" time="2025-03-17T00:55:57.814Z">
        <t:Attribution userId="S::natalie.bolton@health.gov.au::3d4359e4-65ac-4c79-b8a0-f450c378aae2" userProvider="AD" userName="BOLTON, Natalie"/>
        <t:Anchor>
          <t:Comment id="1119976123"/>
        </t:Anchor>
        <t:Create/>
      </t:Event>
      <t:Event id="{BA1B4671-220D-48A9-9F91-428841D67D18}" time="2025-03-17T00:55:57.814Z">
        <t:Attribution userId="S::natalie.bolton@health.gov.au::3d4359e4-65ac-4c79-b8a0-f450c378aae2" userProvider="AD" userName="BOLTON, Natalie"/>
        <t:Anchor>
          <t:Comment id="1119976123"/>
        </t:Anchor>
        <t:Assign userId="S::Rob.Hurman@health.gov.au::38fc46ba-5e8c-49c6-bbb1-725ce1f4b1ab" userProvider="AD" userName="HURMAN, Rob"/>
      </t:Event>
      <t:Event id="{964E5CBF-3CF9-4861-A23E-5540017888B1}" time="2025-03-17T00:55:57.814Z">
        <t:Attribution userId="S::natalie.bolton@health.gov.au::3d4359e4-65ac-4c79-b8a0-f450c378aae2" userProvider="AD" userName="BOLTON, Natalie"/>
        <t:Anchor>
          <t:Comment id="1119976123"/>
        </t:Anchor>
        <t:SetTitle title="@HURMAN, Rob - hi Rob - for your consideration, because there are a few aspects that are different for the pre July 2014 accommodation class and post July 2014 accommodation class maybe it is worthwhile pivoting on the response a little to just be in …"/>
      </t:Event>
      <t:Event id="{36933A89-44E7-4E06-859B-7451ADE5243A}" time="2025-03-18T01:02:14.035Z">
        <t:Attribution userId="S::priyanka.bhakuni@health.gov.au::622b8de7-7540-4562-9f89-062743218869" userProvider="AD" userName="BHAKUNI, Priyank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5FDB363E318B4F8A5AD345F428F242" ma:contentTypeVersion="4" ma:contentTypeDescription="Create a new document." ma:contentTypeScope="" ma:versionID="8209a7141d69da85ed07d4af78da2c2d">
  <xsd:schema xmlns:xsd="http://www.w3.org/2001/XMLSchema" xmlns:xs="http://www.w3.org/2001/XMLSchema" xmlns:p="http://schemas.microsoft.com/office/2006/metadata/properties" xmlns:ns2="3c16dbf4-50a5-40b7-bf2a-251d06a0ccad" targetNamespace="http://schemas.microsoft.com/office/2006/metadata/properties" ma:root="true" ma:fieldsID="38dc531cb016598fcf2bebb6a91ca7f3" ns2:_="">
    <xsd:import namespace="3c16dbf4-50a5-40b7-bf2a-251d06a0cca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16dbf4-50a5-40b7-bf2a-251d06a0c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D134C-5B31-45C4-9E53-1680810D7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16dbf4-50a5-40b7-bf2a-251d06a0c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1638</Words>
  <Characters>9339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Residential care fees and means testing webinar – Frequently Asked Questions</vt:lpstr>
    </vt:vector>
  </TitlesOfParts>
  <Company/>
  <LinksUpToDate>false</LinksUpToDate>
  <CharactersWithSpaces>10956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Residential care fees and means testing webinar – Frequently Asked Questions</dc:title>
  <dc:subject>Aged Care</dc:subject>
  <dc:creator>Australian Government Department of Health and Aged Care</dc:creator>
  <cp:keywords>Aged Care, Aged Care Reforms</cp:keywords>
  <dc:description/>
  <cp:lastModifiedBy>MASCHKE, Elvia</cp:lastModifiedBy>
  <cp:revision>6</cp:revision>
  <dcterms:created xsi:type="dcterms:W3CDTF">2025-03-19T21:49:00Z</dcterms:created>
  <dcterms:modified xsi:type="dcterms:W3CDTF">2025-03-20T02:30:00Z</dcterms:modified>
</cp:coreProperties>
</file>