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12BAF" w14:textId="3743FF77" w:rsidR="001C5AD1" w:rsidRPr="00FB7AC5" w:rsidRDefault="001C5AD1" w:rsidP="009B2B1B">
      <w:bookmarkStart w:id="0" w:name="_Hlk121324880"/>
      <w:bookmarkEnd w:id="0"/>
    </w:p>
    <w:p w14:paraId="14E5B88F" w14:textId="41DD569A" w:rsidR="001C5AD1" w:rsidRPr="00DA0CC2" w:rsidRDefault="004F5B1C" w:rsidP="00391AF3">
      <w:pPr>
        <w:pStyle w:val="Title"/>
        <w:rPr>
          <w:bCs/>
        </w:rPr>
      </w:pPr>
      <w:r w:rsidRPr="00DA0CC2">
        <w:t xml:space="preserve">Systematic review of evidence on the clinical effectiveness of </w:t>
      </w:r>
      <w:r w:rsidR="00FF5BED" w:rsidRPr="00B1210C">
        <w:t>reflexology</w:t>
      </w:r>
    </w:p>
    <w:p w14:paraId="4BE61393" w14:textId="77777777" w:rsidR="00A25A1E" w:rsidRPr="00DA0CC2" w:rsidRDefault="00A25A1E" w:rsidP="009B2B1B">
      <w:pPr>
        <w:pStyle w:val="Subtitle"/>
      </w:pPr>
    </w:p>
    <w:p w14:paraId="45DC384C" w14:textId="69795653" w:rsidR="001C5AD1" w:rsidRPr="00DA0CC2" w:rsidRDefault="00BB78CE" w:rsidP="009B2B1B">
      <w:pPr>
        <w:pStyle w:val="Subtitle"/>
      </w:pPr>
      <w:r w:rsidRPr="00DA0CC2">
        <w:t xml:space="preserve">Appendix D – </w:t>
      </w:r>
      <w:r w:rsidR="00112944" w:rsidRPr="00DA0CC2">
        <w:t>additional</w:t>
      </w:r>
      <w:r w:rsidRPr="00DA0CC2">
        <w:t xml:space="preserve"> results</w:t>
      </w:r>
      <w:r w:rsidR="008120D8">
        <w:t xml:space="preserve"> and citations for included studies</w:t>
      </w:r>
    </w:p>
    <w:p w14:paraId="2C68997F" w14:textId="77777777" w:rsidR="001C5AD1" w:rsidRPr="00DA0CC2" w:rsidRDefault="001C5AD1" w:rsidP="009B2B1B">
      <w:pPr>
        <w:pStyle w:val="Subtitle"/>
      </w:pPr>
    </w:p>
    <w:p w14:paraId="43D56777" w14:textId="377335AF" w:rsidR="001C5AD1" w:rsidRPr="00DA0CC2" w:rsidRDefault="001B523A" w:rsidP="00CF135A">
      <w:pPr>
        <w:pStyle w:val="Subtitle"/>
        <w:sectPr w:rsidR="001C5AD1" w:rsidRPr="00DA0CC2" w:rsidSect="006F1F3C">
          <w:headerReference w:type="default" r:id="rId11"/>
          <w:footerReference w:type="default" r:id="rId12"/>
          <w:pgSz w:w="11900" w:h="16840"/>
          <w:pgMar w:top="1440" w:right="1440" w:bottom="1440" w:left="1440" w:header="708" w:footer="708" w:gutter="0"/>
          <w:cols w:space="708"/>
          <w:docGrid w:linePitch="360"/>
        </w:sectPr>
      </w:pPr>
      <w:r>
        <w:t>14</w:t>
      </w:r>
      <w:r w:rsidR="00FF5BED">
        <w:t xml:space="preserve"> </w:t>
      </w:r>
      <w:r>
        <w:t>November</w:t>
      </w:r>
      <w:r w:rsidR="00BB78CE" w:rsidRPr="00DA0CC2">
        <w:t xml:space="preserve"> </w:t>
      </w:r>
      <w:r w:rsidR="0029188C" w:rsidRPr="00DA0CC2">
        <w:t>202</w:t>
      </w:r>
      <w:r w:rsidR="0029188C">
        <w:t>4</w:t>
      </w:r>
      <w:r w:rsidR="0029188C" w:rsidRPr="00DA0CC2">
        <w:t xml:space="preserve"> </w:t>
      </w:r>
    </w:p>
    <w:p w14:paraId="6CEF2143" w14:textId="2A9CF526" w:rsidR="002F2770" w:rsidRPr="00DA0CC2" w:rsidRDefault="002F2770" w:rsidP="009B2B1B">
      <w:pPr>
        <w:pStyle w:val="GridTable31"/>
      </w:pPr>
      <w:r w:rsidRPr="00DA0CC2">
        <w:lastRenderedPageBreak/>
        <w:t>Contents</w:t>
      </w:r>
    </w:p>
    <w:p w14:paraId="7B27ABA3" w14:textId="7C24EC6F" w:rsidR="0051183C" w:rsidRDefault="002F2770">
      <w:pPr>
        <w:pStyle w:val="TOC1"/>
        <w:rPr>
          <w:rFonts w:asciiTheme="minorHAnsi" w:eastAsiaTheme="minorEastAsia" w:hAnsiTheme="minorHAnsi" w:cstheme="minorBidi"/>
          <w:b w:val="0"/>
          <w:color w:val="auto"/>
          <w:sz w:val="22"/>
          <w:szCs w:val="22"/>
          <w:lang w:val="en-AU" w:eastAsia="en-AU"/>
        </w:rPr>
      </w:pPr>
      <w:r w:rsidRPr="00DA0CC2">
        <w:fldChar w:fldCharType="begin"/>
      </w:r>
      <w:r w:rsidRPr="00DA0CC2">
        <w:instrText xml:space="preserve"> TOC \o "1-3" \h \z \u </w:instrText>
      </w:r>
      <w:r w:rsidRPr="00DA0CC2">
        <w:fldChar w:fldCharType="separate"/>
      </w:r>
      <w:hyperlink w:anchor="_Toc171044308" w:history="1">
        <w:r w:rsidR="0051183C" w:rsidRPr="00FB6441">
          <w:rPr>
            <w:rStyle w:val="Hyperlink"/>
          </w:rPr>
          <w:t>Additional results</w:t>
        </w:r>
        <w:r w:rsidR="0051183C">
          <w:rPr>
            <w:webHidden/>
          </w:rPr>
          <w:tab/>
        </w:r>
        <w:r w:rsidR="0051183C">
          <w:rPr>
            <w:webHidden/>
          </w:rPr>
          <w:fldChar w:fldCharType="begin"/>
        </w:r>
        <w:r w:rsidR="0051183C">
          <w:rPr>
            <w:webHidden/>
          </w:rPr>
          <w:instrText xml:space="preserve"> PAGEREF _Toc171044308 \h </w:instrText>
        </w:r>
        <w:r w:rsidR="0051183C">
          <w:rPr>
            <w:webHidden/>
          </w:rPr>
        </w:r>
        <w:r w:rsidR="0051183C">
          <w:rPr>
            <w:webHidden/>
          </w:rPr>
          <w:fldChar w:fldCharType="separate"/>
        </w:r>
        <w:r w:rsidR="00D538E2">
          <w:rPr>
            <w:webHidden/>
          </w:rPr>
          <w:t>3</w:t>
        </w:r>
        <w:r w:rsidR="0051183C">
          <w:rPr>
            <w:webHidden/>
          </w:rPr>
          <w:fldChar w:fldCharType="end"/>
        </w:r>
      </w:hyperlink>
    </w:p>
    <w:p w14:paraId="3BF087EC" w14:textId="0800284E" w:rsidR="0051183C" w:rsidRDefault="0051183C">
      <w:pPr>
        <w:pStyle w:val="TOC3"/>
        <w:rPr>
          <w:rFonts w:asciiTheme="minorHAnsi" w:eastAsiaTheme="minorEastAsia" w:hAnsiTheme="minorHAnsi" w:cstheme="minorBidi"/>
          <w:noProof/>
          <w:sz w:val="22"/>
          <w:lang w:val="en-AU" w:eastAsia="en-AU"/>
        </w:rPr>
      </w:pPr>
      <w:hyperlink w:anchor="_Toc171044309" w:history="1">
        <w:r w:rsidRPr="00FB6441">
          <w:rPr>
            <w:rStyle w:val="Hyperlink"/>
            <w:noProof/>
          </w:rPr>
          <w:t>Study characteristics</w:t>
        </w:r>
        <w:r>
          <w:rPr>
            <w:noProof/>
            <w:webHidden/>
          </w:rPr>
          <w:tab/>
        </w:r>
        <w:r>
          <w:rPr>
            <w:noProof/>
            <w:webHidden/>
          </w:rPr>
          <w:fldChar w:fldCharType="begin"/>
        </w:r>
        <w:r>
          <w:rPr>
            <w:noProof/>
            <w:webHidden/>
          </w:rPr>
          <w:instrText xml:space="preserve"> PAGEREF _Toc171044309 \h </w:instrText>
        </w:r>
        <w:r>
          <w:rPr>
            <w:noProof/>
            <w:webHidden/>
          </w:rPr>
        </w:r>
        <w:r>
          <w:rPr>
            <w:noProof/>
            <w:webHidden/>
          </w:rPr>
          <w:fldChar w:fldCharType="separate"/>
        </w:r>
        <w:r w:rsidR="00D538E2">
          <w:rPr>
            <w:noProof/>
            <w:webHidden/>
          </w:rPr>
          <w:t>3</w:t>
        </w:r>
        <w:r>
          <w:rPr>
            <w:noProof/>
            <w:webHidden/>
          </w:rPr>
          <w:fldChar w:fldCharType="end"/>
        </w:r>
      </w:hyperlink>
    </w:p>
    <w:p w14:paraId="159B3E61" w14:textId="189CAF04" w:rsidR="0051183C" w:rsidRDefault="0051183C">
      <w:pPr>
        <w:pStyle w:val="TOC3"/>
        <w:rPr>
          <w:rFonts w:asciiTheme="minorHAnsi" w:eastAsiaTheme="minorEastAsia" w:hAnsiTheme="minorHAnsi" w:cstheme="minorBidi"/>
          <w:noProof/>
          <w:sz w:val="22"/>
          <w:lang w:val="en-AU" w:eastAsia="en-AU"/>
        </w:rPr>
      </w:pPr>
      <w:hyperlink w:anchor="_Toc171044310" w:history="1">
        <w:r w:rsidRPr="00FB6441">
          <w:rPr>
            <w:rStyle w:val="Hyperlink"/>
            <w:noProof/>
          </w:rPr>
          <w:t>Risk of bias assessments</w:t>
        </w:r>
        <w:r>
          <w:rPr>
            <w:noProof/>
            <w:webHidden/>
          </w:rPr>
          <w:tab/>
        </w:r>
        <w:r>
          <w:rPr>
            <w:noProof/>
            <w:webHidden/>
          </w:rPr>
          <w:fldChar w:fldCharType="begin"/>
        </w:r>
        <w:r>
          <w:rPr>
            <w:noProof/>
            <w:webHidden/>
          </w:rPr>
          <w:instrText xml:space="preserve"> PAGEREF _Toc171044310 \h </w:instrText>
        </w:r>
        <w:r>
          <w:rPr>
            <w:noProof/>
            <w:webHidden/>
          </w:rPr>
        </w:r>
        <w:r>
          <w:rPr>
            <w:noProof/>
            <w:webHidden/>
          </w:rPr>
          <w:fldChar w:fldCharType="separate"/>
        </w:r>
        <w:r w:rsidR="00D538E2">
          <w:rPr>
            <w:noProof/>
            <w:webHidden/>
          </w:rPr>
          <w:t>3</w:t>
        </w:r>
        <w:r>
          <w:rPr>
            <w:noProof/>
            <w:webHidden/>
          </w:rPr>
          <w:fldChar w:fldCharType="end"/>
        </w:r>
      </w:hyperlink>
    </w:p>
    <w:p w14:paraId="7FB4DA50" w14:textId="3CC6212B" w:rsidR="0051183C" w:rsidRDefault="0051183C">
      <w:pPr>
        <w:pStyle w:val="TOC2"/>
        <w:rPr>
          <w:rFonts w:asciiTheme="minorHAnsi" w:eastAsiaTheme="minorEastAsia" w:hAnsiTheme="minorHAnsi" w:cstheme="minorBidi"/>
          <w:color w:val="auto"/>
          <w:sz w:val="22"/>
          <w:szCs w:val="22"/>
          <w:lang w:val="en-AU" w:eastAsia="en-AU"/>
        </w:rPr>
      </w:pPr>
      <w:hyperlink w:anchor="_Toc171044311" w:history="1">
        <w:r w:rsidRPr="00FB6441">
          <w:rPr>
            <w:rStyle w:val="Hyperlink"/>
          </w:rPr>
          <w:t>D1 Pain</w:t>
        </w:r>
        <w:r>
          <w:rPr>
            <w:webHidden/>
          </w:rPr>
          <w:tab/>
        </w:r>
        <w:r>
          <w:rPr>
            <w:webHidden/>
          </w:rPr>
          <w:fldChar w:fldCharType="begin"/>
        </w:r>
        <w:r>
          <w:rPr>
            <w:webHidden/>
          </w:rPr>
          <w:instrText xml:space="preserve"> PAGEREF _Toc171044311 \h </w:instrText>
        </w:r>
        <w:r>
          <w:rPr>
            <w:webHidden/>
          </w:rPr>
        </w:r>
        <w:r>
          <w:rPr>
            <w:webHidden/>
          </w:rPr>
          <w:fldChar w:fldCharType="separate"/>
        </w:r>
        <w:r w:rsidR="00D538E2">
          <w:rPr>
            <w:webHidden/>
          </w:rPr>
          <w:t>3</w:t>
        </w:r>
        <w:r>
          <w:rPr>
            <w:webHidden/>
          </w:rPr>
          <w:fldChar w:fldCharType="end"/>
        </w:r>
      </w:hyperlink>
    </w:p>
    <w:p w14:paraId="58282F6A" w14:textId="1B6A4E8D" w:rsidR="0051183C" w:rsidRDefault="0051183C">
      <w:pPr>
        <w:pStyle w:val="TOC2"/>
        <w:rPr>
          <w:rFonts w:asciiTheme="minorHAnsi" w:eastAsiaTheme="minorEastAsia" w:hAnsiTheme="minorHAnsi" w:cstheme="minorBidi"/>
          <w:color w:val="auto"/>
          <w:sz w:val="22"/>
          <w:szCs w:val="22"/>
          <w:lang w:val="en-AU" w:eastAsia="en-AU"/>
        </w:rPr>
      </w:pPr>
      <w:hyperlink w:anchor="_Toc171044312" w:history="1">
        <w:r w:rsidRPr="00FB6441">
          <w:rPr>
            <w:rStyle w:val="Hyperlink"/>
          </w:rPr>
          <w:t>D2 Sleep</w:t>
        </w:r>
        <w:r>
          <w:rPr>
            <w:webHidden/>
          </w:rPr>
          <w:tab/>
        </w:r>
        <w:r>
          <w:rPr>
            <w:webHidden/>
          </w:rPr>
          <w:fldChar w:fldCharType="begin"/>
        </w:r>
        <w:r>
          <w:rPr>
            <w:webHidden/>
          </w:rPr>
          <w:instrText xml:space="preserve"> PAGEREF _Toc171044312 \h </w:instrText>
        </w:r>
        <w:r>
          <w:rPr>
            <w:webHidden/>
          </w:rPr>
        </w:r>
        <w:r>
          <w:rPr>
            <w:webHidden/>
          </w:rPr>
          <w:fldChar w:fldCharType="separate"/>
        </w:r>
        <w:r w:rsidR="00D538E2">
          <w:rPr>
            <w:webHidden/>
          </w:rPr>
          <w:t>5</w:t>
        </w:r>
        <w:r>
          <w:rPr>
            <w:webHidden/>
          </w:rPr>
          <w:fldChar w:fldCharType="end"/>
        </w:r>
      </w:hyperlink>
    </w:p>
    <w:p w14:paraId="18AFD532" w14:textId="798A2113" w:rsidR="0051183C" w:rsidRDefault="0051183C">
      <w:pPr>
        <w:pStyle w:val="TOC2"/>
        <w:rPr>
          <w:rFonts w:asciiTheme="minorHAnsi" w:eastAsiaTheme="minorEastAsia" w:hAnsiTheme="minorHAnsi" w:cstheme="minorBidi"/>
          <w:color w:val="auto"/>
          <w:sz w:val="22"/>
          <w:szCs w:val="22"/>
          <w:lang w:val="en-AU" w:eastAsia="en-AU"/>
        </w:rPr>
      </w:pPr>
      <w:hyperlink w:anchor="_Toc171044313" w:history="1">
        <w:r w:rsidRPr="00FB6441">
          <w:rPr>
            <w:rStyle w:val="Hyperlink"/>
          </w:rPr>
          <w:t>D3 Fatigue</w:t>
        </w:r>
        <w:r>
          <w:rPr>
            <w:webHidden/>
          </w:rPr>
          <w:tab/>
        </w:r>
        <w:r>
          <w:rPr>
            <w:webHidden/>
          </w:rPr>
          <w:fldChar w:fldCharType="begin"/>
        </w:r>
        <w:r>
          <w:rPr>
            <w:webHidden/>
          </w:rPr>
          <w:instrText xml:space="preserve"> PAGEREF _Toc171044313 \h </w:instrText>
        </w:r>
        <w:r>
          <w:rPr>
            <w:webHidden/>
          </w:rPr>
        </w:r>
        <w:r>
          <w:rPr>
            <w:webHidden/>
          </w:rPr>
          <w:fldChar w:fldCharType="separate"/>
        </w:r>
        <w:r w:rsidR="00D538E2">
          <w:rPr>
            <w:webHidden/>
          </w:rPr>
          <w:t>6</w:t>
        </w:r>
        <w:r>
          <w:rPr>
            <w:webHidden/>
          </w:rPr>
          <w:fldChar w:fldCharType="end"/>
        </w:r>
      </w:hyperlink>
    </w:p>
    <w:p w14:paraId="2C9290EB" w14:textId="09CE8A93" w:rsidR="0051183C" w:rsidRDefault="0051183C">
      <w:pPr>
        <w:pStyle w:val="TOC2"/>
        <w:rPr>
          <w:rFonts w:asciiTheme="minorHAnsi" w:eastAsiaTheme="minorEastAsia" w:hAnsiTheme="minorHAnsi" w:cstheme="minorBidi"/>
          <w:color w:val="auto"/>
          <w:sz w:val="22"/>
          <w:szCs w:val="22"/>
          <w:lang w:val="en-AU" w:eastAsia="en-AU"/>
        </w:rPr>
      </w:pPr>
      <w:hyperlink w:anchor="_Toc171044314" w:history="1">
        <w:r w:rsidRPr="00FB6441">
          <w:rPr>
            <w:rStyle w:val="Hyperlink"/>
          </w:rPr>
          <w:t>D4 Emotional functioning and mental health</w:t>
        </w:r>
        <w:r>
          <w:rPr>
            <w:webHidden/>
          </w:rPr>
          <w:tab/>
        </w:r>
        <w:r>
          <w:rPr>
            <w:webHidden/>
          </w:rPr>
          <w:fldChar w:fldCharType="begin"/>
        </w:r>
        <w:r>
          <w:rPr>
            <w:webHidden/>
          </w:rPr>
          <w:instrText xml:space="preserve"> PAGEREF _Toc171044314 \h </w:instrText>
        </w:r>
        <w:r>
          <w:rPr>
            <w:webHidden/>
          </w:rPr>
        </w:r>
        <w:r>
          <w:rPr>
            <w:webHidden/>
          </w:rPr>
          <w:fldChar w:fldCharType="separate"/>
        </w:r>
        <w:r w:rsidR="00D538E2">
          <w:rPr>
            <w:webHidden/>
          </w:rPr>
          <w:t>8</w:t>
        </w:r>
        <w:r>
          <w:rPr>
            <w:webHidden/>
          </w:rPr>
          <w:fldChar w:fldCharType="end"/>
        </w:r>
      </w:hyperlink>
    </w:p>
    <w:p w14:paraId="0DCE523A" w14:textId="00051C2A" w:rsidR="0051183C" w:rsidRDefault="0051183C">
      <w:pPr>
        <w:pStyle w:val="TOC2"/>
        <w:rPr>
          <w:rFonts w:asciiTheme="minorHAnsi" w:eastAsiaTheme="minorEastAsia" w:hAnsiTheme="minorHAnsi" w:cstheme="minorBidi"/>
          <w:color w:val="auto"/>
          <w:sz w:val="22"/>
          <w:szCs w:val="22"/>
          <w:lang w:val="en-AU" w:eastAsia="en-AU"/>
        </w:rPr>
      </w:pPr>
      <w:hyperlink w:anchor="_Toc171044315" w:history="1">
        <w:r w:rsidRPr="00FB6441">
          <w:rPr>
            <w:rStyle w:val="Hyperlink"/>
          </w:rPr>
          <w:t>D5 Health-related quality of life (HR-QoL)</w:t>
        </w:r>
        <w:r>
          <w:rPr>
            <w:webHidden/>
          </w:rPr>
          <w:tab/>
        </w:r>
        <w:r>
          <w:rPr>
            <w:webHidden/>
          </w:rPr>
          <w:fldChar w:fldCharType="begin"/>
        </w:r>
        <w:r>
          <w:rPr>
            <w:webHidden/>
          </w:rPr>
          <w:instrText xml:space="preserve"> PAGEREF _Toc171044315 \h </w:instrText>
        </w:r>
        <w:r>
          <w:rPr>
            <w:webHidden/>
          </w:rPr>
        </w:r>
        <w:r>
          <w:rPr>
            <w:webHidden/>
          </w:rPr>
          <w:fldChar w:fldCharType="separate"/>
        </w:r>
        <w:r w:rsidR="00D538E2">
          <w:rPr>
            <w:webHidden/>
          </w:rPr>
          <w:t>10</w:t>
        </w:r>
        <w:r>
          <w:rPr>
            <w:webHidden/>
          </w:rPr>
          <w:fldChar w:fldCharType="end"/>
        </w:r>
      </w:hyperlink>
    </w:p>
    <w:p w14:paraId="3F354028" w14:textId="68539EB6" w:rsidR="0051183C" w:rsidRDefault="0051183C">
      <w:pPr>
        <w:pStyle w:val="TOC2"/>
        <w:rPr>
          <w:rFonts w:asciiTheme="minorHAnsi" w:eastAsiaTheme="minorEastAsia" w:hAnsiTheme="minorHAnsi" w:cstheme="minorBidi"/>
          <w:color w:val="auto"/>
          <w:sz w:val="22"/>
          <w:szCs w:val="22"/>
          <w:lang w:val="en-AU" w:eastAsia="en-AU"/>
        </w:rPr>
      </w:pPr>
      <w:hyperlink w:anchor="_Toc171044316" w:history="1">
        <w:r w:rsidRPr="00FB6441">
          <w:rPr>
            <w:rStyle w:val="Hyperlink"/>
          </w:rPr>
          <w:t>D6 Physical function</w:t>
        </w:r>
        <w:r>
          <w:rPr>
            <w:webHidden/>
          </w:rPr>
          <w:tab/>
        </w:r>
        <w:r>
          <w:rPr>
            <w:webHidden/>
          </w:rPr>
          <w:fldChar w:fldCharType="begin"/>
        </w:r>
        <w:r>
          <w:rPr>
            <w:webHidden/>
          </w:rPr>
          <w:instrText xml:space="preserve"> PAGEREF _Toc171044316 \h </w:instrText>
        </w:r>
        <w:r>
          <w:rPr>
            <w:webHidden/>
          </w:rPr>
        </w:r>
        <w:r>
          <w:rPr>
            <w:webHidden/>
          </w:rPr>
          <w:fldChar w:fldCharType="separate"/>
        </w:r>
        <w:r w:rsidR="00D538E2">
          <w:rPr>
            <w:webHidden/>
          </w:rPr>
          <w:t>12</w:t>
        </w:r>
        <w:r>
          <w:rPr>
            <w:webHidden/>
          </w:rPr>
          <w:fldChar w:fldCharType="end"/>
        </w:r>
      </w:hyperlink>
    </w:p>
    <w:p w14:paraId="78EB0423" w14:textId="19E9B0C3" w:rsidR="0051183C" w:rsidRDefault="0051183C">
      <w:pPr>
        <w:pStyle w:val="TOC2"/>
        <w:rPr>
          <w:rFonts w:asciiTheme="minorHAnsi" w:eastAsiaTheme="minorEastAsia" w:hAnsiTheme="minorHAnsi" w:cstheme="minorBidi"/>
          <w:color w:val="auto"/>
          <w:sz w:val="22"/>
          <w:szCs w:val="22"/>
          <w:lang w:val="en-AU" w:eastAsia="en-AU"/>
        </w:rPr>
      </w:pPr>
      <w:hyperlink w:anchor="_Toc171044317" w:history="1">
        <w:r w:rsidRPr="00FB6441">
          <w:rPr>
            <w:rStyle w:val="Hyperlink"/>
          </w:rPr>
          <w:t>D7 Global symptoms</w:t>
        </w:r>
        <w:r>
          <w:rPr>
            <w:webHidden/>
          </w:rPr>
          <w:tab/>
        </w:r>
        <w:r>
          <w:rPr>
            <w:webHidden/>
          </w:rPr>
          <w:fldChar w:fldCharType="begin"/>
        </w:r>
        <w:r>
          <w:rPr>
            <w:webHidden/>
          </w:rPr>
          <w:instrText xml:space="preserve"> PAGEREF _Toc171044317 \h </w:instrText>
        </w:r>
        <w:r>
          <w:rPr>
            <w:webHidden/>
          </w:rPr>
        </w:r>
        <w:r>
          <w:rPr>
            <w:webHidden/>
          </w:rPr>
          <w:fldChar w:fldCharType="separate"/>
        </w:r>
        <w:r w:rsidR="00D538E2">
          <w:rPr>
            <w:webHidden/>
          </w:rPr>
          <w:t>14</w:t>
        </w:r>
        <w:r>
          <w:rPr>
            <w:webHidden/>
          </w:rPr>
          <w:fldChar w:fldCharType="end"/>
        </w:r>
      </w:hyperlink>
    </w:p>
    <w:p w14:paraId="6B0AA919" w14:textId="070292DD" w:rsidR="0051183C" w:rsidRDefault="0051183C">
      <w:pPr>
        <w:pStyle w:val="TOC2"/>
        <w:rPr>
          <w:rFonts w:asciiTheme="minorHAnsi" w:eastAsiaTheme="minorEastAsia" w:hAnsiTheme="minorHAnsi" w:cstheme="minorBidi"/>
          <w:color w:val="auto"/>
          <w:sz w:val="22"/>
          <w:szCs w:val="22"/>
          <w:lang w:val="en-AU" w:eastAsia="en-AU"/>
        </w:rPr>
      </w:pPr>
      <w:hyperlink w:anchor="_Toc171044318" w:history="1">
        <w:r w:rsidRPr="00FB6441">
          <w:rPr>
            <w:rStyle w:val="Hyperlink"/>
          </w:rPr>
          <w:t>D8 References to included studies</w:t>
        </w:r>
        <w:r>
          <w:rPr>
            <w:webHidden/>
          </w:rPr>
          <w:tab/>
        </w:r>
        <w:r>
          <w:rPr>
            <w:webHidden/>
          </w:rPr>
          <w:fldChar w:fldCharType="begin"/>
        </w:r>
        <w:r>
          <w:rPr>
            <w:webHidden/>
          </w:rPr>
          <w:instrText xml:space="preserve"> PAGEREF _Toc171044318 \h </w:instrText>
        </w:r>
        <w:r>
          <w:rPr>
            <w:webHidden/>
          </w:rPr>
        </w:r>
        <w:r>
          <w:rPr>
            <w:webHidden/>
          </w:rPr>
          <w:fldChar w:fldCharType="separate"/>
        </w:r>
        <w:r w:rsidR="00D538E2">
          <w:rPr>
            <w:webHidden/>
          </w:rPr>
          <w:t>17</w:t>
        </w:r>
        <w:r>
          <w:rPr>
            <w:webHidden/>
          </w:rPr>
          <w:fldChar w:fldCharType="end"/>
        </w:r>
      </w:hyperlink>
    </w:p>
    <w:p w14:paraId="56055FFF" w14:textId="37FCDFEF" w:rsidR="002F2770" w:rsidRPr="00DA0CC2" w:rsidRDefault="002F2770" w:rsidP="009B2B1B">
      <w:r w:rsidRPr="00DA0CC2">
        <w:rPr>
          <w:noProof/>
        </w:rPr>
        <w:fldChar w:fldCharType="end"/>
      </w:r>
    </w:p>
    <w:p w14:paraId="3B16E340" w14:textId="79FBC33D" w:rsidR="00831FF8" w:rsidRPr="00DA0CC2" w:rsidRDefault="0007613D" w:rsidP="00BB78CE">
      <w:r w:rsidRPr="00DA0CC2">
        <w:br w:type="page"/>
      </w:r>
    </w:p>
    <w:p w14:paraId="7818EEAE" w14:textId="77777777" w:rsidR="00E2509F" w:rsidRPr="00DA0CC2" w:rsidRDefault="00E2509F" w:rsidP="009B2B1B">
      <w:pPr>
        <w:pStyle w:val="BodyText"/>
        <w:sectPr w:rsidR="00E2509F" w:rsidRPr="00DA0CC2" w:rsidSect="006F1F3C">
          <w:headerReference w:type="default" r:id="rId13"/>
          <w:footerReference w:type="default" r:id="rId14"/>
          <w:pgSz w:w="11906" w:h="16838" w:code="9"/>
          <w:pgMar w:top="1134" w:right="1440" w:bottom="1440" w:left="1134" w:header="680" w:footer="624" w:gutter="0"/>
          <w:cols w:space="708"/>
          <w:docGrid w:linePitch="360"/>
        </w:sectPr>
      </w:pPr>
    </w:p>
    <w:p w14:paraId="18037369" w14:textId="55C2941A" w:rsidR="008E3DAB" w:rsidRPr="00DA0CC2" w:rsidRDefault="005E59E7" w:rsidP="008E3DAB">
      <w:pPr>
        <w:pStyle w:val="Heading1"/>
      </w:pPr>
      <w:bookmarkStart w:id="1" w:name="_Toc171044308"/>
      <w:bookmarkStart w:id="2" w:name="_Toc409021486"/>
      <w:r w:rsidRPr="00DA0CC2">
        <w:lastRenderedPageBreak/>
        <w:t>Additional r</w:t>
      </w:r>
      <w:r w:rsidR="008E3DAB" w:rsidRPr="00DA0CC2">
        <w:t>esults</w:t>
      </w:r>
      <w:bookmarkEnd w:id="1"/>
    </w:p>
    <w:p w14:paraId="5C90333C" w14:textId="4ADA9946" w:rsidR="00E11286" w:rsidRPr="00DA0CC2" w:rsidRDefault="00E11286" w:rsidP="00E11286">
      <w:pPr>
        <w:pStyle w:val="Heading3"/>
      </w:pPr>
      <w:bookmarkStart w:id="3" w:name="_Toc171044309"/>
      <w:r w:rsidRPr="00DA0CC2">
        <w:t>Study characteristics</w:t>
      </w:r>
      <w:bookmarkEnd w:id="3"/>
    </w:p>
    <w:p w14:paraId="68AF11FF" w14:textId="1C834297" w:rsidR="00A0095A" w:rsidRPr="00DA0CC2" w:rsidRDefault="00A0095A" w:rsidP="00F40D78">
      <w:r w:rsidRPr="00DA0CC2">
        <w:t xml:space="preserve">Study characteristics (including eligible and included participants, and the interventions evaluated) and the outcomes measured and selected from each study for inclusion in the meta-analysis are reported in Appendix </w:t>
      </w:r>
      <w:r w:rsidR="00E11286" w:rsidRPr="00DA0CC2">
        <w:t>E1</w:t>
      </w:r>
      <w:r w:rsidRPr="00DA0CC2">
        <w:t xml:space="preserve">. </w:t>
      </w:r>
      <w:r w:rsidR="00E11286" w:rsidRPr="00DA0CC2">
        <w:t>Details of funding, ethics approval and any other declarations of interest for each study</w:t>
      </w:r>
      <w:r w:rsidR="009F63B7" w:rsidRPr="00DA0CC2">
        <w:t xml:space="preserve"> are</w:t>
      </w:r>
      <w:r w:rsidR="00E11286" w:rsidRPr="00DA0CC2">
        <w:t xml:space="preserve"> in Appendix E2. </w:t>
      </w:r>
    </w:p>
    <w:p w14:paraId="1919C738" w14:textId="1B255C71" w:rsidR="00E11286" w:rsidRPr="00DA0CC2" w:rsidRDefault="00E11286" w:rsidP="00E11286">
      <w:pPr>
        <w:pStyle w:val="Heading3"/>
      </w:pPr>
      <w:bookmarkStart w:id="4" w:name="_Toc171044310"/>
      <w:r w:rsidRPr="00DA0CC2">
        <w:t>Risk of bias assessments</w:t>
      </w:r>
      <w:bookmarkEnd w:id="4"/>
    </w:p>
    <w:p w14:paraId="57162B0B" w14:textId="69B28FA9" w:rsidR="00F40D78" w:rsidRPr="00DA0CC2" w:rsidRDefault="00A0095A" w:rsidP="00F40D78">
      <w:r w:rsidRPr="00DA0CC2">
        <w:t xml:space="preserve">The overall risk of bias rating for each study included for meta-analysis is reported in the forest plots (main report). The complete risk of bias assessment for each study is reported in Appendix </w:t>
      </w:r>
      <w:r w:rsidR="00E11286" w:rsidRPr="00DA0CC2">
        <w:t>F</w:t>
      </w:r>
      <w:r w:rsidRPr="00DA0CC2">
        <w:t xml:space="preserve">. Assessments are grouped by study design (parallel-randomised trials, crossover trials, and cluster-randomised trials), then ordered alphabetically </w:t>
      </w:r>
      <w:r w:rsidR="00E11286" w:rsidRPr="00DA0CC2">
        <w:t xml:space="preserve">within each design </w:t>
      </w:r>
      <w:r w:rsidRPr="00DA0CC2">
        <w:t>by study ID.  For each study, a separate risk of bias assessment was made for all comparisons and outcomes contributing to meta-analysis. If the assessment was the same for different comparisons/outcomes, only one assessment is reported</w:t>
      </w:r>
      <w:r w:rsidR="00E11286" w:rsidRPr="00DA0CC2">
        <w:t xml:space="preserve"> (See Appendix F for details)</w:t>
      </w:r>
      <w:r w:rsidRPr="00DA0CC2">
        <w:t>.</w:t>
      </w:r>
    </w:p>
    <w:p w14:paraId="4B20F12E" w14:textId="5C20B43F" w:rsidR="00B767BE" w:rsidRPr="00DA0CC2" w:rsidRDefault="0029188C" w:rsidP="00B767BE">
      <w:pPr>
        <w:pStyle w:val="Heading2"/>
      </w:pPr>
      <w:bookmarkStart w:id="5" w:name="_Toc171044311"/>
      <w:r>
        <w:t>D</w:t>
      </w:r>
      <w:r w:rsidR="0091652B" w:rsidRPr="00DA0CC2">
        <w:t>1</w:t>
      </w:r>
      <w:r w:rsidR="00B767BE" w:rsidRPr="00DA0CC2">
        <w:t xml:space="preserve"> Pain</w:t>
      </w:r>
      <w:bookmarkEnd w:id="5"/>
    </w:p>
    <w:p w14:paraId="75AF3E3B" w14:textId="77777777" w:rsidR="00ED4022" w:rsidRPr="00DA0CC2" w:rsidRDefault="00ED4022" w:rsidP="00ED4022">
      <w:r w:rsidRPr="00DA0CC2">
        <w:t>Results presented in this section are for the subgroup analys</w:t>
      </w:r>
      <w:r>
        <w:t>i</w:t>
      </w:r>
      <w:r w:rsidRPr="00DA0CC2">
        <w:t>s</w:t>
      </w:r>
      <w:r>
        <w:t>,</w:t>
      </w:r>
      <w:r w:rsidRPr="00DA0CC2">
        <w:t xml:space="preserve"> sensitivity analys</w:t>
      </w:r>
      <w:r>
        <w:t>i</w:t>
      </w:r>
      <w:r w:rsidRPr="00DA0CC2">
        <w:t xml:space="preserve">s, and analyses to examine the risk </w:t>
      </w:r>
      <w:r>
        <w:t xml:space="preserve">of </w:t>
      </w:r>
      <w:r w:rsidRPr="00DA0CC2">
        <w:t xml:space="preserve">bias due to missing results.  </w:t>
      </w:r>
    </w:p>
    <w:p w14:paraId="5EF35578" w14:textId="19ABBA16" w:rsidR="00ED4022" w:rsidRPr="00DA0CC2" w:rsidRDefault="00ED4022" w:rsidP="00ED4022">
      <w:r w:rsidRPr="00DA0CC2">
        <w:t xml:space="preserve">For the outcome </w:t>
      </w:r>
      <w:r>
        <w:t>pain</w:t>
      </w:r>
      <w:r w:rsidRPr="00DA0CC2">
        <w:t xml:space="preserve">, </w:t>
      </w:r>
      <w:r w:rsidRPr="005E6BEE">
        <w:t>46</w:t>
      </w:r>
      <w:r w:rsidRPr="00DA0CC2">
        <w:t xml:space="preserve"> studies were included in the meta-analysis </w:t>
      </w:r>
      <w:r>
        <w:t>that</w:t>
      </w:r>
      <w:r w:rsidRPr="00DA0CC2">
        <w:t xml:space="preserve"> compared </w:t>
      </w:r>
      <w:r w:rsidRPr="005E6BEE">
        <w:t>reflexology</w:t>
      </w:r>
      <w:r w:rsidRPr="00DA0CC2">
        <w:t xml:space="preserve"> to an </w:t>
      </w:r>
      <w:r w:rsidRPr="00A03245">
        <w:t>inactive control (usual care, no intervention, sham, co-intervention given in both groups)</w:t>
      </w:r>
      <w:r w:rsidRPr="00DA0CC2">
        <w:t>.</w:t>
      </w:r>
    </w:p>
    <w:p w14:paraId="3822B622" w14:textId="77777777" w:rsidR="00ED4022" w:rsidRPr="00DA0CC2" w:rsidRDefault="00ED4022" w:rsidP="00ED4022">
      <w:pPr>
        <w:pStyle w:val="Heading4"/>
      </w:pPr>
      <w:r w:rsidRPr="00DA0CC2">
        <w:t>Results of subgroup analys</w:t>
      </w:r>
      <w:r>
        <w:t>i</w:t>
      </w:r>
      <w:r w:rsidRPr="00DA0CC2">
        <w:t>s</w:t>
      </w:r>
      <w:r>
        <w:t xml:space="preserve"> by population group</w:t>
      </w:r>
    </w:p>
    <w:p w14:paraId="1DCE2821" w14:textId="370C360F" w:rsidR="00CD603F" w:rsidRPr="00DA0CC2" w:rsidRDefault="00CD603F" w:rsidP="00CD603F">
      <w:r>
        <w:t>A</w:t>
      </w:r>
      <w:r w:rsidRPr="00DA0CC2">
        <w:t xml:space="preserve"> subgroup analys</w:t>
      </w:r>
      <w:r>
        <w:t>i</w:t>
      </w:r>
      <w:r w:rsidRPr="00DA0CC2">
        <w:t>s w</w:t>
      </w:r>
      <w:r>
        <w:t>as</w:t>
      </w:r>
      <w:r w:rsidRPr="00DA0CC2">
        <w:t xml:space="preserve"> performed to investigate whether </w:t>
      </w:r>
      <w:r>
        <w:t>there were difference</w:t>
      </w:r>
      <w:r w:rsidR="00722E9C">
        <w:t>s</w:t>
      </w:r>
      <w:r>
        <w:t xml:space="preserve"> in the effects between population groups (i.</w:t>
      </w:r>
      <w:r w:rsidRPr="005E6BEE">
        <w:t xml:space="preserve">e. </w:t>
      </w:r>
      <w:r w:rsidR="005E6BEE" w:rsidRPr="005E6BEE">
        <w:t>surgery, procedures, labour and childbirth, other acute pain, cancer or advanced disease, chronic musculoskeletal conditions, other chronic pain</w:t>
      </w:r>
      <w:r w:rsidRPr="005E6BEE">
        <w:t>).</w:t>
      </w:r>
      <w:r>
        <w:t xml:space="preserve"> Primarily, these were planned to explore possible</w:t>
      </w:r>
      <w:r w:rsidRPr="00DA0CC2">
        <w:t xml:space="preserve"> explanation</w:t>
      </w:r>
      <w:r>
        <w:t>s</w:t>
      </w:r>
      <w:r w:rsidRPr="00DA0CC2">
        <w:t xml:space="preserve"> for </w:t>
      </w:r>
      <w:r>
        <w:t>any</w:t>
      </w:r>
      <w:r w:rsidRPr="00DA0CC2">
        <w:t xml:space="preserve"> inconsistent effects </w:t>
      </w:r>
      <w:r>
        <w:t>if</w:t>
      </w:r>
      <w:r w:rsidRPr="00DA0CC2">
        <w:t xml:space="preserve"> observed across studies (statistical heterogeneity). </w:t>
      </w:r>
    </w:p>
    <w:p w14:paraId="26B21284" w14:textId="651C7FBF" w:rsidR="00ED4022" w:rsidRPr="000939BF" w:rsidRDefault="00ED4022" w:rsidP="00ED4022">
      <w:r w:rsidRPr="00DC7650">
        <w:rPr>
          <w:i/>
        </w:rPr>
        <w:t>Assessment of heterogeneity</w:t>
      </w:r>
      <w:r w:rsidRPr="000939BF">
        <w:rPr>
          <w:i/>
        </w:rPr>
        <w:t>:</w:t>
      </w:r>
      <w:r w:rsidRPr="000939BF">
        <w:t xml:space="preserve"> While there are differences in the size of the estimated intervention effect across studies for this comparison and outcome, the effect estimate for </w:t>
      </w:r>
      <w:proofErr w:type="gramStart"/>
      <w:r w:rsidR="000939BF" w:rsidRPr="000939BF">
        <w:t>the majority of</w:t>
      </w:r>
      <w:proofErr w:type="gramEnd"/>
      <w:r w:rsidRPr="000939BF">
        <w:t xml:space="preserve"> studies </w:t>
      </w:r>
      <w:r w:rsidR="000939BF" w:rsidRPr="000939BF">
        <w:t xml:space="preserve">in the overall analysis </w:t>
      </w:r>
      <w:r w:rsidRPr="000939BF">
        <w:t xml:space="preserve">was above the threshold for an important improvement in </w:t>
      </w:r>
      <w:r w:rsidR="000939BF" w:rsidRPr="000939BF">
        <w:t>pain</w:t>
      </w:r>
      <w:r w:rsidRPr="000939BF">
        <w:t xml:space="preserve"> (i.e. an SMD </w:t>
      </w:r>
      <w:r w:rsidR="000939BF" w:rsidRPr="000939BF">
        <w:t>&lt;</w:t>
      </w:r>
      <w:r w:rsidRPr="000939BF">
        <w:t xml:space="preserve"> </w:t>
      </w:r>
      <w:r w:rsidR="000939BF" w:rsidRPr="000939BF">
        <w:t>-</w:t>
      </w:r>
      <w:r w:rsidRPr="000939BF">
        <w:t xml:space="preserve">0.2). As such, the observed inconsistency </w:t>
      </w:r>
      <w:r w:rsidR="000939BF" w:rsidRPr="000939BF">
        <w:t>i</w:t>
      </w:r>
      <w:r w:rsidRPr="000939BF">
        <w:t>s considered unimportant as it does not alter the interpretation of findings for this outcome</w:t>
      </w:r>
      <w:r w:rsidR="000939BF">
        <w:t xml:space="preserve"> (noting that there were serious concerns about inconsistency within some subgroups because of the higher proportion of inconsistent results)</w:t>
      </w:r>
      <w:r w:rsidRPr="000939BF">
        <w:t xml:space="preserve">. </w:t>
      </w:r>
    </w:p>
    <w:p w14:paraId="11AD42F6" w14:textId="36B130D4" w:rsidR="00ED4022" w:rsidRPr="000939BF" w:rsidRDefault="00ED4022" w:rsidP="00ED4022">
      <w:pPr>
        <w:rPr>
          <w:b/>
          <w:bCs/>
          <w:i/>
          <w:iCs/>
        </w:rPr>
      </w:pPr>
      <w:r w:rsidRPr="000939BF">
        <w:t>The subgroup analyses did not explain any observed differences across studies in the direction or size of the observed effect. Results for this analysis are presented in the main report (Section 4.</w:t>
      </w:r>
      <w:r w:rsidR="000939BF" w:rsidRPr="000939BF">
        <w:t>2</w:t>
      </w:r>
      <w:r w:rsidRPr="000939BF">
        <w:t>, Figure 4.</w:t>
      </w:r>
      <w:r w:rsidR="000939BF" w:rsidRPr="000939BF">
        <w:t>2</w:t>
      </w:r>
      <w:r w:rsidRPr="000939BF">
        <w:t>.1). The test for subgroup differences was not statistically significant (P = 0.4</w:t>
      </w:r>
      <w:r w:rsidR="000939BF" w:rsidRPr="000939BF">
        <w:t>4</w:t>
      </w:r>
      <w:r w:rsidRPr="000939BF">
        <w:t xml:space="preserve">) and the combined estimate of effect indicated an important improvement in </w:t>
      </w:r>
      <w:r w:rsidR="000939BF" w:rsidRPr="000939BF">
        <w:t>pain</w:t>
      </w:r>
      <w:r w:rsidRPr="000939BF">
        <w:t xml:space="preserve"> for each of the population groups. Overall, there is evidence that the effects are consistent across population groups (all showing important benefit, despite variation in the magnitude of benefit).</w:t>
      </w:r>
    </w:p>
    <w:p w14:paraId="3EEE8AD8" w14:textId="77777777" w:rsidR="00ED4022" w:rsidRPr="00DA0CC2" w:rsidRDefault="00ED4022" w:rsidP="00ED4022">
      <w:pPr>
        <w:pStyle w:val="Heading4"/>
      </w:pPr>
      <w:r w:rsidRPr="00DA0CC2">
        <w:t>Results of sensitivity analyses</w:t>
      </w:r>
    </w:p>
    <w:p w14:paraId="60515224" w14:textId="336CBF22" w:rsidR="00ED4022" w:rsidRPr="00DA0CC2" w:rsidRDefault="00ED4022" w:rsidP="00ED4022">
      <w:r w:rsidRPr="000939BF">
        <w:rPr>
          <w:b/>
        </w:rPr>
        <w:t>Table D</w:t>
      </w:r>
      <w:r w:rsidR="00B53894" w:rsidRPr="000939BF">
        <w:rPr>
          <w:b/>
        </w:rPr>
        <w:t>1</w:t>
      </w:r>
      <w:r w:rsidRPr="000939BF">
        <w:rPr>
          <w:b/>
        </w:rPr>
        <w:t>.1</w:t>
      </w:r>
      <w:r w:rsidRPr="000939BF">
        <w:t xml:space="preserve"> presents</w:t>
      </w:r>
      <w:r w:rsidRPr="00DA0CC2">
        <w:t xml:space="preserve"> results for the original analysis (all studies, random effects model) and </w:t>
      </w:r>
      <w:r>
        <w:t xml:space="preserve">two </w:t>
      </w:r>
      <w:r w:rsidRPr="00DA0CC2">
        <w:t xml:space="preserve">sensitivity analyses. These sensitivity analyses investigate: </w:t>
      </w:r>
    </w:p>
    <w:p w14:paraId="2AC90878" w14:textId="77777777" w:rsidR="00ED4022" w:rsidRPr="00DA0CC2" w:rsidRDefault="00ED4022" w:rsidP="00ED4022">
      <w:pPr>
        <w:pStyle w:val="ListParagraph"/>
        <w:numPr>
          <w:ilvl w:val="0"/>
          <w:numId w:val="36"/>
        </w:numPr>
      </w:pPr>
      <w:r w:rsidRPr="00DA0CC2">
        <w:t>whether the combined estimate is sensitive to the assumptions that were made to enable inclusion of results in the meta-analysis, specifically</w:t>
      </w:r>
      <w:r>
        <w:t xml:space="preserve"> </w:t>
      </w:r>
      <w:r w:rsidRPr="00DA0CC2">
        <w:t>transforming or imputing statistics, and including change scores (change from baseline) when post-intervention (final) values (and their standard deviations) were unavailable; and</w:t>
      </w:r>
    </w:p>
    <w:p w14:paraId="7D56B1D1" w14:textId="77777777" w:rsidR="00ED4022" w:rsidRPr="00DA0CC2" w:rsidRDefault="00ED4022" w:rsidP="00ED4022">
      <w:pPr>
        <w:pStyle w:val="ListParagraph"/>
        <w:numPr>
          <w:ilvl w:val="0"/>
          <w:numId w:val="37"/>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p w14:paraId="57B98953" w14:textId="07F0CEFE" w:rsidR="00DE1360" w:rsidRPr="000939BF" w:rsidRDefault="00DE1360" w:rsidP="00DE1360">
      <w:r w:rsidRPr="000939BF">
        <w:t xml:space="preserve">The combined estimate of effect was similar in the original analysis and </w:t>
      </w:r>
      <w:r w:rsidR="00717BD7" w:rsidRPr="000939BF">
        <w:t xml:space="preserve">the </w:t>
      </w:r>
      <w:r w:rsidRPr="000939BF">
        <w:t>sensitivity analys</w:t>
      </w:r>
      <w:r w:rsidR="00717BD7" w:rsidRPr="000939BF">
        <w:t>e</w:t>
      </w:r>
      <w:r w:rsidRPr="000939BF">
        <w:t xml:space="preserve">s </w:t>
      </w:r>
      <w:r w:rsidR="00717BD7" w:rsidRPr="000939BF">
        <w:t>removing</w:t>
      </w:r>
      <w:r w:rsidRPr="000939BF">
        <w:t xml:space="preserve"> studies for which transforming</w:t>
      </w:r>
      <w:r w:rsidR="000939BF" w:rsidRPr="000939BF">
        <w:t xml:space="preserve"> /</w:t>
      </w:r>
      <w:r w:rsidRPr="000939BF">
        <w:t xml:space="preserve"> imputing statistics </w:t>
      </w:r>
      <w:r w:rsidR="000939BF" w:rsidRPr="000939BF">
        <w:t xml:space="preserve">or using change scores </w:t>
      </w:r>
      <w:r w:rsidRPr="000939BF">
        <w:t>was necessary</w:t>
      </w:r>
      <w:r w:rsidR="00717BD7" w:rsidRPr="000939BF">
        <w:t xml:space="preserve">. This </w:t>
      </w:r>
      <w:r w:rsidRPr="000939BF">
        <w:t>indicat</w:t>
      </w:r>
      <w:r w:rsidR="00717BD7" w:rsidRPr="000939BF">
        <w:t>es</w:t>
      </w:r>
      <w:r w:rsidRPr="000939BF">
        <w:t xml:space="preserve"> that the result was robust to the assumptions required to include these results. </w:t>
      </w:r>
    </w:p>
    <w:p w14:paraId="03D606E7" w14:textId="4AAEA52A" w:rsidR="00DE1360" w:rsidRPr="00DA0CC2" w:rsidRDefault="00DE1360" w:rsidP="00DE1360">
      <w:pPr>
        <w:rPr>
          <w:b/>
          <w:color w:val="000000" w:themeColor="text1"/>
        </w:rPr>
      </w:pPr>
      <w:r w:rsidRPr="000939BF">
        <w:rPr>
          <w:b/>
          <w:color w:val="000000" w:themeColor="text1"/>
        </w:rPr>
        <w:lastRenderedPageBreak/>
        <w:t xml:space="preserve">Table </w:t>
      </w:r>
      <w:r w:rsidR="0029188C" w:rsidRPr="000939BF">
        <w:rPr>
          <w:b/>
          <w:color w:val="000000" w:themeColor="text1"/>
        </w:rPr>
        <w:t>D</w:t>
      </w:r>
      <w:r w:rsidR="00ED47E4" w:rsidRPr="000939BF">
        <w:rPr>
          <w:b/>
          <w:color w:val="000000" w:themeColor="text1"/>
        </w:rPr>
        <w:t>1</w:t>
      </w:r>
      <w:r w:rsidRPr="000939BF">
        <w:rPr>
          <w:b/>
          <w:color w:val="000000" w:themeColor="text1"/>
        </w:rPr>
        <w:t>.1.</w:t>
      </w:r>
      <w:r w:rsidRPr="00DA0CC2">
        <w:rPr>
          <w:b/>
          <w:color w:val="000000" w:themeColor="text1"/>
        </w:rPr>
        <w:t xml:space="preserve"> Sensitivity analyses for </w:t>
      </w:r>
      <w:r w:rsidR="00ED47E4" w:rsidRPr="00DA0CC2">
        <w:rPr>
          <w:b/>
          <w:color w:val="000000" w:themeColor="text1"/>
        </w:rPr>
        <w:t>pain</w:t>
      </w:r>
      <w:r w:rsidRPr="00DA0CC2">
        <w:rPr>
          <w:b/>
          <w:color w:val="000000" w:themeColor="text1"/>
        </w:rPr>
        <w:t xml:space="preserve"> outcome</w:t>
      </w:r>
    </w:p>
    <w:tbl>
      <w:tblPr>
        <w:tblStyle w:val="TableGrid"/>
        <w:tblW w:w="5000" w:type="pct"/>
        <w:tblLook w:val="04A0" w:firstRow="1" w:lastRow="0" w:firstColumn="1" w:lastColumn="0" w:noHBand="0" w:noVBand="1"/>
      </w:tblPr>
      <w:tblGrid>
        <w:gridCol w:w="1704"/>
        <w:gridCol w:w="2706"/>
        <w:gridCol w:w="628"/>
        <w:gridCol w:w="2130"/>
        <w:gridCol w:w="780"/>
        <w:gridCol w:w="2513"/>
      </w:tblGrid>
      <w:tr w:rsidR="005F3E01" w:rsidRPr="00DA0CC2" w14:paraId="202DCC85" w14:textId="77777777" w:rsidTr="00FD4F09">
        <w:tc>
          <w:tcPr>
            <w:tcW w:w="814" w:type="pct"/>
            <w:tcBorders>
              <w:top w:val="single" w:sz="4" w:space="0" w:color="auto"/>
              <w:bottom w:val="single" w:sz="4" w:space="0" w:color="auto"/>
            </w:tcBorders>
          </w:tcPr>
          <w:p w14:paraId="01C52C1E" w14:textId="77777777" w:rsidR="005F3E01" w:rsidRPr="00DA0CC2" w:rsidRDefault="005F3E01"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w:t>
            </w:r>
          </w:p>
        </w:tc>
        <w:tc>
          <w:tcPr>
            <w:tcW w:w="1293" w:type="pct"/>
            <w:tcBorders>
              <w:top w:val="single" w:sz="4" w:space="0" w:color="auto"/>
              <w:bottom w:val="single" w:sz="4" w:space="0" w:color="auto"/>
              <w:right w:val="single" w:sz="4" w:space="0" w:color="auto"/>
            </w:tcBorders>
          </w:tcPr>
          <w:p w14:paraId="043A20AB" w14:textId="77777777" w:rsidR="005F3E01" w:rsidRPr="00DA0CC2" w:rsidRDefault="005F3E01"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Purpose of sensitivity analysis</w:t>
            </w:r>
          </w:p>
        </w:tc>
        <w:tc>
          <w:tcPr>
            <w:tcW w:w="300" w:type="pct"/>
            <w:tcBorders>
              <w:top w:val="single" w:sz="4" w:space="0" w:color="auto"/>
              <w:left w:val="single" w:sz="4" w:space="0" w:color="auto"/>
              <w:bottom w:val="single" w:sz="4" w:space="0" w:color="auto"/>
            </w:tcBorders>
          </w:tcPr>
          <w:p w14:paraId="4503E237" w14:textId="77777777" w:rsidR="005F3E01" w:rsidRPr="00DA0CC2" w:rsidRDefault="005F3E01"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018" w:type="pct"/>
            <w:tcBorders>
              <w:top w:val="single" w:sz="4" w:space="0" w:color="auto"/>
              <w:left w:val="nil"/>
              <w:bottom w:val="single" w:sz="4" w:space="0" w:color="auto"/>
              <w:right w:val="single" w:sz="4" w:space="0" w:color="auto"/>
            </w:tcBorders>
          </w:tcPr>
          <w:p w14:paraId="410A3B40" w14:textId="77777777" w:rsidR="005F3E01" w:rsidRPr="00DA0CC2" w:rsidRDefault="005F3E01"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Original effect (95% CI)</w:t>
            </w:r>
          </w:p>
        </w:tc>
        <w:tc>
          <w:tcPr>
            <w:tcW w:w="373" w:type="pct"/>
            <w:tcBorders>
              <w:top w:val="single" w:sz="4" w:space="0" w:color="auto"/>
              <w:left w:val="single" w:sz="4" w:space="0" w:color="auto"/>
              <w:bottom w:val="single" w:sz="4" w:space="0" w:color="auto"/>
            </w:tcBorders>
          </w:tcPr>
          <w:p w14:paraId="408FEAA7" w14:textId="77777777" w:rsidR="005F3E01" w:rsidRPr="00DA0CC2" w:rsidRDefault="005F3E01"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201" w:type="pct"/>
            <w:tcBorders>
              <w:top w:val="single" w:sz="4" w:space="0" w:color="auto"/>
              <w:left w:val="nil"/>
              <w:bottom w:val="single" w:sz="4" w:space="0" w:color="auto"/>
              <w:right w:val="nil"/>
            </w:tcBorders>
          </w:tcPr>
          <w:p w14:paraId="6C29F1CA" w14:textId="77777777" w:rsidR="005F3E01" w:rsidRPr="00DA0CC2" w:rsidRDefault="005F3E01"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 effect</w:t>
            </w:r>
          </w:p>
        </w:tc>
      </w:tr>
      <w:tr w:rsidR="005F3E01" w:rsidRPr="00DA0CC2" w14:paraId="03B1D2E1" w14:textId="77777777" w:rsidTr="00FD4F09">
        <w:tc>
          <w:tcPr>
            <w:tcW w:w="814" w:type="pct"/>
            <w:tcBorders>
              <w:top w:val="single" w:sz="4" w:space="0" w:color="D9D9D9" w:themeColor="background1" w:themeShade="D9"/>
              <w:bottom w:val="single" w:sz="4" w:space="0" w:color="D9D9D9" w:themeColor="background1" w:themeShade="D9"/>
            </w:tcBorders>
          </w:tcPr>
          <w:p w14:paraId="15EFE13F" w14:textId="576E4597" w:rsidR="005F3E01" w:rsidRPr="00DA0CC2" w:rsidRDefault="00FD4F09"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 xml:space="preserve">No imputation, transformations or change scores </w:t>
            </w:r>
            <w:r w:rsidR="000939BF">
              <w:rPr>
                <w:rFonts w:asciiTheme="minorHAnsi" w:hAnsiTheme="minorHAnsi" w:cstheme="minorHAnsi"/>
                <w:color w:val="000000" w:themeColor="text1"/>
                <w:sz w:val="18"/>
                <w:szCs w:val="18"/>
                <w:vertAlign w:val="superscript"/>
              </w:rPr>
              <w:t>1</w:t>
            </w:r>
            <w:r w:rsidR="005F3E01" w:rsidRPr="00DA0CC2">
              <w:rPr>
                <w:rFonts w:asciiTheme="minorHAnsi" w:hAnsiTheme="minorHAnsi" w:cstheme="minorHAnsi"/>
                <w:color w:val="000000" w:themeColor="text1"/>
                <w:sz w:val="18"/>
                <w:szCs w:val="18"/>
              </w:rPr>
              <w:t xml:space="preserve"> </w:t>
            </w:r>
          </w:p>
        </w:tc>
        <w:tc>
          <w:tcPr>
            <w:tcW w:w="1293" w:type="pct"/>
            <w:tcBorders>
              <w:top w:val="single" w:sz="4" w:space="0" w:color="D9D9D9" w:themeColor="background1" w:themeShade="D9"/>
              <w:bottom w:val="single" w:sz="4" w:space="0" w:color="D9D9D9" w:themeColor="background1" w:themeShade="D9"/>
            </w:tcBorders>
          </w:tcPr>
          <w:p w14:paraId="2EA0FBE3" w14:textId="77777777" w:rsidR="005F3E01" w:rsidRPr="00DA0CC2" w:rsidRDefault="005F3E01"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300" w:type="pct"/>
            <w:tcBorders>
              <w:top w:val="single" w:sz="4" w:space="0" w:color="D9D9D9" w:themeColor="background1" w:themeShade="D9"/>
              <w:bottom w:val="single" w:sz="4" w:space="0" w:color="D9D9D9" w:themeColor="background1" w:themeShade="D9"/>
            </w:tcBorders>
          </w:tcPr>
          <w:p w14:paraId="70EC10AC" w14:textId="0AB2A29A" w:rsidR="005F3E01" w:rsidRPr="00DA0CC2" w:rsidRDefault="0050788C" w:rsidP="00AF2CBC">
            <w:pPr>
              <w:spacing w:after="60"/>
              <w:rPr>
                <w:rFonts w:asciiTheme="minorHAnsi" w:hAnsiTheme="minorHAnsi" w:cstheme="minorHAnsi"/>
                <w:sz w:val="18"/>
                <w:szCs w:val="18"/>
              </w:rPr>
            </w:pPr>
            <w:r>
              <w:rPr>
                <w:rFonts w:asciiTheme="minorHAnsi" w:hAnsiTheme="minorHAnsi" w:cstheme="minorHAnsi"/>
                <w:sz w:val="18"/>
                <w:szCs w:val="18"/>
              </w:rPr>
              <w:t>46</w:t>
            </w:r>
          </w:p>
        </w:tc>
        <w:tc>
          <w:tcPr>
            <w:tcW w:w="1018" w:type="pct"/>
            <w:tcBorders>
              <w:top w:val="single" w:sz="4" w:space="0" w:color="D9D9D9" w:themeColor="background1" w:themeShade="D9"/>
              <w:bottom w:val="single" w:sz="4" w:space="0" w:color="D9D9D9" w:themeColor="background1" w:themeShade="D9"/>
            </w:tcBorders>
          </w:tcPr>
          <w:p w14:paraId="2B489531" w14:textId="6FCD5594" w:rsidR="005F3E01" w:rsidRPr="00DA0CC2" w:rsidRDefault="005F3E01" w:rsidP="00AF2CBC">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50788C">
              <w:rPr>
                <w:rFonts w:asciiTheme="minorHAnsi" w:hAnsiTheme="minorHAnsi" w:cstheme="minorHAnsi"/>
                <w:sz w:val="18"/>
                <w:szCs w:val="18"/>
              </w:rPr>
              <w:t>-1.02</w:t>
            </w:r>
            <w:r w:rsidRPr="00DA0CC2">
              <w:rPr>
                <w:rFonts w:asciiTheme="minorHAnsi" w:hAnsiTheme="minorHAnsi" w:cstheme="minorHAnsi"/>
                <w:sz w:val="18"/>
                <w:szCs w:val="18"/>
              </w:rPr>
              <w:t>(</w:t>
            </w:r>
            <w:r w:rsidR="0050788C">
              <w:rPr>
                <w:rFonts w:asciiTheme="minorHAnsi" w:hAnsiTheme="minorHAnsi" w:cstheme="minorHAnsi"/>
                <w:sz w:val="18"/>
                <w:szCs w:val="18"/>
              </w:rPr>
              <w:t xml:space="preserve">-1.26 </w:t>
            </w:r>
            <w:r w:rsidRPr="00DA0CC2">
              <w:rPr>
                <w:rFonts w:asciiTheme="minorHAnsi" w:hAnsiTheme="minorHAnsi" w:cstheme="minorHAnsi"/>
                <w:sz w:val="18"/>
                <w:szCs w:val="18"/>
              </w:rPr>
              <w:t xml:space="preserve">to </w:t>
            </w:r>
            <w:r w:rsidRPr="00DA0CC2">
              <w:rPr>
                <w:rFonts w:asciiTheme="minorHAnsi" w:hAnsiTheme="minorHAnsi" w:cstheme="minorHAnsi"/>
                <w:sz w:val="18"/>
                <w:szCs w:val="18"/>
              </w:rPr>
              <w:br/>
            </w:r>
            <w:r w:rsidR="0050788C">
              <w:rPr>
                <w:rFonts w:asciiTheme="minorHAnsi" w:hAnsiTheme="minorHAnsi" w:cstheme="minorHAnsi"/>
                <w:sz w:val="18"/>
                <w:szCs w:val="18"/>
              </w:rPr>
              <w:t>-0.78</w:t>
            </w:r>
            <w:r w:rsidRPr="00DA0CC2">
              <w:rPr>
                <w:rFonts w:asciiTheme="minorHAnsi" w:hAnsiTheme="minorHAnsi" w:cstheme="minorHAnsi"/>
                <w:sz w:val="18"/>
                <w:szCs w:val="18"/>
              </w:rPr>
              <w:t>); I</w:t>
            </w:r>
            <w:r w:rsidRPr="005B5C11">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 </w:t>
            </w:r>
            <w:r w:rsidR="00E91762">
              <w:rPr>
                <w:rFonts w:asciiTheme="minorHAnsi" w:hAnsiTheme="minorHAnsi" w:cstheme="minorHAnsi"/>
                <w:sz w:val="18"/>
                <w:szCs w:val="18"/>
              </w:rPr>
              <w:t>89</w:t>
            </w:r>
            <w:r w:rsidRPr="00DA0CC2">
              <w:rPr>
                <w:rFonts w:asciiTheme="minorHAnsi" w:hAnsiTheme="minorHAnsi" w:cstheme="minorHAnsi"/>
                <w:sz w:val="18"/>
                <w:szCs w:val="18"/>
              </w:rPr>
              <w:t>%</w:t>
            </w:r>
          </w:p>
        </w:tc>
        <w:tc>
          <w:tcPr>
            <w:tcW w:w="373" w:type="pct"/>
            <w:tcBorders>
              <w:top w:val="single" w:sz="4" w:space="0" w:color="D9D9D9" w:themeColor="background1" w:themeShade="D9"/>
              <w:bottom w:val="single" w:sz="4" w:space="0" w:color="D9D9D9" w:themeColor="background1" w:themeShade="D9"/>
            </w:tcBorders>
          </w:tcPr>
          <w:p w14:paraId="1A903246" w14:textId="52EE6C3D" w:rsidR="005F3E01" w:rsidRPr="00DA0CC2" w:rsidRDefault="00373B99" w:rsidP="00AF2CBC">
            <w:pPr>
              <w:spacing w:after="60"/>
              <w:rPr>
                <w:rFonts w:asciiTheme="minorHAnsi" w:hAnsiTheme="minorHAnsi" w:cstheme="minorHAnsi"/>
                <w:sz w:val="18"/>
                <w:szCs w:val="18"/>
              </w:rPr>
            </w:pPr>
            <w:r>
              <w:rPr>
                <w:rFonts w:asciiTheme="minorHAnsi" w:hAnsiTheme="minorHAnsi" w:cstheme="minorHAnsi"/>
                <w:sz w:val="18"/>
                <w:szCs w:val="18"/>
              </w:rPr>
              <w:t>36</w:t>
            </w:r>
          </w:p>
        </w:tc>
        <w:tc>
          <w:tcPr>
            <w:tcW w:w="1201" w:type="pct"/>
            <w:tcBorders>
              <w:top w:val="single" w:sz="4" w:space="0" w:color="auto"/>
              <w:bottom w:val="single" w:sz="4" w:space="0" w:color="D9D9D9" w:themeColor="background1" w:themeShade="D9"/>
              <w:right w:val="nil"/>
            </w:tcBorders>
          </w:tcPr>
          <w:p w14:paraId="28E5671F" w14:textId="1E3F7147" w:rsidR="005F3E01" w:rsidRPr="00DA0CC2" w:rsidRDefault="005F3E01" w:rsidP="00AF2CBC">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373B99">
              <w:rPr>
                <w:rFonts w:asciiTheme="minorHAnsi" w:hAnsiTheme="minorHAnsi" w:cstheme="minorHAnsi"/>
                <w:sz w:val="18"/>
                <w:szCs w:val="18"/>
              </w:rPr>
              <w:t>-1.09</w:t>
            </w:r>
            <w:r w:rsidRPr="00DA0CC2">
              <w:rPr>
                <w:rFonts w:asciiTheme="minorHAnsi" w:hAnsiTheme="minorHAnsi" w:cstheme="minorHAnsi"/>
                <w:sz w:val="18"/>
                <w:szCs w:val="18"/>
              </w:rPr>
              <w:t xml:space="preserve"> (</w:t>
            </w:r>
            <w:r w:rsidR="00373B99">
              <w:rPr>
                <w:rFonts w:asciiTheme="minorHAnsi" w:hAnsiTheme="minorHAnsi" w:cstheme="minorHAnsi"/>
                <w:sz w:val="18"/>
                <w:szCs w:val="18"/>
              </w:rPr>
              <w:t xml:space="preserve">-1.38 </w:t>
            </w:r>
            <w:r w:rsidRPr="00DA0CC2">
              <w:rPr>
                <w:rFonts w:asciiTheme="minorHAnsi" w:hAnsiTheme="minorHAnsi" w:cstheme="minorHAnsi"/>
                <w:sz w:val="18"/>
                <w:szCs w:val="18"/>
              </w:rPr>
              <w:t>to</w:t>
            </w:r>
            <w:r w:rsidR="00373B99">
              <w:rPr>
                <w:rFonts w:asciiTheme="minorHAnsi" w:hAnsiTheme="minorHAnsi" w:cstheme="minorHAnsi"/>
                <w:sz w:val="18"/>
                <w:szCs w:val="18"/>
              </w:rPr>
              <w:t xml:space="preserve"> -0.81</w:t>
            </w:r>
            <w:r w:rsidRPr="00DA0CC2">
              <w:rPr>
                <w:rFonts w:asciiTheme="minorHAnsi" w:hAnsiTheme="minorHAnsi" w:cstheme="minorHAnsi"/>
                <w:sz w:val="18"/>
                <w:szCs w:val="18"/>
              </w:rPr>
              <w:t>); I</w:t>
            </w:r>
            <w:r w:rsidRPr="005B5C11">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 </w:t>
            </w:r>
            <w:r w:rsidR="00373B99">
              <w:rPr>
                <w:rFonts w:asciiTheme="minorHAnsi" w:hAnsiTheme="minorHAnsi" w:cstheme="minorHAnsi"/>
                <w:sz w:val="18"/>
                <w:szCs w:val="18"/>
              </w:rPr>
              <w:t>90</w:t>
            </w:r>
            <w:r w:rsidRPr="00DA0CC2">
              <w:rPr>
                <w:rFonts w:asciiTheme="minorHAnsi" w:hAnsiTheme="minorHAnsi" w:cstheme="minorHAnsi"/>
                <w:sz w:val="18"/>
                <w:szCs w:val="18"/>
              </w:rPr>
              <w:t>%</w:t>
            </w:r>
          </w:p>
        </w:tc>
      </w:tr>
      <w:tr w:rsidR="005F3E01" w:rsidRPr="00DA0CC2" w14:paraId="70CD2688" w14:textId="77777777" w:rsidTr="00FD4F09">
        <w:tc>
          <w:tcPr>
            <w:tcW w:w="814" w:type="pct"/>
            <w:tcBorders>
              <w:top w:val="single" w:sz="4" w:space="0" w:color="D9D9D9" w:themeColor="background1" w:themeShade="D9"/>
              <w:bottom w:val="single" w:sz="4" w:space="0" w:color="auto"/>
            </w:tcBorders>
          </w:tcPr>
          <w:p w14:paraId="626185CC" w14:textId="77777777" w:rsidR="005F3E01" w:rsidRPr="00DA0CC2" w:rsidRDefault="005F3E01"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Fixed effect analysis</w:t>
            </w:r>
          </w:p>
        </w:tc>
        <w:tc>
          <w:tcPr>
            <w:tcW w:w="1293" w:type="pct"/>
            <w:tcBorders>
              <w:top w:val="single" w:sz="4" w:space="0" w:color="D9D9D9" w:themeColor="background1" w:themeShade="D9"/>
              <w:bottom w:val="single" w:sz="4" w:space="0" w:color="auto"/>
            </w:tcBorders>
          </w:tcPr>
          <w:p w14:paraId="5256D620" w14:textId="77777777" w:rsidR="005F3E01" w:rsidRPr="00DA0CC2" w:rsidRDefault="005F3E01" w:rsidP="00AF2CBC">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small study effects (bias due to missing results)</w:t>
            </w:r>
          </w:p>
        </w:tc>
        <w:tc>
          <w:tcPr>
            <w:tcW w:w="300" w:type="pct"/>
            <w:tcBorders>
              <w:top w:val="single" w:sz="4" w:space="0" w:color="D9D9D9" w:themeColor="background1" w:themeShade="D9"/>
              <w:bottom w:val="single" w:sz="4" w:space="0" w:color="auto"/>
            </w:tcBorders>
            <w:shd w:val="clear" w:color="auto" w:fill="F2F2F2" w:themeFill="background1" w:themeFillShade="F2"/>
          </w:tcPr>
          <w:p w14:paraId="68615C7E" w14:textId="77777777" w:rsidR="005F3E01" w:rsidRPr="00DA0CC2" w:rsidRDefault="005F3E01" w:rsidP="00AF2CBC">
            <w:pPr>
              <w:spacing w:after="60"/>
              <w:rPr>
                <w:rFonts w:asciiTheme="minorHAnsi" w:hAnsiTheme="minorHAnsi" w:cstheme="minorHAnsi"/>
                <w:sz w:val="18"/>
                <w:szCs w:val="18"/>
              </w:rPr>
            </w:pPr>
          </w:p>
        </w:tc>
        <w:tc>
          <w:tcPr>
            <w:tcW w:w="1018" w:type="pct"/>
            <w:tcBorders>
              <w:top w:val="single" w:sz="4" w:space="0" w:color="D9D9D9" w:themeColor="background1" w:themeShade="D9"/>
              <w:bottom w:val="single" w:sz="4" w:space="0" w:color="auto"/>
            </w:tcBorders>
            <w:shd w:val="clear" w:color="auto" w:fill="F2F2F2" w:themeFill="background1" w:themeFillShade="F2"/>
          </w:tcPr>
          <w:p w14:paraId="7A2649ED" w14:textId="77777777" w:rsidR="005F3E01" w:rsidRPr="00DA0CC2" w:rsidRDefault="005F3E01" w:rsidP="00AF2CBC">
            <w:pPr>
              <w:spacing w:after="60"/>
              <w:rPr>
                <w:rFonts w:asciiTheme="minorHAnsi" w:hAnsiTheme="minorHAnsi" w:cstheme="minorHAnsi"/>
                <w:sz w:val="18"/>
                <w:szCs w:val="18"/>
              </w:rPr>
            </w:pPr>
          </w:p>
        </w:tc>
        <w:tc>
          <w:tcPr>
            <w:tcW w:w="373" w:type="pct"/>
            <w:tcBorders>
              <w:top w:val="single" w:sz="4" w:space="0" w:color="D9D9D9" w:themeColor="background1" w:themeShade="D9"/>
              <w:bottom w:val="single" w:sz="4" w:space="0" w:color="auto"/>
            </w:tcBorders>
          </w:tcPr>
          <w:p w14:paraId="29EF087A" w14:textId="6A56B6DD" w:rsidR="005F3E01" w:rsidRPr="00DA0CC2" w:rsidRDefault="0050788C" w:rsidP="00AF2CBC">
            <w:pPr>
              <w:spacing w:after="60"/>
              <w:rPr>
                <w:rFonts w:asciiTheme="minorHAnsi" w:hAnsiTheme="minorHAnsi" w:cstheme="minorHAnsi"/>
                <w:sz w:val="18"/>
                <w:szCs w:val="18"/>
              </w:rPr>
            </w:pPr>
            <w:r>
              <w:rPr>
                <w:rFonts w:asciiTheme="minorHAnsi" w:hAnsiTheme="minorHAnsi" w:cstheme="minorHAnsi"/>
                <w:sz w:val="18"/>
                <w:szCs w:val="18"/>
              </w:rPr>
              <w:t>46</w:t>
            </w:r>
          </w:p>
        </w:tc>
        <w:tc>
          <w:tcPr>
            <w:tcW w:w="1201" w:type="pct"/>
            <w:tcBorders>
              <w:top w:val="single" w:sz="4" w:space="0" w:color="D9D9D9" w:themeColor="background1" w:themeShade="D9"/>
              <w:bottom w:val="single" w:sz="4" w:space="0" w:color="auto"/>
              <w:right w:val="nil"/>
            </w:tcBorders>
          </w:tcPr>
          <w:p w14:paraId="52250211" w14:textId="20074FF3" w:rsidR="005F3E01" w:rsidRPr="00DA0CC2" w:rsidRDefault="005F3E01" w:rsidP="00AF2CBC">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6F3BF3">
              <w:rPr>
                <w:rFonts w:asciiTheme="minorHAnsi" w:hAnsiTheme="minorHAnsi" w:cstheme="minorHAnsi"/>
                <w:sz w:val="18"/>
                <w:szCs w:val="18"/>
              </w:rPr>
              <w:t xml:space="preserve">-0.82 </w:t>
            </w:r>
            <w:r w:rsidRPr="00DA0CC2">
              <w:rPr>
                <w:rFonts w:asciiTheme="minorHAnsi" w:hAnsiTheme="minorHAnsi" w:cstheme="minorHAnsi"/>
                <w:sz w:val="18"/>
                <w:szCs w:val="18"/>
              </w:rPr>
              <w:t>(</w:t>
            </w:r>
            <w:r w:rsidR="006F3BF3">
              <w:rPr>
                <w:rFonts w:asciiTheme="minorHAnsi" w:hAnsiTheme="minorHAnsi" w:cstheme="minorHAnsi"/>
                <w:sz w:val="18"/>
                <w:szCs w:val="18"/>
              </w:rPr>
              <w:t>-0.89</w:t>
            </w:r>
            <w:r>
              <w:rPr>
                <w:rFonts w:asciiTheme="minorHAnsi" w:hAnsiTheme="minorHAnsi" w:cstheme="minorHAnsi"/>
                <w:sz w:val="18"/>
                <w:szCs w:val="18"/>
              </w:rPr>
              <w:t xml:space="preserve"> </w:t>
            </w:r>
            <w:r w:rsidRPr="00DA0CC2">
              <w:rPr>
                <w:rFonts w:asciiTheme="minorHAnsi" w:hAnsiTheme="minorHAnsi" w:cstheme="minorHAnsi"/>
                <w:sz w:val="18"/>
                <w:szCs w:val="18"/>
              </w:rPr>
              <w:t>to</w:t>
            </w:r>
            <w:r w:rsidR="006F3BF3">
              <w:rPr>
                <w:rFonts w:asciiTheme="minorHAnsi" w:hAnsiTheme="minorHAnsi" w:cstheme="minorHAnsi"/>
                <w:sz w:val="18"/>
                <w:szCs w:val="18"/>
              </w:rPr>
              <w:t xml:space="preserve"> -0.75</w:t>
            </w:r>
            <w:r w:rsidRPr="00DA0CC2">
              <w:rPr>
                <w:rFonts w:asciiTheme="minorHAnsi" w:hAnsiTheme="minorHAnsi" w:cstheme="minorHAnsi"/>
                <w:sz w:val="18"/>
                <w:szCs w:val="18"/>
              </w:rPr>
              <w:t>); I</w:t>
            </w:r>
            <w:r w:rsidRPr="005B5C11">
              <w:rPr>
                <w:rFonts w:asciiTheme="minorHAnsi" w:hAnsiTheme="minorHAnsi" w:cstheme="minorHAnsi"/>
                <w:sz w:val="18"/>
                <w:szCs w:val="18"/>
                <w:vertAlign w:val="superscript"/>
              </w:rPr>
              <w:t>2</w:t>
            </w:r>
            <w:r w:rsidRPr="00DA0CC2">
              <w:rPr>
                <w:rFonts w:asciiTheme="minorHAnsi" w:hAnsiTheme="minorHAnsi" w:cstheme="minorHAnsi"/>
                <w:sz w:val="18"/>
                <w:szCs w:val="18"/>
              </w:rPr>
              <w:t xml:space="preserve"> = </w:t>
            </w:r>
            <w:r w:rsidR="006F3BF3">
              <w:rPr>
                <w:rFonts w:asciiTheme="minorHAnsi" w:hAnsiTheme="minorHAnsi" w:cstheme="minorHAnsi"/>
                <w:sz w:val="18"/>
                <w:szCs w:val="18"/>
              </w:rPr>
              <w:t>88</w:t>
            </w:r>
            <w:r w:rsidRPr="00DA0CC2">
              <w:rPr>
                <w:rFonts w:asciiTheme="minorHAnsi" w:hAnsiTheme="minorHAnsi" w:cstheme="minorHAnsi"/>
                <w:sz w:val="18"/>
                <w:szCs w:val="18"/>
              </w:rPr>
              <w:t>%</w:t>
            </w:r>
          </w:p>
        </w:tc>
      </w:tr>
    </w:tbl>
    <w:p w14:paraId="608962D6" w14:textId="2993F6B6" w:rsidR="00DE1360" w:rsidRPr="000939BF" w:rsidRDefault="005F3E01" w:rsidP="00DE1360">
      <w:pPr>
        <w:spacing w:after="60"/>
        <w:rPr>
          <w:sz w:val="18"/>
        </w:rPr>
      </w:pPr>
      <w:r>
        <w:rPr>
          <w:sz w:val="22"/>
          <w:vertAlign w:val="superscript"/>
        </w:rPr>
        <w:t>1</w:t>
      </w:r>
      <w:r w:rsidR="00DE1360" w:rsidRPr="00DA0CC2">
        <w:rPr>
          <w:sz w:val="18"/>
        </w:rPr>
        <w:t xml:space="preserve"> This analysis was limited to trials that (a) reported </w:t>
      </w:r>
      <w:proofErr w:type="spellStart"/>
      <w:r w:rsidR="00DE1360" w:rsidRPr="00DA0CC2">
        <w:rPr>
          <w:sz w:val="18"/>
        </w:rPr>
        <w:t>i</w:t>
      </w:r>
      <w:proofErr w:type="spellEnd"/>
      <w:r w:rsidR="00DE1360" w:rsidRPr="00DA0CC2">
        <w:rPr>
          <w:sz w:val="18"/>
        </w:rPr>
        <w:t xml:space="preserve">) means and standard deviations, ii) means and standard errors, or iii) mean differences and their confidence intervals, </w:t>
      </w:r>
      <w:r w:rsidR="00DE1360" w:rsidRPr="00DA0CC2">
        <w:rPr>
          <w:sz w:val="18"/>
          <w:szCs w:val="18"/>
        </w:rPr>
        <w:t>and (b) had post-intervention (final) values available.</w:t>
      </w:r>
    </w:p>
    <w:p w14:paraId="11A1A7AD" w14:textId="255F0E27" w:rsidR="00DE1360" w:rsidRDefault="00DE1360" w:rsidP="00DE1360">
      <w:pPr>
        <w:spacing w:after="60"/>
        <w:rPr>
          <w:sz w:val="18"/>
          <w:szCs w:val="18"/>
        </w:rPr>
      </w:pPr>
      <w:r w:rsidRPr="00DA0CC2">
        <w:rPr>
          <w:i/>
          <w:sz w:val="18"/>
          <w:szCs w:val="18"/>
        </w:rPr>
        <w:t>Abbreviations</w:t>
      </w:r>
      <w:r w:rsidRPr="00DA0CC2">
        <w:rPr>
          <w:sz w:val="18"/>
          <w:szCs w:val="18"/>
        </w:rPr>
        <w:t>. MA = meta-analysis; SMD = standardised mean difference; CI</w:t>
      </w:r>
      <w:r w:rsidR="009618FE" w:rsidRPr="00DA0CC2">
        <w:rPr>
          <w:sz w:val="18"/>
          <w:szCs w:val="18"/>
        </w:rPr>
        <w:t xml:space="preserve"> </w:t>
      </w:r>
      <w:r w:rsidRPr="00DA0CC2">
        <w:rPr>
          <w:sz w:val="18"/>
          <w:szCs w:val="18"/>
        </w:rPr>
        <w:t>= confidence interval</w:t>
      </w:r>
    </w:p>
    <w:p w14:paraId="4C43D924" w14:textId="77777777" w:rsidR="00A00A5E" w:rsidRPr="00DA0CC2" w:rsidRDefault="00A00A5E" w:rsidP="00DE1360">
      <w:pPr>
        <w:spacing w:after="60"/>
        <w:rPr>
          <w:sz w:val="18"/>
          <w:szCs w:val="18"/>
        </w:rPr>
      </w:pPr>
    </w:p>
    <w:p w14:paraId="7F96A41C" w14:textId="29E327C6" w:rsidR="00DE1360" w:rsidRPr="00DA0CC2" w:rsidRDefault="00DE1360" w:rsidP="00DE1360">
      <w:pPr>
        <w:pStyle w:val="Heading4"/>
      </w:pPr>
      <w:r w:rsidRPr="00DA0CC2">
        <w:t>Bias due to missing results from the meta-analysis</w:t>
      </w:r>
    </w:p>
    <w:p w14:paraId="5122CBC5" w14:textId="6A3DF098" w:rsidR="00DE1360" w:rsidRPr="0000734F" w:rsidRDefault="0041637B" w:rsidP="00DE1360">
      <w:r>
        <w:t>T</w:t>
      </w:r>
      <w:r w:rsidR="00DE1360" w:rsidRPr="0000734F">
        <w:t>he combined effect estimated from the fixed effect model (SMD -</w:t>
      </w:r>
      <w:r w:rsidR="0023004B" w:rsidRPr="0000734F">
        <w:t>0.8</w:t>
      </w:r>
      <w:r w:rsidR="0000734F" w:rsidRPr="0000734F">
        <w:t>2</w:t>
      </w:r>
      <w:r w:rsidR="00DE1360" w:rsidRPr="0000734F">
        <w:t>) was smaller than from the random effects model (SMD -</w:t>
      </w:r>
      <w:r w:rsidR="0023004B" w:rsidRPr="0000734F">
        <w:t>1.</w:t>
      </w:r>
      <w:r w:rsidR="0000734F" w:rsidRPr="0000734F">
        <w:t>02</w:t>
      </w:r>
      <w:r w:rsidR="00DE1360" w:rsidRPr="0000734F">
        <w:t xml:space="preserve">) (Table </w:t>
      </w:r>
      <w:r w:rsidR="0000734F" w:rsidRPr="0000734F">
        <w:t>D1.1</w:t>
      </w:r>
      <w:r w:rsidR="00DE1360" w:rsidRPr="0000734F">
        <w:t xml:space="preserve">), </w:t>
      </w:r>
      <w:r w:rsidR="006A56BE">
        <w:t xml:space="preserve">which </w:t>
      </w:r>
      <w:r w:rsidR="006A56BE" w:rsidRPr="00E06532">
        <w:t>may suggest small study effects arising from selective non-reporting of unfavourable results</w:t>
      </w:r>
      <w:r w:rsidR="00363C8D" w:rsidRPr="0000734F">
        <w:t xml:space="preserve"> (Table </w:t>
      </w:r>
      <w:r w:rsidR="0029188C" w:rsidRPr="0000734F">
        <w:t>D</w:t>
      </w:r>
      <w:r w:rsidR="00363C8D" w:rsidRPr="0000734F">
        <w:t>1.1)</w:t>
      </w:r>
      <w:r w:rsidR="00DE1360" w:rsidRPr="0000734F">
        <w:t xml:space="preserve">. The contour-enhanced funnel plot in Figure </w:t>
      </w:r>
      <w:r w:rsidR="0029188C" w:rsidRPr="0000734F">
        <w:t>D</w:t>
      </w:r>
      <w:r w:rsidR="00A852FC" w:rsidRPr="0000734F">
        <w:t>1</w:t>
      </w:r>
      <w:r w:rsidR="00DE1360" w:rsidRPr="0000734F">
        <w:t>.</w:t>
      </w:r>
      <w:r w:rsidR="00066568">
        <w:t>1</w:t>
      </w:r>
      <w:r w:rsidR="00DE1360" w:rsidRPr="0000734F">
        <w:t xml:space="preserve"> suggests that there could be missing studies </w:t>
      </w:r>
      <w:r w:rsidR="0000734F" w:rsidRPr="0000734F">
        <w:t>that</w:t>
      </w:r>
      <w:r w:rsidR="00DE1360" w:rsidRPr="0000734F">
        <w:t xml:space="preserve"> show effects favouring the control, </w:t>
      </w:r>
      <w:r w:rsidR="00A852FC" w:rsidRPr="0000734F">
        <w:t>and</w:t>
      </w:r>
      <w:r w:rsidR="00DE1360" w:rsidRPr="0000734F">
        <w:t xml:space="preserve"> nonsignificant effects</w:t>
      </w:r>
      <w:r w:rsidR="00A852FC" w:rsidRPr="0000734F">
        <w:t xml:space="preserve"> in general</w:t>
      </w:r>
      <w:r w:rsidR="00DE1360" w:rsidRPr="0000734F">
        <w:t xml:space="preserve"> (i.e. the plot is asymmetric, missing studies to the right of the line of no effect (SMD</w:t>
      </w:r>
      <w:r w:rsidR="009618FE" w:rsidRPr="0000734F">
        <w:t xml:space="preserve"> </w:t>
      </w:r>
      <w:r w:rsidR="00DE1360" w:rsidRPr="0000734F">
        <w:t>0) where we would expect results for some small studies, most notably in the darker grey shaded areas where nonsignificant results appear</w:t>
      </w:r>
      <w:r w:rsidR="003830D1" w:rsidRPr="0000734F">
        <w:t>; in addition only a minority of studies to the left of the line of no effect are non-significant</w:t>
      </w:r>
      <w:r w:rsidR="00DE1360" w:rsidRPr="0000734F">
        <w:t>).</w:t>
      </w:r>
    </w:p>
    <w:p w14:paraId="3EF024DA" w14:textId="09011907" w:rsidR="00DE1360" w:rsidRDefault="003830D1" w:rsidP="003830D1">
      <w:pPr>
        <w:rPr>
          <w:noProof/>
        </w:rPr>
      </w:pPr>
      <w:r w:rsidRPr="00DA0CC2">
        <w:rPr>
          <w:noProof/>
        </w:rPr>
        <w:drawing>
          <wp:inline distT="0" distB="0" distL="0" distR="0" wp14:anchorId="088DD0C4" wp14:editId="438EA560">
            <wp:extent cx="3641698" cy="5663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a_funnel_dom_1_comp_1_contour_no_funnel.png"/>
                    <pic:cNvPicPr/>
                  </pic:nvPicPr>
                  <pic:blipFill rotWithShape="1">
                    <a:blip r:embed="rId15"/>
                    <a:srcRect t="78621"/>
                    <a:stretch/>
                  </pic:blipFill>
                  <pic:spPr bwMode="auto">
                    <a:xfrm>
                      <a:off x="0" y="0"/>
                      <a:ext cx="3757388" cy="584326"/>
                    </a:xfrm>
                    <a:prstGeom prst="rect">
                      <a:avLst/>
                    </a:prstGeom>
                    <a:ln>
                      <a:noFill/>
                    </a:ln>
                    <a:extLst>
                      <a:ext uri="{53640926-AAD7-44D8-BBD7-CCE9431645EC}">
                        <a14:shadowObscured xmlns:a14="http://schemas.microsoft.com/office/drawing/2010/main"/>
                      </a:ext>
                    </a:extLst>
                  </pic:spPr>
                </pic:pic>
              </a:graphicData>
            </a:graphic>
          </wp:inline>
        </w:drawing>
      </w:r>
    </w:p>
    <w:p w14:paraId="2F89F9ED" w14:textId="35F1F026" w:rsidR="005F3E01" w:rsidRPr="00DA0CC2" w:rsidRDefault="00C34722" w:rsidP="003830D1">
      <w:pPr>
        <w:rPr>
          <w:color w:val="0070C0"/>
        </w:rPr>
      </w:pPr>
      <w:r>
        <w:rPr>
          <w:noProof/>
          <w:color w:val="0070C0"/>
        </w:rPr>
        <mc:AlternateContent>
          <mc:Choice Requires="wps">
            <w:drawing>
              <wp:anchor distT="0" distB="0" distL="114300" distR="114300" simplePos="0" relativeHeight="251658240" behindDoc="0" locked="0" layoutInCell="1" allowOverlap="1" wp14:anchorId="1D96A6AB" wp14:editId="4EEFC649">
                <wp:simplePos x="0" y="0"/>
                <wp:positionH relativeFrom="column">
                  <wp:posOffset>2139696</wp:posOffset>
                </wp:positionH>
                <wp:positionV relativeFrom="paragraph">
                  <wp:posOffset>347193</wp:posOffset>
                </wp:positionV>
                <wp:extent cx="2809037" cy="190195"/>
                <wp:effectExtent l="0" t="0" r="0" b="635"/>
                <wp:wrapNone/>
                <wp:docPr id="11" name="Rectangle 11"/>
                <wp:cNvGraphicFramePr/>
                <a:graphic xmlns:a="http://schemas.openxmlformats.org/drawingml/2006/main">
                  <a:graphicData uri="http://schemas.microsoft.com/office/word/2010/wordprocessingShape">
                    <wps:wsp>
                      <wps:cNvSpPr/>
                      <wps:spPr>
                        <a:xfrm>
                          <a:off x="0" y="0"/>
                          <a:ext cx="2809037" cy="190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75C6A" id="Rectangle 11" o:spid="_x0000_s1026" style="position:absolute;margin-left:168.5pt;margin-top:27.35pt;width:221.2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" fillcolor="white [3212]" stroked="f" strokeweight="1pt"/>
            </w:pict>
          </mc:Fallback>
        </mc:AlternateContent>
      </w:r>
      <w:r w:rsidR="00232DF4">
        <w:rPr>
          <w:noProof/>
          <w:color w:val="0070C0"/>
        </w:rPr>
        <w:drawing>
          <wp:inline distT="0" distB="0" distL="0" distR="0" wp14:anchorId="00567D64" wp14:editId="5604D4AA">
            <wp:extent cx="6645910" cy="3822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_funnel_dom_1_comp_1_contour_no_funnel.png"/>
                    <pic:cNvPicPr/>
                  </pic:nvPicPr>
                  <pic:blipFill rotWithShape="1">
                    <a:blip r:embed="rId16"/>
                    <a:srcRect b="20956"/>
                    <a:stretch/>
                  </pic:blipFill>
                  <pic:spPr bwMode="auto">
                    <a:xfrm>
                      <a:off x="0" y="0"/>
                      <a:ext cx="6645910" cy="3822700"/>
                    </a:xfrm>
                    <a:prstGeom prst="rect">
                      <a:avLst/>
                    </a:prstGeom>
                    <a:ln>
                      <a:noFill/>
                    </a:ln>
                    <a:extLst>
                      <a:ext uri="{53640926-AAD7-44D8-BBD7-CCE9431645EC}">
                        <a14:shadowObscured xmlns:a14="http://schemas.microsoft.com/office/drawing/2010/main"/>
                      </a:ext>
                    </a:extLst>
                  </pic:spPr>
                </pic:pic>
              </a:graphicData>
            </a:graphic>
          </wp:inline>
        </w:drawing>
      </w:r>
    </w:p>
    <w:p w14:paraId="6E36BF6A" w14:textId="796CB48A" w:rsidR="0000734F" w:rsidRPr="0000734F" w:rsidRDefault="00DE1360" w:rsidP="0000734F">
      <w:r w:rsidRPr="00DA0CC2">
        <w:rPr>
          <w:b/>
          <w:bCs/>
        </w:rPr>
        <w:t xml:space="preserve">Fig </w:t>
      </w:r>
      <w:r w:rsidR="0029188C">
        <w:rPr>
          <w:b/>
          <w:bCs/>
        </w:rPr>
        <w:t>D</w:t>
      </w:r>
      <w:r w:rsidR="00A852FC" w:rsidRPr="00DA0CC2">
        <w:rPr>
          <w:b/>
          <w:bCs/>
        </w:rPr>
        <w:t>1.</w:t>
      </w:r>
      <w:r w:rsidR="009163A7">
        <w:rPr>
          <w:b/>
          <w:bCs/>
        </w:rPr>
        <w:t>1</w:t>
      </w:r>
      <w:r w:rsidRPr="00DA0CC2">
        <w:t xml:space="preserve"> | Contour enhanced funnel plot of estimates of SMD versus their standard errors for </w:t>
      </w:r>
      <w:r w:rsidR="009163A7">
        <w:t>c</w:t>
      </w:r>
      <w:r w:rsidRPr="00DA0CC2">
        <w:t>omparison</w:t>
      </w:r>
      <w:r w:rsidR="009163A7">
        <w:t xml:space="preserve"> of</w:t>
      </w:r>
      <w:r w:rsidRPr="00DA0CC2">
        <w:t xml:space="preserve"> the effect of </w:t>
      </w:r>
      <w:r w:rsidR="005F3E01" w:rsidRPr="0000734F">
        <w:t>reflexology</w:t>
      </w:r>
      <w:r w:rsidRPr="00DA0CC2">
        <w:t xml:space="preserve"> (any mode) versus </w:t>
      </w:r>
      <w:r w:rsidR="00525D7E" w:rsidRPr="00A03245">
        <w:t>inactive control (usual care, no intervention, sham, co-intervention given in both groups)</w:t>
      </w:r>
      <w:r w:rsidRPr="00DA0CC2">
        <w:t xml:space="preserve"> on </w:t>
      </w:r>
      <w:r w:rsidR="00A852FC" w:rsidRPr="00DA0CC2">
        <w:t>pain</w:t>
      </w:r>
      <w:r w:rsidRPr="00DA0CC2">
        <w:t>. Shaded regions represent different categories of conventional milestone levels of statistical significance. SMD</w:t>
      </w:r>
      <w:r w:rsidR="009618FE" w:rsidRPr="00DA0CC2">
        <w:t xml:space="preserve"> </w:t>
      </w:r>
      <w:r w:rsidRPr="00DA0CC2">
        <w:t>=</w:t>
      </w:r>
      <w:r w:rsidR="009618FE" w:rsidRPr="00DA0CC2">
        <w:t xml:space="preserve"> </w:t>
      </w:r>
      <w:r w:rsidRPr="00DA0CC2">
        <w:t xml:space="preserve">standardised mean difference. Blue line shows the combined estimate from random effects model. </w:t>
      </w:r>
      <w:r w:rsidR="00D267E1" w:rsidRPr="00DA0CC2">
        <w:br/>
      </w:r>
      <w:bookmarkStart w:id="6" w:name="_Hlk170327570"/>
      <w:r w:rsidR="0000734F">
        <w:br w:type="page"/>
      </w:r>
    </w:p>
    <w:p w14:paraId="07CA576E" w14:textId="761712BC" w:rsidR="004342B9" w:rsidRPr="00DA0CC2" w:rsidRDefault="0029188C" w:rsidP="004342B9">
      <w:pPr>
        <w:pStyle w:val="Heading2"/>
      </w:pPr>
      <w:bookmarkStart w:id="7" w:name="_Toc171044312"/>
      <w:r>
        <w:lastRenderedPageBreak/>
        <w:t>D</w:t>
      </w:r>
      <w:r w:rsidR="0091652B" w:rsidRPr="00DA0CC2">
        <w:t>2</w:t>
      </w:r>
      <w:r w:rsidR="004342B9" w:rsidRPr="00DA0CC2">
        <w:t xml:space="preserve"> Sleep</w:t>
      </w:r>
      <w:bookmarkEnd w:id="7"/>
    </w:p>
    <w:p w14:paraId="5A8A4277" w14:textId="77777777" w:rsidR="00DD3A8F" w:rsidRPr="00DA0CC2" w:rsidRDefault="00DD3A8F" w:rsidP="00DD3A8F">
      <w:r w:rsidRPr="00DA0CC2">
        <w:t>Results presented in this section are for the subgroup analys</w:t>
      </w:r>
      <w:r>
        <w:t>i</w:t>
      </w:r>
      <w:r w:rsidRPr="00DA0CC2">
        <w:t>s</w:t>
      </w:r>
      <w:r>
        <w:t>,</w:t>
      </w:r>
      <w:r w:rsidRPr="00DA0CC2">
        <w:t xml:space="preserve"> sensitivity analys</w:t>
      </w:r>
      <w:r>
        <w:t>i</w:t>
      </w:r>
      <w:r w:rsidRPr="00DA0CC2">
        <w:t xml:space="preserve">s, and analyses to examine the risk </w:t>
      </w:r>
      <w:r>
        <w:t xml:space="preserve">of </w:t>
      </w:r>
      <w:r w:rsidRPr="00DA0CC2">
        <w:t xml:space="preserve">bias due to missing results.  </w:t>
      </w:r>
    </w:p>
    <w:p w14:paraId="0524A8A0" w14:textId="78A7BDF9" w:rsidR="00DD3A8F" w:rsidRPr="00B86DDA" w:rsidRDefault="00DD3A8F" w:rsidP="00DD3A8F">
      <w:r w:rsidRPr="00DA0CC2">
        <w:t xml:space="preserve">For the </w:t>
      </w:r>
      <w:r w:rsidRPr="00B86DDA">
        <w:t>outcome sleep, 12 studies were included in the meta-analysis that compared reflexology to an inactive control (usual care, no intervention, sham, co-intervention given in both groups).</w:t>
      </w:r>
    </w:p>
    <w:p w14:paraId="20FA5C26" w14:textId="77777777" w:rsidR="00CD603F" w:rsidRPr="00B86DDA" w:rsidRDefault="00CD603F" w:rsidP="00CD603F">
      <w:pPr>
        <w:pStyle w:val="Heading4"/>
      </w:pPr>
      <w:r w:rsidRPr="00B86DDA">
        <w:t>Results of subgroup analysis by population group</w:t>
      </w:r>
    </w:p>
    <w:p w14:paraId="5F7D0C57" w14:textId="444D8B7A" w:rsidR="00CD603F" w:rsidRPr="00DA0CC2" w:rsidRDefault="00CD603F" w:rsidP="00CD603F">
      <w:r w:rsidRPr="00B86DDA">
        <w:t>A subgroup analysis was performed to investigate whether there were difference</w:t>
      </w:r>
      <w:r w:rsidR="00722E9C">
        <w:t>s</w:t>
      </w:r>
      <w:r w:rsidRPr="00B86DDA">
        <w:t xml:space="preserve"> in the effects between population groups (i.e. </w:t>
      </w:r>
      <w:r w:rsidR="00B86DDA" w:rsidRPr="00B86DDA">
        <w:t>surgery, hospitalisation, sleep disruption, cancer and advanced disease</w:t>
      </w:r>
      <w:r w:rsidRPr="00B86DDA">
        <w:t>). Primarily</w:t>
      </w:r>
      <w:r>
        <w:t>, these were planned to explore possible</w:t>
      </w:r>
      <w:r w:rsidRPr="00DA0CC2">
        <w:t xml:space="preserve"> explanation</w:t>
      </w:r>
      <w:r>
        <w:t>s</w:t>
      </w:r>
      <w:r w:rsidRPr="00DA0CC2">
        <w:t xml:space="preserve"> for </w:t>
      </w:r>
      <w:r>
        <w:t>any</w:t>
      </w:r>
      <w:r w:rsidRPr="00DA0CC2">
        <w:t xml:space="preserve"> inconsistent effects </w:t>
      </w:r>
      <w:r>
        <w:t>if</w:t>
      </w:r>
      <w:r w:rsidRPr="00DA0CC2">
        <w:t xml:space="preserve"> observed across studies (statistical heterogeneity). </w:t>
      </w:r>
    </w:p>
    <w:p w14:paraId="5FF3B4C8" w14:textId="2B819C5C" w:rsidR="00B90889" w:rsidRPr="00B86DDA" w:rsidRDefault="00DC7650" w:rsidP="00DD3A8F">
      <w:r w:rsidRPr="00DC7650">
        <w:rPr>
          <w:i/>
        </w:rPr>
        <w:t>Assessment of heterogeneity:</w:t>
      </w:r>
      <w:r w:rsidRPr="00DC7650">
        <w:t xml:space="preserve"> </w:t>
      </w:r>
      <w:r w:rsidR="00B90889" w:rsidRPr="00B86DDA">
        <w:t xml:space="preserve">While there are differences in the size of the estimated intervention effect across studies for this comparison and outcome, the effect estimate for all </w:t>
      </w:r>
      <w:r w:rsidRPr="00B86DDA">
        <w:t>1</w:t>
      </w:r>
      <w:r w:rsidR="00B90889" w:rsidRPr="00B86DDA">
        <w:t xml:space="preserve">2 studies was above the threshold for an important improvement in sleep quality (i.e. an SMD &gt; 0.2). As such, the observed inconsistency is considered unimportant as it does not alter the interpretation of findings for this outcome. </w:t>
      </w:r>
    </w:p>
    <w:p w14:paraId="65686ED8" w14:textId="34880EE3" w:rsidR="00DE1360" w:rsidRPr="00B86DDA" w:rsidRDefault="00DD3A8F" w:rsidP="00E733DB">
      <w:pPr>
        <w:rPr>
          <w:b/>
          <w:bCs/>
          <w:i/>
          <w:iCs/>
        </w:rPr>
      </w:pPr>
      <w:r w:rsidRPr="00B86DDA">
        <w:t>T</w:t>
      </w:r>
      <w:r w:rsidR="001D2218" w:rsidRPr="00B86DDA">
        <w:t xml:space="preserve">he subgroup analyses </w:t>
      </w:r>
      <w:r w:rsidR="00B86DDA" w:rsidRPr="00B86DDA">
        <w:t>may</w:t>
      </w:r>
      <w:r w:rsidRPr="00B86DDA">
        <w:t xml:space="preserve"> </w:t>
      </w:r>
      <w:r w:rsidR="00DC7650" w:rsidRPr="00B86DDA">
        <w:t>explain</w:t>
      </w:r>
      <w:r w:rsidR="001D2218" w:rsidRPr="00B86DDA">
        <w:t xml:space="preserve"> </w:t>
      </w:r>
      <w:r w:rsidR="00B86DDA" w:rsidRPr="00B86DDA">
        <w:t>some of the</w:t>
      </w:r>
      <w:r w:rsidR="001D2218" w:rsidRPr="00B86DDA">
        <w:t xml:space="preserve"> observed </w:t>
      </w:r>
      <w:r w:rsidR="00DC7650" w:rsidRPr="00B86DDA">
        <w:t xml:space="preserve">differences </w:t>
      </w:r>
      <w:r w:rsidR="001D2218" w:rsidRPr="00B86DDA">
        <w:t xml:space="preserve">across studies in the direction or size of the observed effect. </w:t>
      </w:r>
      <w:r w:rsidR="00DE1360" w:rsidRPr="00B86DDA">
        <w:t xml:space="preserve">Results for this analysis are presented in the main report (Section </w:t>
      </w:r>
      <w:r w:rsidR="00BA3F81" w:rsidRPr="00B86DDA">
        <w:t>4.4</w:t>
      </w:r>
      <w:r w:rsidR="00DE1360" w:rsidRPr="00B86DDA">
        <w:t xml:space="preserve">, Figure </w:t>
      </w:r>
      <w:r w:rsidR="00BA3F81" w:rsidRPr="00B86DDA">
        <w:t>4.4.1</w:t>
      </w:r>
      <w:r w:rsidR="00DE1360" w:rsidRPr="00B86DDA">
        <w:t xml:space="preserve">). The test for subgroup differences was </w:t>
      </w:r>
      <w:r w:rsidR="006E4D75" w:rsidRPr="00B86DDA">
        <w:t xml:space="preserve">statistically </w:t>
      </w:r>
      <w:r w:rsidR="00DE1360" w:rsidRPr="00B86DDA">
        <w:t>significant (</w:t>
      </w:r>
      <w:r w:rsidR="009618FE" w:rsidRPr="00B86DDA">
        <w:t xml:space="preserve">P </w:t>
      </w:r>
      <w:r w:rsidR="00DE1360" w:rsidRPr="00B86DDA">
        <w:t>=</w:t>
      </w:r>
      <w:r w:rsidR="009618FE" w:rsidRPr="00B86DDA">
        <w:t xml:space="preserve"> </w:t>
      </w:r>
      <w:r w:rsidR="00DE1360" w:rsidRPr="00B86DDA">
        <w:t>0.</w:t>
      </w:r>
      <w:r w:rsidR="00B86DDA" w:rsidRPr="00B86DDA">
        <w:t>0</w:t>
      </w:r>
      <w:r w:rsidR="004B6240" w:rsidRPr="00B86DDA">
        <w:t>4</w:t>
      </w:r>
      <w:r w:rsidR="00B86DDA" w:rsidRPr="00B86DDA">
        <w:t>5</w:t>
      </w:r>
      <w:r w:rsidR="00DE1360" w:rsidRPr="00B86DDA">
        <w:t>)</w:t>
      </w:r>
      <w:r w:rsidR="00B86DDA" w:rsidRPr="00B86DDA">
        <w:t xml:space="preserve">, but </w:t>
      </w:r>
      <w:r w:rsidR="00DE1360" w:rsidRPr="00B86DDA">
        <w:t xml:space="preserve">the combined estimate of effect indicated an important </w:t>
      </w:r>
      <w:r w:rsidR="004B6240" w:rsidRPr="00B86DDA">
        <w:t>improvement in sleep</w:t>
      </w:r>
      <w:r w:rsidR="00DE1360" w:rsidRPr="00B86DDA">
        <w:t xml:space="preserve"> for each of the population groups.</w:t>
      </w:r>
      <w:r w:rsidR="00B86DDA" w:rsidRPr="00B86DDA">
        <w:t xml:space="preserve"> </w:t>
      </w:r>
      <w:r w:rsidR="0004369B" w:rsidRPr="00B86DDA">
        <w:t>Overall, there is evidence that the effects are consistent across population groups (all showing important benefit, despite variation in the magnitude of benefit)</w:t>
      </w:r>
      <w:r w:rsidR="003261AE" w:rsidRPr="00B86DDA">
        <w:t>.</w:t>
      </w:r>
      <w:r w:rsidR="00B86DDA" w:rsidRPr="00B86DDA">
        <w:t xml:space="preserve"> </w:t>
      </w:r>
    </w:p>
    <w:p w14:paraId="4C947540" w14:textId="1FA501AB" w:rsidR="00DE1360" w:rsidRPr="00DA0CC2" w:rsidRDefault="00DE1360" w:rsidP="00DE1360">
      <w:pPr>
        <w:pStyle w:val="Heading4"/>
      </w:pPr>
      <w:r w:rsidRPr="00DA0CC2">
        <w:t>Results of sensitivity analyses</w:t>
      </w:r>
    </w:p>
    <w:p w14:paraId="7662F216" w14:textId="32D708EA" w:rsidR="00DE1360" w:rsidRPr="00DA0CC2" w:rsidRDefault="00DE1360" w:rsidP="00DE1360">
      <w:r w:rsidRPr="00DA0CC2">
        <w:rPr>
          <w:b/>
        </w:rPr>
        <w:t xml:space="preserve">Table </w:t>
      </w:r>
      <w:r w:rsidR="0029188C">
        <w:rPr>
          <w:b/>
        </w:rPr>
        <w:t>D</w:t>
      </w:r>
      <w:r w:rsidR="00205771">
        <w:rPr>
          <w:b/>
        </w:rPr>
        <w:t>2</w:t>
      </w:r>
      <w:r w:rsidRPr="00DA0CC2">
        <w:rPr>
          <w:b/>
        </w:rPr>
        <w:t>.1</w:t>
      </w:r>
      <w:r w:rsidRPr="00DA0CC2">
        <w:t xml:space="preserve"> presents results for the original analysis (all studies, random effects model) and </w:t>
      </w:r>
      <w:r w:rsidR="00B90889">
        <w:t xml:space="preserve">two </w:t>
      </w:r>
      <w:r w:rsidRPr="00DA0CC2">
        <w:t xml:space="preserve">sensitivity analyses. These sensitivity analyses investigate: </w:t>
      </w:r>
    </w:p>
    <w:p w14:paraId="1038ADCB" w14:textId="7A12D273" w:rsidR="00DE1360" w:rsidRPr="00DA0CC2" w:rsidRDefault="00DE1360" w:rsidP="00B86DDA">
      <w:pPr>
        <w:pStyle w:val="ListParagraph"/>
        <w:numPr>
          <w:ilvl w:val="0"/>
          <w:numId w:val="54"/>
        </w:numPr>
      </w:pPr>
      <w:r w:rsidRPr="00DA0CC2">
        <w:t>whether the combined estimate is sensitive to the assumptions that were made to enable inclusion of results in the meta-analysis, specifically</w:t>
      </w:r>
      <w:r w:rsidR="00B90889">
        <w:t xml:space="preserve"> </w:t>
      </w:r>
      <w:r w:rsidRPr="00DA0CC2">
        <w:t>transforming or imputing statistics, and including change scores (change from baseline) when post-intervention (final) values (and their standard deviations) were unavailable; and</w:t>
      </w:r>
    </w:p>
    <w:p w14:paraId="69700841" w14:textId="77777777" w:rsidR="00DE1360" w:rsidRPr="00DA0CC2" w:rsidRDefault="00DE1360" w:rsidP="00B86DDA">
      <w:pPr>
        <w:pStyle w:val="ListParagraph"/>
        <w:numPr>
          <w:ilvl w:val="0"/>
          <w:numId w:val="54"/>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bookmarkEnd w:id="6"/>
    <w:p w14:paraId="2DE0D034" w14:textId="287CCF9B" w:rsidR="00D84A69" w:rsidRPr="00356E39" w:rsidRDefault="00356E39" w:rsidP="00DE1360">
      <w:r>
        <w:t xml:space="preserve">The first sensitivity analysis was not required because </w:t>
      </w:r>
      <w:r w:rsidR="00C64D81">
        <w:t>we did not need to</w:t>
      </w:r>
      <w:r>
        <w:t xml:space="preserve"> calculat</w:t>
      </w:r>
      <w:r w:rsidR="00C64D81">
        <w:t>e</w:t>
      </w:r>
      <w:r>
        <w:t xml:space="preserve"> / imput</w:t>
      </w:r>
      <w:r w:rsidR="00C64D81">
        <w:t>e</w:t>
      </w:r>
      <w:r>
        <w:t xml:space="preserve"> statistics or use change scores </w:t>
      </w:r>
      <w:r w:rsidR="00C64D81">
        <w:t xml:space="preserve">for </w:t>
      </w:r>
      <w:r w:rsidR="006E6C33">
        <w:t xml:space="preserve">any studies in </w:t>
      </w:r>
      <w:r w:rsidR="00C64D81">
        <w:t>this meta-analysis</w:t>
      </w:r>
      <w:r>
        <w:t xml:space="preserve">. </w:t>
      </w:r>
      <w:r w:rsidR="00DE1360" w:rsidRPr="00356E39">
        <w:t xml:space="preserve"> </w:t>
      </w:r>
    </w:p>
    <w:p w14:paraId="48A9E727" w14:textId="3882495F" w:rsidR="005F3E01" w:rsidRPr="00DA0CC2" w:rsidRDefault="005F3E01" w:rsidP="005F3E01">
      <w:pPr>
        <w:rPr>
          <w:b/>
          <w:color w:val="000000" w:themeColor="text1"/>
        </w:rPr>
      </w:pPr>
      <w:r w:rsidRPr="00DA0CC2">
        <w:rPr>
          <w:b/>
          <w:color w:val="000000" w:themeColor="text1"/>
        </w:rPr>
        <w:t xml:space="preserve">Table </w:t>
      </w:r>
      <w:r>
        <w:rPr>
          <w:b/>
          <w:color w:val="000000" w:themeColor="text1"/>
        </w:rPr>
        <w:t>D</w:t>
      </w:r>
      <w:r w:rsidR="00205771">
        <w:rPr>
          <w:b/>
          <w:color w:val="000000" w:themeColor="text1"/>
        </w:rPr>
        <w:t>2</w:t>
      </w:r>
      <w:r w:rsidRPr="00DA0CC2">
        <w:rPr>
          <w:b/>
          <w:color w:val="000000" w:themeColor="text1"/>
        </w:rPr>
        <w:t xml:space="preserve">.1. Sensitivity analyses for </w:t>
      </w:r>
      <w:r>
        <w:rPr>
          <w:b/>
          <w:color w:val="000000" w:themeColor="text1"/>
        </w:rPr>
        <w:t>sleep</w:t>
      </w:r>
      <w:r w:rsidRPr="00DA0CC2">
        <w:rPr>
          <w:b/>
          <w:color w:val="000000" w:themeColor="text1"/>
        </w:rPr>
        <w:t xml:space="preserve"> outcome</w:t>
      </w:r>
    </w:p>
    <w:tbl>
      <w:tblPr>
        <w:tblStyle w:val="TableGrid"/>
        <w:tblW w:w="5000" w:type="pct"/>
        <w:tblLook w:val="04A0" w:firstRow="1" w:lastRow="0" w:firstColumn="1" w:lastColumn="0" w:noHBand="0" w:noVBand="1"/>
      </w:tblPr>
      <w:tblGrid>
        <w:gridCol w:w="1730"/>
        <w:gridCol w:w="2732"/>
        <w:gridCol w:w="653"/>
        <w:gridCol w:w="2155"/>
        <w:gridCol w:w="653"/>
        <w:gridCol w:w="2538"/>
      </w:tblGrid>
      <w:tr w:rsidR="005F3E01" w:rsidRPr="00DA0CC2" w14:paraId="1A392040" w14:textId="77777777" w:rsidTr="00393CE7">
        <w:tc>
          <w:tcPr>
            <w:tcW w:w="827" w:type="pct"/>
            <w:tcBorders>
              <w:top w:val="single" w:sz="4" w:space="0" w:color="auto"/>
              <w:bottom w:val="single" w:sz="4" w:space="0" w:color="auto"/>
            </w:tcBorders>
          </w:tcPr>
          <w:p w14:paraId="39158ED9"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w:t>
            </w:r>
          </w:p>
        </w:tc>
        <w:tc>
          <w:tcPr>
            <w:tcW w:w="1306" w:type="pct"/>
            <w:tcBorders>
              <w:top w:val="single" w:sz="4" w:space="0" w:color="auto"/>
              <w:bottom w:val="single" w:sz="4" w:space="0" w:color="auto"/>
              <w:right w:val="single" w:sz="4" w:space="0" w:color="auto"/>
            </w:tcBorders>
          </w:tcPr>
          <w:p w14:paraId="0B15DFD8"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Purpose of sensitivity analysis</w:t>
            </w:r>
          </w:p>
        </w:tc>
        <w:tc>
          <w:tcPr>
            <w:tcW w:w="312" w:type="pct"/>
            <w:tcBorders>
              <w:top w:val="single" w:sz="4" w:space="0" w:color="auto"/>
              <w:left w:val="single" w:sz="4" w:space="0" w:color="auto"/>
              <w:bottom w:val="single" w:sz="4" w:space="0" w:color="auto"/>
            </w:tcBorders>
          </w:tcPr>
          <w:p w14:paraId="6139201B"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030" w:type="pct"/>
            <w:tcBorders>
              <w:top w:val="single" w:sz="4" w:space="0" w:color="auto"/>
              <w:left w:val="nil"/>
              <w:bottom w:val="single" w:sz="4" w:space="0" w:color="auto"/>
              <w:right w:val="single" w:sz="4" w:space="0" w:color="auto"/>
            </w:tcBorders>
          </w:tcPr>
          <w:p w14:paraId="6791A650"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Original effect (95% CI)</w:t>
            </w:r>
          </w:p>
        </w:tc>
        <w:tc>
          <w:tcPr>
            <w:tcW w:w="312" w:type="pct"/>
            <w:tcBorders>
              <w:top w:val="single" w:sz="4" w:space="0" w:color="auto"/>
              <w:left w:val="single" w:sz="4" w:space="0" w:color="auto"/>
              <w:bottom w:val="single" w:sz="4" w:space="0" w:color="auto"/>
            </w:tcBorders>
          </w:tcPr>
          <w:p w14:paraId="59A64A97"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213" w:type="pct"/>
            <w:tcBorders>
              <w:top w:val="single" w:sz="4" w:space="0" w:color="auto"/>
              <w:left w:val="nil"/>
              <w:bottom w:val="single" w:sz="4" w:space="0" w:color="auto"/>
              <w:right w:val="nil"/>
            </w:tcBorders>
          </w:tcPr>
          <w:p w14:paraId="5B88628A"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 effect</w:t>
            </w:r>
          </w:p>
        </w:tc>
      </w:tr>
      <w:tr w:rsidR="005F3E01" w:rsidRPr="00DA0CC2" w14:paraId="41335011" w14:textId="77777777" w:rsidTr="00C539FE">
        <w:tc>
          <w:tcPr>
            <w:tcW w:w="827" w:type="pct"/>
            <w:tcBorders>
              <w:top w:val="single" w:sz="4" w:space="0" w:color="D9D9D9" w:themeColor="background1" w:themeShade="D9"/>
              <w:bottom w:val="single" w:sz="4" w:space="0" w:color="D9D9D9" w:themeColor="background1" w:themeShade="D9"/>
            </w:tcBorders>
          </w:tcPr>
          <w:p w14:paraId="1C97021B" w14:textId="3A22BC16" w:rsidR="005F3E01" w:rsidRPr="00DA0CC2" w:rsidRDefault="00FD4F09"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imputation, transformations or change scores</w:t>
            </w:r>
            <w:r w:rsidRPr="00DA0CC2">
              <w:rPr>
                <w:rFonts w:asciiTheme="minorHAnsi" w:hAnsiTheme="minorHAnsi" w:cstheme="minorHAnsi"/>
                <w:color w:val="000000" w:themeColor="text1"/>
                <w:sz w:val="18"/>
                <w:szCs w:val="18"/>
                <w:vertAlign w:val="superscript"/>
              </w:rPr>
              <w:t xml:space="preserve"> </w:t>
            </w:r>
            <w:r w:rsidR="00356E39">
              <w:rPr>
                <w:rFonts w:asciiTheme="minorHAnsi" w:hAnsiTheme="minorHAnsi" w:cstheme="minorHAnsi"/>
                <w:color w:val="000000" w:themeColor="text1"/>
                <w:sz w:val="18"/>
                <w:szCs w:val="18"/>
                <w:vertAlign w:val="superscript"/>
              </w:rPr>
              <w:t>1</w:t>
            </w:r>
            <w:r w:rsidR="005F3E01" w:rsidRPr="00DA0CC2">
              <w:rPr>
                <w:rFonts w:asciiTheme="minorHAnsi" w:hAnsiTheme="minorHAnsi" w:cstheme="minorHAnsi"/>
                <w:color w:val="000000" w:themeColor="text1"/>
                <w:sz w:val="18"/>
                <w:szCs w:val="18"/>
              </w:rPr>
              <w:t xml:space="preserve"> </w:t>
            </w:r>
          </w:p>
        </w:tc>
        <w:tc>
          <w:tcPr>
            <w:tcW w:w="1306" w:type="pct"/>
            <w:tcBorders>
              <w:top w:val="single" w:sz="4" w:space="0" w:color="D9D9D9" w:themeColor="background1" w:themeShade="D9"/>
              <w:bottom w:val="single" w:sz="4" w:space="0" w:color="D9D9D9" w:themeColor="background1" w:themeShade="D9"/>
            </w:tcBorders>
          </w:tcPr>
          <w:p w14:paraId="68388AE4"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312" w:type="pct"/>
            <w:tcBorders>
              <w:top w:val="single" w:sz="4" w:space="0" w:color="D9D9D9" w:themeColor="background1" w:themeShade="D9"/>
              <w:bottom w:val="single" w:sz="4" w:space="0" w:color="D9D9D9" w:themeColor="background1" w:themeShade="D9"/>
            </w:tcBorders>
          </w:tcPr>
          <w:p w14:paraId="5C3538CC" w14:textId="1495A408" w:rsidR="005F3E01" w:rsidRPr="00DA0CC2" w:rsidRDefault="0065623A" w:rsidP="00393CE7">
            <w:pPr>
              <w:spacing w:after="60"/>
              <w:rPr>
                <w:rFonts w:asciiTheme="minorHAnsi" w:hAnsiTheme="minorHAnsi" w:cstheme="minorHAnsi"/>
                <w:sz w:val="18"/>
                <w:szCs w:val="18"/>
              </w:rPr>
            </w:pPr>
            <w:r>
              <w:rPr>
                <w:rFonts w:asciiTheme="minorHAnsi" w:hAnsiTheme="minorHAnsi" w:cstheme="minorHAnsi"/>
                <w:sz w:val="18"/>
                <w:szCs w:val="18"/>
              </w:rPr>
              <w:t>12</w:t>
            </w:r>
          </w:p>
        </w:tc>
        <w:tc>
          <w:tcPr>
            <w:tcW w:w="1030" w:type="pct"/>
            <w:tcBorders>
              <w:top w:val="single" w:sz="4" w:space="0" w:color="D9D9D9" w:themeColor="background1" w:themeShade="D9"/>
              <w:bottom w:val="single" w:sz="4" w:space="0" w:color="D9D9D9" w:themeColor="background1" w:themeShade="D9"/>
            </w:tcBorders>
          </w:tcPr>
          <w:p w14:paraId="00D0E080" w14:textId="38A2B64D" w:rsidR="005F3E01" w:rsidRPr="00DA0CC2" w:rsidRDefault="005F3E01"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2701E6">
              <w:rPr>
                <w:rFonts w:asciiTheme="minorHAnsi" w:hAnsiTheme="minorHAnsi" w:cstheme="minorHAnsi"/>
                <w:sz w:val="18"/>
                <w:szCs w:val="18"/>
              </w:rPr>
              <w:t xml:space="preserve">1.37 </w:t>
            </w:r>
            <w:r w:rsidRPr="00DA0CC2">
              <w:rPr>
                <w:rFonts w:asciiTheme="minorHAnsi" w:hAnsiTheme="minorHAnsi" w:cstheme="minorHAnsi"/>
                <w:sz w:val="18"/>
                <w:szCs w:val="18"/>
              </w:rPr>
              <w:t>(</w:t>
            </w:r>
            <w:r w:rsidR="002701E6">
              <w:rPr>
                <w:rFonts w:asciiTheme="minorHAnsi" w:hAnsiTheme="minorHAnsi" w:cstheme="minorHAnsi"/>
                <w:sz w:val="18"/>
                <w:szCs w:val="18"/>
              </w:rPr>
              <w:t xml:space="preserve">0.88 </w:t>
            </w:r>
            <w:r w:rsidRPr="00DA0CC2">
              <w:rPr>
                <w:rFonts w:asciiTheme="minorHAnsi" w:hAnsiTheme="minorHAnsi" w:cstheme="minorHAnsi"/>
                <w:sz w:val="18"/>
                <w:szCs w:val="18"/>
              </w:rPr>
              <w:t xml:space="preserve">to </w:t>
            </w:r>
            <w:r w:rsidRPr="00DA0CC2">
              <w:rPr>
                <w:rFonts w:asciiTheme="minorHAnsi" w:hAnsiTheme="minorHAnsi" w:cstheme="minorHAnsi"/>
                <w:sz w:val="18"/>
                <w:szCs w:val="18"/>
              </w:rPr>
              <w:br/>
            </w:r>
            <w:r w:rsidR="002701E6">
              <w:rPr>
                <w:rFonts w:asciiTheme="minorHAnsi" w:hAnsiTheme="minorHAnsi" w:cstheme="minorHAnsi"/>
                <w:sz w:val="18"/>
                <w:szCs w:val="18"/>
              </w:rPr>
              <w:t>1.87</w:t>
            </w:r>
            <w:r w:rsidRPr="00DA0CC2">
              <w:rPr>
                <w:rFonts w:asciiTheme="minorHAnsi" w:hAnsiTheme="minorHAnsi" w:cstheme="minorHAnsi"/>
                <w:sz w:val="18"/>
                <w:szCs w:val="18"/>
              </w:rPr>
              <w:t xml:space="preserve">); I2 = </w:t>
            </w:r>
            <w:r w:rsidR="002701E6">
              <w:rPr>
                <w:rFonts w:asciiTheme="minorHAnsi" w:hAnsiTheme="minorHAnsi" w:cstheme="minorHAnsi"/>
                <w:sz w:val="18"/>
                <w:szCs w:val="18"/>
              </w:rPr>
              <w:t>87</w:t>
            </w:r>
            <w:r w:rsidRPr="00DA0CC2">
              <w:rPr>
                <w:rFonts w:asciiTheme="minorHAnsi" w:hAnsiTheme="minorHAnsi" w:cstheme="minorHAnsi"/>
                <w:sz w:val="18"/>
                <w:szCs w:val="18"/>
              </w:rPr>
              <w:t>%</w:t>
            </w:r>
          </w:p>
        </w:tc>
        <w:tc>
          <w:tcPr>
            <w:tcW w:w="312" w:type="pc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684141AD" w14:textId="5BF094AA" w:rsidR="005F3E01" w:rsidRPr="00DA0CC2" w:rsidRDefault="005F3E01" w:rsidP="00393CE7">
            <w:pPr>
              <w:spacing w:after="60"/>
              <w:rPr>
                <w:rFonts w:asciiTheme="minorHAnsi" w:hAnsiTheme="minorHAnsi" w:cstheme="minorHAnsi"/>
                <w:sz w:val="18"/>
                <w:szCs w:val="18"/>
              </w:rPr>
            </w:pPr>
          </w:p>
        </w:tc>
        <w:tc>
          <w:tcPr>
            <w:tcW w:w="1213" w:type="pct"/>
            <w:tcBorders>
              <w:top w:val="single" w:sz="4" w:space="0" w:color="auto"/>
              <w:bottom w:val="single" w:sz="4" w:space="0" w:color="D9D9D9" w:themeColor="background1" w:themeShade="D9"/>
              <w:right w:val="nil"/>
            </w:tcBorders>
            <w:shd w:val="clear" w:color="auto" w:fill="F2F2F2" w:themeFill="background1" w:themeFillShade="F2"/>
          </w:tcPr>
          <w:p w14:paraId="2A816603" w14:textId="18125C17" w:rsidR="005F3E01" w:rsidRPr="00DA0CC2" w:rsidRDefault="00C539FE" w:rsidP="00393CE7">
            <w:pPr>
              <w:spacing w:after="60"/>
              <w:rPr>
                <w:rFonts w:asciiTheme="minorHAnsi" w:hAnsiTheme="minorHAnsi" w:cstheme="minorHAnsi"/>
                <w:sz w:val="18"/>
                <w:szCs w:val="18"/>
              </w:rPr>
            </w:pPr>
            <w:r>
              <w:rPr>
                <w:rFonts w:asciiTheme="minorHAnsi" w:hAnsiTheme="minorHAnsi" w:cstheme="minorHAnsi"/>
                <w:sz w:val="18"/>
                <w:szCs w:val="18"/>
              </w:rPr>
              <w:t>Not required (no imputation, transformation, or change scores)</w:t>
            </w:r>
          </w:p>
        </w:tc>
      </w:tr>
      <w:tr w:rsidR="005F3E01" w:rsidRPr="00DA0CC2" w14:paraId="18825F0F" w14:textId="77777777" w:rsidTr="00393CE7">
        <w:tc>
          <w:tcPr>
            <w:tcW w:w="827" w:type="pct"/>
            <w:tcBorders>
              <w:top w:val="single" w:sz="4" w:space="0" w:color="D9D9D9" w:themeColor="background1" w:themeShade="D9"/>
              <w:bottom w:val="single" w:sz="4" w:space="0" w:color="auto"/>
            </w:tcBorders>
          </w:tcPr>
          <w:p w14:paraId="701CC2FD"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Fixed effect analysis</w:t>
            </w:r>
          </w:p>
        </w:tc>
        <w:tc>
          <w:tcPr>
            <w:tcW w:w="1306" w:type="pct"/>
            <w:tcBorders>
              <w:top w:val="single" w:sz="4" w:space="0" w:color="D9D9D9" w:themeColor="background1" w:themeShade="D9"/>
              <w:bottom w:val="single" w:sz="4" w:space="0" w:color="auto"/>
            </w:tcBorders>
          </w:tcPr>
          <w:p w14:paraId="1A71543B"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small study effects (bias due to missing results)</w:t>
            </w:r>
          </w:p>
        </w:tc>
        <w:tc>
          <w:tcPr>
            <w:tcW w:w="312" w:type="pct"/>
            <w:tcBorders>
              <w:top w:val="single" w:sz="4" w:space="0" w:color="D9D9D9" w:themeColor="background1" w:themeShade="D9"/>
              <w:bottom w:val="single" w:sz="4" w:space="0" w:color="auto"/>
            </w:tcBorders>
            <w:shd w:val="clear" w:color="auto" w:fill="F2F2F2" w:themeFill="background1" w:themeFillShade="F2"/>
          </w:tcPr>
          <w:p w14:paraId="08B919B4" w14:textId="77777777" w:rsidR="005F3E01" w:rsidRPr="00DA0CC2" w:rsidRDefault="005F3E01" w:rsidP="00393CE7">
            <w:pPr>
              <w:spacing w:after="60"/>
              <w:rPr>
                <w:rFonts w:asciiTheme="minorHAnsi" w:hAnsiTheme="minorHAnsi" w:cstheme="minorHAnsi"/>
                <w:sz w:val="18"/>
                <w:szCs w:val="18"/>
              </w:rPr>
            </w:pPr>
          </w:p>
        </w:tc>
        <w:tc>
          <w:tcPr>
            <w:tcW w:w="1030" w:type="pct"/>
            <w:tcBorders>
              <w:top w:val="single" w:sz="4" w:space="0" w:color="D9D9D9" w:themeColor="background1" w:themeShade="D9"/>
              <w:bottom w:val="single" w:sz="4" w:space="0" w:color="auto"/>
            </w:tcBorders>
            <w:shd w:val="clear" w:color="auto" w:fill="F2F2F2" w:themeFill="background1" w:themeFillShade="F2"/>
          </w:tcPr>
          <w:p w14:paraId="401BBFB2" w14:textId="77777777" w:rsidR="005F3E01" w:rsidRPr="00DA0CC2" w:rsidRDefault="005F3E01" w:rsidP="00393CE7">
            <w:pPr>
              <w:spacing w:after="60"/>
              <w:rPr>
                <w:rFonts w:asciiTheme="minorHAnsi" w:hAnsiTheme="minorHAnsi" w:cstheme="minorHAnsi"/>
                <w:sz w:val="18"/>
                <w:szCs w:val="18"/>
              </w:rPr>
            </w:pPr>
          </w:p>
        </w:tc>
        <w:tc>
          <w:tcPr>
            <w:tcW w:w="312" w:type="pct"/>
            <w:tcBorders>
              <w:top w:val="single" w:sz="4" w:space="0" w:color="D9D9D9" w:themeColor="background1" w:themeShade="D9"/>
              <w:bottom w:val="single" w:sz="4" w:space="0" w:color="auto"/>
            </w:tcBorders>
          </w:tcPr>
          <w:p w14:paraId="0395D713" w14:textId="31BC4963" w:rsidR="005F3E01" w:rsidRPr="00DA0CC2" w:rsidRDefault="0065623A" w:rsidP="00393CE7">
            <w:pPr>
              <w:spacing w:after="60"/>
              <w:rPr>
                <w:rFonts w:asciiTheme="minorHAnsi" w:hAnsiTheme="minorHAnsi" w:cstheme="minorHAnsi"/>
                <w:sz w:val="18"/>
                <w:szCs w:val="18"/>
              </w:rPr>
            </w:pPr>
            <w:r>
              <w:rPr>
                <w:rFonts w:asciiTheme="minorHAnsi" w:hAnsiTheme="minorHAnsi" w:cstheme="minorHAnsi"/>
                <w:sz w:val="18"/>
                <w:szCs w:val="18"/>
              </w:rPr>
              <w:t>12</w:t>
            </w:r>
          </w:p>
        </w:tc>
        <w:tc>
          <w:tcPr>
            <w:tcW w:w="1213" w:type="pct"/>
            <w:tcBorders>
              <w:top w:val="single" w:sz="4" w:space="0" w:color="D9D9D9" w:themeColor="background1" w:themeShade="D9"/>
              <w:bottom w:val="single" w:sz="4" w:space="0" w:color="auto"/>
              <w:right w:val="nil"/>
            </w:tcBorders>
          </w:tcPr>
          <w:p w14:paraId="2668AB5A" w14:textId="628DEF3A" w:rsidR="005F3E01" w:rsidRPr="00DA0CC2" w:rsidRDefault="002701E6"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Pr>
                <w:rFonts w:asciiTheme="minorHAnsi" w:hAnsiTheme="minorHAnsi" w:cstheme="minorHAnsi"/>
                <w:sz w:val="18"/>
                <w:szCs w:val="18"/>
              </w:rPr>
              <w:t>1.21</w:t>
            </w:r>
            <w:r w:rsidRPr="00DA0CC2">
              <w:rPr>
                <w:rFonts w:asciiTheme="minorHAnsi" w:hAnsiTheme="minorHAnsi" w:cstheme="minorHAnsi"/>
                <w:sz w:val="18"/>
                <w:szCs w:val="18"/>
              </w:rPr>
              <w:t xml:space="preserve"> (</w:t>
            </w:r>
            <w:r>
              <w:rPr>
                <w:rFonts w:asciiTheme="minorHAnsi" w:hAnsiTheme="minorHAnsi" w:cstheme="minorHAnsi"/>
                <w:sz w:val="18"/>
                <w:szCs w:val="18"/>
              </w:rPr>
              <w:t xml:space="preserve">1.06 </w:t>
            </w:r>
            <w:r w:rsidRPr="00DA0CC2">
              <w:rPr>
                <w:rFonts w:asciiTheme="minorHAnsi" w:hAnsiTheme="minorHAnsi" w:cstheme="minorHAnsi"/>
                <w:sz w:val="18"/>
                <w:szCs w:val="18"/>
              </w:rPr>
              <w:t>to</w:t>
            </w:r>
            <w:r>
              <w:rPr>
                <w:rFonts w:asciiTheme="minorHAnsi" w:hAnsiTheme="minorHAnsi" w:cstheme="minorHAnsi"/>
                <w:sz w:val="18"/>
                <w:szCs w:val="18"/>
              </w:rPr>
              <w:t xml:space="preserve"> 1.37</w:t>
            </w:r>
            <w:r w:rsidRPr="00DA0CC2">
              <w:rPr>
                <w:rFonts w:asciiTheme="minorHAnsi" w:hAnsiTheme="minorHAnsi" w:cstheme="minorHAnsi"/>
                <w:sz w:val="18"/>
                <w:szCs w:val="18"/>
              </w:rPr>
              <w:t xml:space="preserve">); I2 = </w:t>
            </w:r>
            <w:r>
              <w:rPr>
                <w:rFonts w:asciiTheme="minorHAnsi" w:hAnsiTheme="minorHAnsi" w:cstheme="minorHAnsi"/>
                <w:sz w:val="18"/>
                <w:szCs w:val="18"/>
              </w:rPr>
              <w:t>85</w:t>
            </w:r>
            <w:r w:rsidRPr="00DA0CC2">
              <w:rPr>
                <w:rFonts w:asciiTheme="minorHAnsi" w:hAnsiTheme="minorHAnsi" w:cstheme="minorHAnsi"/>
                <w:sz w:val="18"/>
                <w:szCs w:val="18"/>
              </w:rPr>
              <w:t>%</w:t>
            </w:r>
          </w:p>
        </w:tc>
      </w:tr>
    </w:tbl>
    <w:p w14:paraId="08BBE33F" w14:textId="36FD3F47" w:rsidR="005F3E01" w:rsidRPr="00356E39" w:rsidRDefault="005F3E01" w:rsidP="005F3E01">
      <w:pPr>
        <w:spacing w:after="60"/>
        <w:rPr>
          <w:sz w:val="18"/>
        </w:rPr>
      </w:pPr>
      <w:r>
        <w:rPr>
          <w:sz w:val="22"/>
          <w:vertAlign w:val="superscript"/>
        </w:rPr>
        <w:t>1</w:t>
      </w:r>
      <w:r w:rsidRPr="00DA0CC2">
        <w:rPr>
          <w:sz w:val="18"/>
        </w:rPr>
        <w:t xml:space="preserve"> This analysis was limited to trials that (a) reported </w:t>
      </w:r>
      <w:proofErr w:type="spellStart"/>
      <w:r w:rsidRPr="00DA0CC2">
        <w:rPr>
          <w:sz w:val="18"/>
        </w:rPr>
        <w:t>i</w:t>
      </w:r>
      <w:proofErr w:type="spellEnd"/>
      <w:r w:rsidRPr="00DA0CC2">
        <w:rPr>
          <w:sz w:val="18"/>
        </w:rPr>
        <w:t xml:space="preserve">) means and standard deviations, ii) means and standard errors, or iii) mean differences and their confidence intervals, </w:t>
      </w:r>
      <w:r w:rsidRPr="00DA0CC2">
        <w:rPr>
          <w:sz w:val="18"/>
          <w:szCs w:val="18"/>
        </w:rPr>
        <w:t>and (b) had post-intervention (final) values available.</w:t>
      </w:r>
    </w:p>
    <w:p w14:paraId="2B099273" w14:textId="77777777" w:rsidR="005F3E01" w:rsidRDefault="005F3E01" w:rsidP="005F3E01">
      <w:pPr>
        <w:spacing w:after="60"/>
        <w:rPr>
          <w:sz w:val="18"/>
          <w:szCs w:val="18"/>
        </w:rPr>
      </w:pPr>
      <w:r w:rsidRPr="00DA0CC2">
        <w:rPr>
          <w:i/>
          <w:sz w:val="18"/>
          <w:szCs w:val="18"/>
        </w:rPr>
        <w:t>Abbreviations</w:t>
      </w:r>
      <w:r w:rsidRPr="00DA0CC2">
        <w:rPr>
          <w:sz w:val="18"/>
          <w:szCs w:val="18"/>
        </w:rPr>
        <w:t>. MA = meta-analysis; SMD = standardised mean difference; CI = confidence interval</w:t>
      </w:r>
    </w:p>
    <w:p w14:paraId="5C70A76C" w14:textId="77777777" w:rsidR="00A00A5E" w:rsidRPr="00DA0CC2" w:rsidRDefault="00A00A5E" w:rsidP="005F3E01">
      <w:pPr>
        <w:spacing w:after="60"/>
        <w:rPr>
          <w:sz w:val="18"/>
          <w:szCs w:val="18"/>
        </w:rPr>
      </w:pPr>
    </w:p>
    <w:p w14:paraId="16DB43D3" w14:textId="296B2389" w:rsidR="00DE1360" w:rsidRPr="00DA0CC2" w:rsidRDefault="00DE1360" w:rsidP="00DE1360">
      <w:pPr>
        <w:pStyle w:val="Heading4"/>
      </w:pPr>
      <w:r w:rsidRPr="00DA0CC2">
        <w:t>Bias due to missing results from the meta-analysis</w:t>
      </w:r>
    </w:p>
    <w:p w14:paraId="305BC3E2" w14:textId="705FA388" w:rsidR="00580629" w:rsidRPr="00C83112" w:rsidRDefault="00DE1360" w:rsidP="00DE1360">
      <w:r w:rsidRPr="00C83112">
        <w:t xml:space="preserve">The combined effect estimated from the fixed effect model (SMD </w:t>
      </w:r>
      <w:r w:rsidR="00C83112" w:rsidRPr="00C83112">
        <w:t>1.21</w:t>
      </w:r>
      <w:r w:rsidRPr="00C83112">
        <w:t xml:space="preserve">) was </w:t>
      </w:r>
      <w:proofErr w:type="gramStart"/>
      <w:r w:rsidR="00C83112" w:rsidRPr="00C83112">
        <w:t>similar to</w:t>
      </w:r>
      <w:proofErr w:type="gramEnd"/>
      <w:r w:rsidR="00C83112" w:rsidRPr="00C83112">
        <w:t xml:space="preserve"> that</w:t>
      </w:r>
      <w:r w:rsidRPr="00C83112">
        <w:t xml:space="preserve"> from the random effects model (SMD </w:t>
      </w:r>
      <w:r w:rsidR="003D722C" w:rsidRPr="00C83112">
        <w:t>1.</w:t>
      </w:r>
      <w:r w:rsidR="00C83112" w:rsidRPr="00C83112">
        <w:t>37</w:t>
      </w:r>
      <w:r w:rsidRPr="00C83112">
        <w:t xml:space="preserve">) (Table </w:t>
      </w:r>
      <w:r w:rsidR="0029188C" w:rsidRPr="00C83112">
        <w:t>D</w:t>
      </w:r>
      <w:r w:rsidR="00C83112" w:rsidRPr="00C83112">
        <w:t>2</w:t>
      </w:r>
      <w:r w:rsidRPr="00C83112">
        <w:t>.1)</w:t>
      </w:r>
      <w:r w:rsidR="00C83112" w:rsidRPr="00C83112">
        <w:t xml:space="preserve">; </w:t>
      </w:r>
      <w:r w:rsidRPr="00C83112">
        <w:t>both indicated a</w:t>
      </w:r>
      <w:r w:rsidR="003D722C" w:rsidRPr="00C83112">
        <w:t xml:space="preserve">n improvement in sleep quality </w:t>
      </w:r>
      <w:r w:rsidRPr="00C83112">
        <w:t xml:space="preserve">greater than the threshold for an important effect. The contour-enhanced funnel plot in Figure </w:t>
      </w:r>
      <w:r w:rsidR="0029188C" w:rsidRPr="00C83112">
        <w:t>D</w:t>
      </w:r>
      <w:r w:rsidR="00C83112" w:rsidRPr="00C83112">
        <w:t>2</w:t>
      </w:r>
      <w:r w:rsidRPr="00C83112">
        <w:t>.</w:t>
      </w:r>
      <w:r w:rsidR="00C83112" w:rsidRPr="00C83112">
        <w:t>1</w:t>
      </w:r>
      <w:r w:rsidRPr="00C83112">
        <w:t xml:space="preserve"> suggests that there could be missing studies which show effects favouring the control, </w:t>
      </w:r>
      <w:r w:rsidR="00850F9C" w:rsidRPr="00C83112">
        <w:t xml:space="preserve">and </w:t>
      </w:r>
      <w:r w:rsidRPr="00C83112">
        <w:t xml:space="preserve">nonsignificant effects </w:t>
      </w:r>
      <w:r w:rsidR="00850F9C" w:rsidRPr="00C83112">
        <w:t xml:space="preserve">in general </w:t>
      </w:r>
      <w:r w:rsidRPr="00C83112">
        <w:t xml:space="preserve">(i.e. the plot is asymmetric, missing studies to the </w:t>
      </w:r>
      <w:r w:rsidR="003D722C" w:rsidRPr="00C83112">
        <w:t>left</w:t>
      </w:r>
      <w:r w:rsidRPr="00C83112">
        <w:t xml:space="preserve"> of the line of no effect (SMD</w:t>
      </w:r>
      <w:r w:rsidR="009618FE" w:rsidRPr="00C83112">
        <w:t xml:space="preserve"> </w:t>
      </w:r>
      <w:r w:rsidRPr="00C83112">
        <w:t xml:space="preserve">0) where we would expect results for some small studies, most notably in the darker </w:t>
      </w:r>
      <w:r w:rsidRPr="00C83112">
        <w:lastRenderedPageBreak/>
        <w:t>grey shaded areas where nonsignificant results appear</w:t>
      </w:r>
      <w:r w:rsidR="00850F9C" w:rsidRPr="00C83112">
        <w:t>; in addition only a minority of studies to the right of the line of no effect are non-significant</w:t>
      </w:r>
      <w:r w:rsidRPr="00C83112">
        <w:t>).</w:t>
      </w:r>
    </w:p>
    <w:p w14:paraId="15C3002F" w14:textId="77777777" w:rsidR="00D84A69" w:rsidRPr="00DA0CC2" w:rsidRDefault="00D84A69" w:rsidP="00DE1360"/>
    <w:p w14:paraId="5EA580C5" w14:textId="2260C4AE" w:rsidR="00DE1360" w:rsidRDefault="00D84A69" w:rsidP="00DE1360">
      <w:pPr>
        <w:rPr>
          <w:noProof/>
        </w:rPr>
      </w:pPr>
      <w:r w:rsidRPr="00DA0CC2">
        <w:rPr>
          <w:noProof/>
        </w:rPr>
        <w:drawing>
          <wp:inline distT="0" distB="0" distL="0" distR="0" wp14:anchorId="5DF0C2B6" wp14:editId="2B94F311">
            <wp:extent cx="3856382" cy="4449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17"/>
                    <a:srcRect t="79670" b="4467"/>
                    <a:stretch/>
                  </pic:blipFill>
                  <pic:spPr bwMode="auto">
                    <a:xfrm>
                      <a:off x="0" y="0"/>
                      <a:ext cx="3978554" cy="459069"/>
                    </a:xfrm>
                    <a:prstGeom prst="rect">
                      <a:avLst/>
                    </a:prstGeom>
                    <a:ln>
                      <a:noFill/>
                    </a:ln>
                    <a:extLst>
                      <a:ext uri="{53640926-AAD7-44D8-BBD7-CCE9431645EC}">
                        <a14:shadowObscured xmlns:a14="http://schemas.microsoft.com/office/drawing/2010/main"/>
                      </a:ext>
                    </a:extLst>
                  </pic:spPr>
                </pic:pic>
              </a:graphicData>
            </a:graphic>
          </wp:inline>
        </w:drawing>
      </w:r>
    </w:p>
    <w:p w14:paraId="0E49F031" w14:textId="1A8103A2" w:rsidR="00DE1360" w:rsidRPr="00DA0CC2" w:rsidRDefault="00C34722" w:rsidP="00DE1360">
      <w:r>
        <w:rPr>
          <w:noProof/>
          <w:color w:val="0070C0"/>
        </w:rPr>
        <mc:AlternateContent>
          <mc:Choice Requires="wps">
            <w:drawing>
              <wp:anchor distT="0" distB="0" distL="114300" distR="114300" simplePos="0" relativeHeight="251658241" behindDoc="0" locked="0" layoutInCell="1" allowOverlap="1" wp14:anchorId="47BE6D82" wp14:editId="6A6E6468">
                <wp:simplePos x="0" y="0"/>
                <wp:positionH relativeFrom="column">
                  <wp:posOffset>2176272</wp:posOffset>
                </wp:positionH>
                <wp:positionV relativeFrom="paragraph">
                  <wp:posOffset>351029</wp:posOffset>
                </wp:positionV>
                <wp:extent cx="2809037" cy="146304"/>
                <wp:effectExtent l="0" t="0" r="0" b="6350"/>
                <wp:wrapNone/>
                <wp:docPr id="15" name="Rectangle 15"/>
                <wp:cNvGraphicFramePr/>
                <a:graphic xmlns:a="http://schemas.openxmlformats.org/drawingml/2006/main">
                  <a:graphicData uri="http://schemas.microsoft.com/office/word/2010/wordprocessingShape">
                    <wps:wsp>
                      <wps:cNvSpPr/>
                      <wps:spPr>
                        <a:xfrm>
                          <a:off x="0" y="0"/>
                          <a:ext cx="2809037" cy="146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D5DC5C" id="Rectangle 15" o:spid="_x0000_s1026" style="position:absolute;margin-left:171.35pt;margin-top:27.65pt;width:221.2pt;height: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" fillcolor="white [3212]" stroked="f" strokeweight="1pt"/>
            </w:pict>
          </mc:Fallback>
        </mc:AlternateContent>
      </w:r>
      <w:r w:rsidR="00772692">
        <w:rPr>
          <w:b/>
          <w:bCs/>
          <w:noProof/>
        </w:rPr>
        <w:drawing>
          <wp:inline distT="0" distB="0" distL="0" distR="0" wp14:anchorId="535E598B" wp14:editId="4C46CBDB">
            <wp:extent cx="6645910" cy="37846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a_funnel_dom_4_comp_1_contour_no_funnel.png"/>
                    <pic:cNvPicPr/>
                  </pic:nvPicPr>
                  <pic:blipFill rotWithShape="1">
                    <a:blip r:embed="rId18"/>
                    <a:srcRect b="21744"/>
                    <a:stretch/>
                  </pic:blipFill>
                  <pic:spPr bwMode="auto">
                    <a:xfrm>
                      <a:off x="0" y="0"/>
                      <a:ext cx="6645910" cy="3784600"/>
                    </a:xfrm>
                    <a:prstGeom prst="rect">
                      <a:avLst/>
                    </a:prstGeom>
                    <a:ln>
                      <a:noFill/>
                    </a:ln>
                    <a:extLst>
                      <a:ext uri="{53640926-AAD7-44D8-BBD7-CCE9431645EC}">
                        <a14:shadowObscured xmlns:a14="http://schemas.microsoft.com/office/drawing/2010/main"/>
                      </a:ext>
                    </a:extLst>
                  </pic:spPr>
                </pic:pic>
              </a:graphicData>
            </a:graphic>
          </wp:inline>
        </w:drawing>
      </w:r>
      <w:r w:rsidR="00DE1360" w:rsidRPr="00DA0CC2">
        <w:rPr>
          <w:b/>
          <w:bCs/>
        </w:rPr>
        <w:t xml:space="preserve">Fig </w:t>
      </w:r>
      <w:r w:rsidR="0029188C">
        <w:rPr>
          <w:b/>
          <w:bCs/>
        </w:rPr>
        <w:t>D</w:t>
      </w:r>
      <w:r w:rsidR="00205771">
        <w:rPr>
          <w:b/>
          <w:bCs/>
        </w:rPr>
        <w:t>2</w:t>
      </w:r>
      <w:r w:rsidR="003D722C" w:rsidRPr="00DA0CC2">
        <w:rPr>
          <w:b/>
          <w:bCs/>
        </w:rPr>
        <w:t>.</w:t>
      </w:r>
      <w:r w:rsidR="00C83112">
        <w:rPr>
          <w:b/>
          <w:bCs/>
        </w:rPr>
        <w:t>1</w:t>
      </w:r>
      <w:r w:rsidR="00DE1360" w:rsidRPr="00DA0CC2">
        <w:t xml:space="preserve"> | Contour enhanced funnel plot of estimates of SMD versus their standard errors for </w:t>
      </w:r>
      <w:r w:rsidR="00DE2895">
        <w:t xml:space="preserve">comparison </w:t>
      </w:r>
      <w:r w:rsidR="00DE2895" w:rsidRPr="00DE2895">
        <w:t>of</w:t>
      </w:r>
      <w:r w:rsidR="00DE1360" w:rsidRPr="00DE2895">
        <w:t xml:space="preserve"> the effect of </w:t>
      </w:r>
      <w:r w:rsidR="005F3E01" w:rsidRPr="00DE2895">
        <w:t>ref</w:t>
      </w:r>
      <w:r w:rsidR="001534C2">
        <w:t>l</w:t>
      </w:r>
      <w:r w:rsidR="005F3E01" w:rsidRPr="00DE2895">
        <w:t>exology</w:t>
      </w:r>
      <w:r w:rsidR="00DE1360" w:rsidRPr="00DE2895">
        <w:t xml:space="preserve"> versus inactive control (usual care, no intervention, placebo) on </w:t>
      </w:r>
      <w:r w:rsidR="003D722C" w:rsidRPr="00DE2895">
        <w:t>sleep quality</w:t>
      </w:r>
      <w:r w:rsidR="00DE1360" w:rsidRPr="00DE2895">
        <w:t>.</w:t>
      </w:r>
      <w:r w:rsidR="00DE1360" w:rsidRPr="00DA0CC2">
        <w:t xml:space="preserve"> Shaded regions represent different categories of conventional milestone levels of statistical significance. SMD</w:t>
      </w:r>
      <w:r w:rsidR="009618FE" w:rsidRPr="00DA0CC2">
        <w:t xml:space="preserve"> </w:t>
      </w:r>
      <w:r w:rsidR="00DE1360" w:rsidRPr="00DA0CC2">
        <w:t>=</w:t>
      </w:r>
      <w:r w:rsidR="009618FE" w:rsidRPr="00DA0CC2">
        <w:t xml:space="preserve"> </w:t>
      </w:r>
      <w:r w:rsidR="00DE1360" w:rsidRPr="00DA0CC2">
        <w:t xml:space="preserve">standardised mean difference. Blue line shows the combined estimate from random effects model. </w:t>
      </w:r>
    </w:p>
    <w:p w14:paraId="0A751FD5" w14:textId="5D920845" w:rsidR="008368F1" w:rsidRPr="00DA0CC2" w:rsidRDefault="0029188C" w:rsidP="008368F1">
      <w:pPr>
        <w:pStyle w:val="Heading2"/>
      </w:pPr>
      <w:bookmarkStart w:id="8" w:name="_Toc171044313"/>
      <w:r>
        <w:t>D</w:t>
      </w:r>
      <w:r w:rsidR="005F3E01">
        <w:t>3</w:t>
      </w:r>
      <w:r w:rsidR="008368F1" w:rsidRPr="00DA0CC2">
        <w:t xml:space="preserve"> Fatigue</w:t>
      </w:r>
      <w:bookmarkEnd w:id="8"/>
    </w:p>
    <w:p w14:paraId="54FC0B8E" w14:textId="64543853" w:rsidR="006C4661" w:rsidRPr="00DA0CC2" w:rsidRDefault="006C4661" w:rsidP="006C4661">
      <w:r w:rsidRPr="00DA0CC2">
        <w:t>Results presented in this section are for the subgroup analys</w:t>
      </w:r>
      <w:r>
        <w:t>i</w:t>
      </w:r>
      <w:r w:rsidRPr="00DA0CC2">
        <w:t>s</w:t>
      </w:r>
      <w:r>
        <w:t>,</w:t>
      </w:r>
      <w:r w:rsidRPr="00DA0CC2">
        <w:t xml:space="preserve"> sensitivity analys</w:t>
      </w:r>
      <w:r>
        <w:t>i</w:t>
      </w:r>
      <w:r w:rsidRPr="00DA0CC2">
        <w:t xml:space="preserve">s, and analyses to examine the risk </w:t>
      </w:r>
      <w:r>
        <w:t xml:space="preserve">of </w:t>
      </w:r>
      <w:r w:rsidRPr="00DA0CC2">
        <w:t xml:space="preserve">bias due to missing results. </w:t>
      </w:r>
    </w:p>
    <w:p w14:paraId="0A170483" w14:textId="4E6FA452" w:rsidR="003176C1" w:rsidRPr="00DA0CC2" w:rsidRDefault="003176C1" w:rsidP="003176C1">
      <w:r w:rsidRPr="00DA0CC2">
        <w:t xml:space="preserve">For the outcome </w:t>
      </w:r>
      <w:r w:rsidRPr="00380334">
        <w:t xml:space="preserve">fatigue, </w:t>
      </w:r>
      <w:r w:rsidR="00853B17">
        <w:t>19</w:t>
      </w:r>
      <w:r w:rsidR="00853B17" w:rsidRPr="00380334">
        <w:t xml:space="preserve"> </w:t>
      </w:r>
      <w:r w:rsidRPr="00380334">
        <w:t xml:space="preserve">studies were included in the meta-analysis </w:t>
      </w:r>
      <w:r w:rsidR="005F3E01" w:rsidRPr="00380334">
        <w:t>that</w:t>
      </w:r>
      <w:r w:rsidRPr="00380334">
        <w:t xml:space="preserve"> compared </w:t>
      </w:r>
      <w:r w:rsidR="005F3E01" w:rsidRPr="00380334">
        <w:t xml:space="preserve">reflexology </w:t>
      </w:r>
      <w:r w:rsidRPr="00380334">
        <w:t xml:space="preserve">to </w:t>
      </w:r>
      <w:r w:rsidR="00CD603F" w:rsidRPr="00380334">
        <w:t>an inactive control (usual care, no intervention, sham, co-intervention given in both groups).</w:t>
      </w:r>
    </w:p>
    <w:p w14:paraId="1AFA4193" w14:textId="77777777" w:rsidR="00CD603F" w:rsidRPr="00DA0CC2" w:rsidRDefault="00CD603F" w:rsidP="00CD603F">
      <w:pPr>
        <w:pStyle w:val="Heading4"/>
      </w:pPr>
      <w:r w:rsidRPr="00DA0CC2">
        <w:t>Results of subgroup analys</w:t>
      </w:r>
      <w:r>
        <w:t>i</w:t>
      </w:r>
      <w:r w:rsidRPr="00DA0CC2">
        <w:t>s</w:t>
      </w:r>
      <w:r>
        <w:t xml:space="preserve"> by population group</w:t>
      </w:r>
    </w:p>
    <w:p w14:paraId="0DB25662" w14:textId="02C74922" w:rsidR="00CD603F" w:rsidRPr="00DA0CC2" w:rsidRDefault="00CD603F" w:rsidP="00CD603F">
      <w:r>
        <w:t>A</w:t>
      </w:r>
      <w:r w:rsidRPr="00DA0CC2">
        <w:t xml:space="preserve"> subgroup analys</w:t>
      </w:r>
      <w:r>
        <w:t>i</w:t>
      </w:r>
      <w:r w:rsidRPr="00DA0CC2">
        <w:t>s w</w:t>
      </w:r>
      <w:r>
        <w:t>as</w:t>
      </w:r>
      <w:r w:rsidRPr="00DA0CC2">
        <w:t xml:space="preserve"> performed to investigate whether </w:t>
      </w:r>
      <w:r>
        <w:t>there were differences in the effects between population groups (i.e</w:t>
      </w:r>
      <w:r w:rsidRPr="00380334">
        <w:t xml:space="preserve">. </w:t>
      </w:r>
      <w:r w:rsidR="00380334" w:rsidRPr="00380334">
        <w:t>cancer and advanced disease, chronic musculoskeletal conditions, other chronic conditions, pregnancy</w:t>
      </w:r>
      <w:r w:rsidRPr="00380334">
        <w:t>). Primarily, these were planned to explore possible explanations for any inconsistent effects if observed across studies</w:t>
      </w:r>
      <w:r w:rsidRPr="00DA0CC2">
        <w:t xml:space="preserve"> (statistical heterogeneity). </w:t>
      </w:r>
    </w:p>
    <w:p w14:paraId="0DA8A700" w14:textId="45F7FF55" w:rsidR="00CD603F" w:rsidRPr="00B76ED3" w:rsidRDefault="00CD603F" w:rsidP="00CD603F">
      <w:r w:rsidRPr="00DC7650">
        <w:rPr>
          <w:i/>
        </w:rPr>
        <w:t>Assessment of heterogeneity</w:t>
      </w:r>
      <w:r w:rsidRPr="00B76ED3">
        <w:rPr>
          <w:i/>
        </w:rPr>
        <w:t>:</w:t>
      </w:r>
      <w:r w:rsidRPr="00B76ED3">
        <w:t xml:space="preserve"> </w:t>
      </w:r>
      <w:r w:rsidR="00B76ED3" w:rsidRPr="00B76ED3">
        <w:t>T</w:t>
      </w:r>
      <w:r w:rsidRPr="00B76ED3">
        <w:t>here are differences in the size of the estimated intervention effect across studies for this comparison and outcome</w:t>
      </w:r>
      <w:r w:rsidR="00B76ED3" w:rsidRPr="00B76ED3">
        <w:t xml:space="preserve"> that suggest inconsistent effects. While t</w:t>
      </w:r>
      <w:r w:rsidRPr="00B76ED3">
        <w:t xml:space="preserve">he effect estimate for </w:t>
      </w:r>
      <w:proofErr w:type="gramStart"/>
      <w:r w:rsidR="00B76ED3" w:rsidRPr="00B76ED3">
        <w:t>the majority of</w:t>
      </w:r>
      <w:proofErr w:type="gramEnd"/>
      <w:r w:rsidR="00B76ED3" w:rsidRPr="00B76ED3">
        <w:t xml:space="preserve"> </w:t>
      </w:r>
      <w:r w:rsidRPr="00B76ED3">
        <w:t xml:space="preserve">studies was </w:t>
      </w:r>
      <w:r w:rsidR="00164547">
        <w:t>above</w:t>
      </w:r>
      <w:r w:rsidRPr="00B76ED3">
        <w:t xml:space="preserve"> the threshold for an important improvement in </w:t>
      </w:r>
      <w:r w:rsidR="00B76ED3" w:rsidRPr="00B76ED3">
        <w:t>fatigue</w:t>
      </w:r>
      <w:r w:rsidRPr="00B76ED3">
        <w:t xml:space="preserve"> (i.e. an SMD </w:t>
      </w:r>
      <w:r w:rsidR="00B76ED3" w:rsidRPr="00B76ED3">
        <w:t>&lt; -</w:t>
      </w:r>
      <w:r w:rsidRPr="00B76ED3">
        <w:t xml:space="preserve"> 0.2)</w:t>
      </w:r>
      <w:r w:rsidR="00B76ED3" w:rsidRPr="00B76ED3">
        <w:t>, about ¼ of studies in the analysis showed trivial effects (an SMD between -0.2 and 0.2)</w:t>
      </w:r>
      <w:r w:rsidRPr="00B76ED3">
        <w:t xml:space="preserve">. As such, the observed inconsistency is considered </w:t>
      </w:r>
      <w:r w:rsidR="00B76ED3" w:rsidRPr="00B76ED3">
        <w:t>serious</w:t>
      </w:r>
      <w:r w:rsidRPr="00B76ED3">
        <w:t xml:space="preserve"> </w:t>
      </w:r>
      <w:r w:rsidR="00B76ED3" w:rsidRPr="00B76ED3">
        <w:t>for the overall analysis and requires explanation to understand the factors that may influence whether reflexology has a beneficial or trivial effect</w:t>
      </w:r>
      <w:r w:rsidRPr="00B76ED3">
        <w:t xml:space="preserve">. </w:t>
      </w:r>
    </w:p>
    <w:p w14:paraId="1A1B63B9" w14:textId="5206E909" w:rsidR="00CD603F" w:rsidRPr="00F65DCF" w:rsidRDefault="00CD603F" w:rsidP="00CD603F">
      <w:pPr>
        <w:rPr>
          <w:b/>
          <w:bCs/>
          <w:i/>
          <w:iCs/>
        </w:rPr>
      </w:pPr>
      <w:r w:rsidRPr="00B76ED3">
        <w:lastRenderedPageBreak/>
        <w:t xml:space="preserve">The subgroup analyses did not explain </w:t>
      </w:r>
      <w:r w:rsidR="00B76ED3" w:rsidRPr="00B76ED3">
        <w:t>the</w:t>
      </w:r>
      <w:r w:rsidRPr="00B76ED3">
        <w:t xml:space="preserve"> observed differences across studies in the direction or size of the observed effect. </w:t>
      </w:r>
      <w:r w:rsidRPr="00DA0CC2">
        <w:t>Results for this analysis are presented in the main report (</w:t>
      </w:r>
      <w:r w:rsidRPr="00E17234">
        <w:t>Section 4.4, Figure 4.4.1).</w:t>
      </w:r>
      <w:r w:rsidRPr="00DA0CC2">
        <w:t xml:space="preserve"> </w:t>
      </w:r>
      <w:r w:rsidRPr="00B76ED3">
        <w:t>The test for subgroup differences was not statistically significant (P = 0.</w:t>
      </w:r>
      <w:r w:rsidR="00853B17">
        <w:t>254</w:t>
      </w:r>
      <w:r w:rsidRPr="00B76ED3">
        <w:t xml:space="preserve">) </w:t>
      </w:r>
      <w:r w:rsidRPr="00F65DCF">
        <w:t xml:space="preserve">and </w:t>
      </w:r>
      <w:r w:rsidR="00B76ED3" w:rsidRPr="00F65DCF">
        <w:t xml:space="preserve">there was inconsistency in the effects observed across studies within </w:t>
      </w:r>
      <w:r w:rsidR="00F65DCF">
        <w:t>all</w:t>
      </w:r>
      <w:r w:rsidRPr="00F65DCF">
        <w:t xml:space="preserve"> population groups</w:t>
      </w:r>
      <w:r w:rsidR="00F65DCF">
        <w:t>, which we considered serious for two groups (chronic musculoskeletal conditions, pregnancy)</w:t>
      </w:r>
      <w:r w:rsidRPr="00F65DCF">
        <w:t xml:space="preserve">. Overall, there is evidence that the effects are </w:t>
      </w:r>
      <w:r w:rsidR="00F65DCF" w:rsidRPr="00F65DCF">
        <w:t>in</w:t>
      </w:r>
      <w:r w:rsidRPr="00F65DCF">
        <w:t>consistent across population groups (</w:t>
      </w:r>
      <w:r w:rsidR="00F65DCF" w:rsidRPr="00F65DCF">
        <w:t>some</w:t>
      </w:r>
      <w:r w:rsidRPr="00F65DCF">
        <w:t xml:space="preserve"> showing important benefit, </w:t>
      </w:r>
      <w:r w:rsidR="00F65DCF" w:rsidRPr="00F65DCF">
        <w:t>others showing trivial effects</w:t>
      </w:r>
      <w:r w:rsidRPr="00F65DCF">
        <w:t>).</w:t>
      </w:r>
    </w:p>
    <w:p w14:paraId="27CD76F1" w14:textId="77777777" w:rsidR="00CD603F" w:rsidRPr="00DA0CC2" w:rsidRDefault="00CD603F" w:rsidP="00CD603F">
      <w:pPr>
        <w:pStyle w:val="Heading4"/>
      </w:pPr>
      <w:r w:rsidRPr="00DA0CC2">
        <w:t>Results of sensitivity analyses</w:t>
      </w:r>
    </w:p>
    <w:p w14:paraId="1058C103" w14:textId="77777777" w:rsidR="00CD603F" w:rsidRPr="00DA0CC2" w:rsidRDefault="00CD603F" w:rsidP="00CD603F">
      <w:r w:rsidRPr="00F55E92">
        <w:rPr>
          <w:b/>
        </w:rPr>
        <w:t>Table D3.1</w:t>
      </w:r>
      <w:r w:rsidRPr="00F55E92">
        <w:t xml:space="preserve"> presents</w:t>
      </w:r>
      <w:r w:rsidRPr="00DA0CC2">
        <w:t xml:space="preserve"> results for the original analysis (all studies, random effects model) and </w:t>
      </w:r>
      <w:r>
        <w:t xml:space="preserve">two </w:t>
      </w:r>
      <w:r w:rsidRPr="00DA0CC2">
        <w:t xml:space="preserve">sensitivity analyses. These sensitivity analyses investigate: </w:t>
      </w:r>
    </w:p>
    <w:p w14:paraId="6C722B2E" w14:textId="77777777" w:rsidR="00CD603F" w:rsidRDefault="00CD603F" w:rsidP="00161373">
      <w:pPr>
        <w:pStyle w:val="ListParagraph"/>
        <w:numPr>
          <w:ilvl w:val="0"/>
          <w:numId w:val="55"/>
        </w:numPr>
      </w:pPr>
      <w:r w:rsidRPr="00DA0CC2">
        <w:t>whether the combined estimate is sensitive to the assumptions that were made to enable inclusion of results in the meta-analysis, specifically</w:t>
      </w:r>
      <w:r>
        <w:t xml:space="preserve"> </w:t>
      </w:r>
      <w:r w:rsidRPr="00DA0CC2">
        <w:t>transforming or imputing statistics, and including change scores (change from baseline) when post-intervention (final) values (and their standard deviations) were unavailable; and</w:t>
      </w:r>
    </w:p>
    <w:p w14:paraId="0CADD441" w14:textId="48F4A531" w:rsidR="003176C1" w:rsidRPr="00DA0CC2" w:rsidRDefault="00CD603F" w:rsidP="00161373">
      <w:pPr>
        <w:pStyle w:val="ListParagraph"/>
        <w:numPr>
          <w:ilvl w:val="0"/>
          <w:numId w:val="55"/>
        </w:numPr>
      </w:pPr>
      <w:r w:rsidRPr="00DA0CC2">
        <w:t>whether the combined effect differs when estimated from a fixed effect model, providing evidence of small study effects (which may be due to true differences in the effects in small studies or may suggest non-reporting bias).</w:t>
      </w:r>
      <w:r w:rsidR="003176C1" w:rsidRPr="00DA0CC2">
        <w:br/>
      </w:r>
    </w:p>
    <w:p w14:paraId="03B46941" w14:textId="639FF88F" w:rsidR="003176C1" w:rsidRPr="00F55E92" w:rsidRDefault="003176C1" w:rsidP="003176C1">
      <w:r w:rsidRPr="00F55E92">
        <w:t xml:space="preserve">The combined estimate of effect was similar in the original analysis and the sensitivity analyses removing studies for which transforming </w:t>
      </w:r>
      <w:r w:rsidR="00F55E92" w:rsidRPr="00F55E92">
        <w:t>/</w:t>
      </w:r>
      <w:r w:rsidRPr="00F55E92">
        <w:t xml:space="preserve"> imputing statistics </w:t>
      </w:r>
      <w:r w:rsidR="00F55E92" w:rsidRPr="00F55E92">
        <w:t xml:space="preserve">or using change scores </w:t>
      </w:r>
      <w:r w:rsidRPr="00F55E92">
        <w:t xml:space="preserve">was necessary. This indicates that the result was robust to the assumptions required to include these results. </w:t>
      </w:r>
    </w:p>
    <w:p w14:paraId="0CBD520D" w14:textId="77777777" w:rsidR="00580629" w:rsidRDefault="00580629" w:rsidP="003176C1">
      <w:pPr>
        <w:rPr>
          <w:b/>
        </w:rPr>
      </w:pPr>
    </w:p>
    <w:p w14:paraId="75B52DCF" w14:textId="6F914DAF" w:rsidR="005F3E01" w:rsidRPr="00DA0CC2" w:rsidRDefault="005F3E01" w:rsidP="005F3E01">
      <w:pPr>
        <w:rPr>
          <w:b/>
          <w:color w:val="000000" w:themeColor="text1"/>
        </w:rPr>
      </w:pPr>
      <w:r w:rsidRPr="00F55E92">
        <w:rPr>
          <w:b/>
          <w:color w:val="000000" w:themeColor="text1"/>
        </w:rPr>
        <w:t>Table D</w:t>
      </w:r>
      <w:r w:rsidR="00205771" w:rsidRPr="00F55E92">
        <w:rPr>
          <w:b/>
          <w:color w:val="000000" w:themeColor="text1"/>
        </w:rPr>
        <w:t>3</w:t>
      </w:r>
      <w:r w:rsidRPr="00F55E92">
        <w:rPr>
          <w:b/>
          <w:color w:val="000000" w:themeColor="text1"/>
        </w:rPr>
        <w:t>.1. Sensitivity</w:t>
      </w:r>
      <w:r w:rsidRPr="00DA0CC2">
        <w:rPr>
          <w:b/>
          <w:color w:val="000000" w:themeColor="text1"/>
        </w:rPr>
        <w:t xml:space="preserve"> analyses for </w:t>
      </w:r>
      <w:r>
        <w:rPr>
          <w:b/>
          <w:color w:val="000000" w:themeColor="text1"/>
        </w:rPr>
        <w:t>fatigue</w:t>
      </w:r>
      <w:r w:rsidRPr="00DA0CC2">
        <w:rPr>
          <w:b/>
          <w:color w:val="000000" w:themeColor="text1"/>
        </w:rPr>
        <w:t xml:space="preserve"> outcome</w:t>
      </w:r>
    </w:p>
    <w:tbl>
      <w:tblPr>
        <w:tblStyle w:val="TableGrid"/>
        <w:tblW w:w="5000" w:type="pct"/>
        <w:tblLook w:val="04A0" w:firstRow="1" w:lastRow="0" w:firstColumn="1" w:lastColumn="0" w:noHBand="0" w:noVBand="1"/>
      </w:tblPr>
      <w:tblGrid>
        <w:gridCol w:w="1730"/>
        <w:gridCol w:w="2732"/>
        <w:gridCol w:w="653"/>
        <w:gridCol w:w="2155"/>
        <w:gridCol w:w="653"/>
        <w:gridCol w:w="2538"/>
      </w:tblGrid>
      <w:tr w:rsidR="005F3E01" w:rsidRPr="00DA0CC2" w14:paraId="7A1821E8" w14:textId="77777777" w:rsidTr="00393CE7">
        <w:tc>
          <w:tcPr>
            <w:tcW w:w="827" w:type="pct"/>
            <w:tcBorders>
              <w:top w:val="single" w:sz="4" w:space="0" w:color="auto"/>
              <w:bottom w:val="single" w:sz="4" w:space="0" w:color="auto"/>
            </w:tcBorders>
          </w:tcPr>
          <w:p w14:paraId="42AB5602"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w:t>
            </w:r>
          </w:p>
        </w:tc>
        <w:tc>
          <w:tcPr>
            <w:tcW w:w="1306" w:type="pct"/>
            <w:tcBorders>
              <w:top w:val="single" w:sz="4" w:space="0" w:color="auto"/>
              <w:bottom w:val="single" w:sz="4" w:space="0" w:color="auto"/>
              <w:right w:val="single" w:sz="4" w:space="0" w:color="auto"/>
            </w:tcBorders>
          </w:tcPr>
          <w:p w14:paraId="420F75A6"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Purpose of sensitivity analysis</w:t>
            </w:r>
          </w:p>
        </w:tc>
        <w:tc>
          <w:tcPr>
            <w:tcW w:w="312" w:type="pct"/>
            <w:tcBorders>
              <w:top w:val="single" w:sz="4" w:space="0" w:color="auto"/>
              <w:left w:val="single" w:sz="4" w:space="0" w:color="auto"/>
              <w:bottom w:val="single" w:sz="4" w:space="0" w:color="auto"/>
            </w:tcBorders>
          </w:tcPr>
          <w:p w14:paraId="662142DC"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030" w:type="pct"/>
            <w:tcBorders>
              <w:top w:val="single" w:sz="4" w:space="0" w:color="auto"/>
              <w:left w:val="nil"/>
              <w:bottom w:val="single" w:sz="4" w:space="0" w:color="auto"/>
              <w:right w:val="single" w:sz="4" w:space="0" w:color="auto"/>
            </w:tcBorders>
          </w:tcPr>
          <w:p w14:paraId="250EDECB"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Original effect (95% CI)</w:t>
            </w:r>
          </w:p>
        </w:tc>
        <w:tc>
          <w:tcPr>
            <w:tcW w:w="312" w:type="pct"/>
            <w:tcBorders>
              <w:top w:val="single" w:sz="4" w:space="0" w:color="auto"/>
              <w:left w:val="single" w:sz="4" w:space="0" w:color="auto"/>
              <w:bottom w:val="single" w:sz="4" w:space="0" w:color="auto"/>
            </w:tcBorders>
          </w:tcPr>
          <w:p w14:paraId="4685E8AA"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213" w:type="pct"/>
            <w:tcBorders>
              <w:top w:val="single" w:sz="4" w:space="0" w:color="auto"/>
              <w:left w:val="nil"/>
              <w:bottom w:val="single" w:sz="4" w:space="0" w:color="auto"/>
              <w:right w:val="nil"/>
            </w:tcBorders>
          </w:tcPr>
          <w:p w14:paraId="1A3B9036"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 effect</w:t>
            </w:r>
          </w:p>
        </w:tc>
      </w:tr>
      <w:tr w:rsidR="005F3E01" w:rsidRPr="00DA0CC2" w14:paraId="29454907" w14:textId="77777777" w:rsidTr="00F55E92">
        <w:tc>
          <w:tcPr>
            <w:tcW w:w="827" w:type="pct"/>
            <w:tcBorders>
              <w:top w:val="single" w:sz="4" w:space="0" w:color="D9D9D9" w:themeColor="background1" w:themeShade="D9"/>
              <w:bottom w:val="single" w:sz="4" w:space="0" w:color="D9D9D9" w:themeColor="background1" w:themeShade="D9"/>
            </w:tcBorders>
          </w:tcPr>
          <w:p w14:paraId="0AD9CDA0" w14:textId="6CC5A168" w:rsidR="005F3E01" w:rsidRPr="00DA0CC2" w:rsidRDefault="009E5946"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 xml:space="preserve">No imputation, transformations or change scores </w:t>
            </w:r>
            <w:r w:rsidR="00F55E92">
              <w:rPr>
                <w:rFonts w:asciiTheme="minorHAnsi" w:hAnsiTheme="minorHAnsi" w:cstheme="minorHAnsi"/>
                <w:color w:val="000000" w:themeColor="text1"/>
                <w:sz w:val="18"/>
                <w:szCs w:val="18"/>
                <w:vertAlign w:val="superscript"/>
              </w:rPr>
              <w:t>1</w:t>
            </w:r>
            <w:r w:rsidR="005F3E01" w:rsidRPr="00DA0CC2">
              <w:rPr>
                <w:rFonts w:asciiTheme="minorHAnsi" w:hAnsiTheme="minorHAnsi" w:cstheme="minorHAnsi"/>
                <w:color w:val="000000" w:themeColor="text1"/>
                <w:sz w:val="18"/>
                <w:szCs w:val="18"/>
              </w:rPr>
              <w:t xml:space="preserve"> </w:t>
            </w:r>
          </w:p>
        </w:tc>
        <w:tc>
          <w:tcPr>
            <w:tcW w:w="1306" w:type="pct"/>
            <w:tcBorders>
              <w:top w:val="single" w:sz="4" w:space="0" w:color="D9D9D9" w:themeColor="background1" w:themeShade="D9"/>
              <w:bottom w:val="single" w:sz="4" w:space="0" w:color="D9D9D9" w:themeColor="background1" w:themeShade="D9"/>
            </w:tcBorders>
          </w:tcPr>
          <w:p w14:paraId="60B22ED7"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312" w:type="pct"/>
            <w:tcBorders>
              <w:top w:val="single" w:sz="4" w:space="0" w:color="D9D9D9" w:themeColor="background1" w:themeShade="D9"/>
              <w:bottom w:val="single" w:sz="4" w:space="0" w:color="D9D9D9" w:themeColor="background1" w:themeShade="D9"/>
            </w:tcBorders>
          </w:tcPr>
          <w:p w14:paraId="2EBBE565" w14:textId="67B61D79" w:rsidR="005F3E01" w:rsidRPr="00DA0CC2" w:rsidRDefault="00853B17" w:rsidP="00393CE7">
            <w:pPr>
              <w:spacing w:after="60"/>
              <w:rPr>
                <w:rFonts w:asciiTheme="minorHAnsi" w:hAnsiTheme="minorHAnsi" w:cstheme="minorHAnsi"/>
                <w:sz w:val="18"/>
                <w:szCs w:val="18"/>
              </w:rPr>
            </w:pPr>
            <w:r>
              <w:rPr>
                <w:rFonts w:asciiTheme="minorHAnsi" w:hAnsiTheme="minorHAnsi" w:cstheme="minorHAnsi"/>
                <w:sz w:val="18"/>
                <w:szCs w:val="18"/>
              </w:rPr>
              <w:t>19</w:t>
            </w:r>
          </w:p>
        </w:tc>
        <w:tc>
          <w:tcPr>
            <w:tcW w:w="1030" w:type="pct"/>
            <w:tcBorders>
              <w:top w:val="single" w:sz="4" w:space="0" w:color="D9D9D9" w:themeColor="background1" w:themeShade="D9"/>
              <w:bottom w:val="single" w:sz="4" w:space="0" w:color="D9D9D9" w:themeColor="background1" w:themeShade="D9"/>
            </w:tcBorders>
          </w:tcPr>
          <w:p w14:paraId="795C0DC2" w14:textId="451768CE" w:rsidR="005F3E01" w:rsidRPr="00DA0CC2" w:rsidRDefault="005F3E01"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D22D2C">
              <w:rPr>
                <w:rFonts w:asciiTheme="minorHAnsi" w:hAnsiTheme="minorHAnsi" w:cstheme="minorHAnsi"/>
                <w:sz w:val="18"/>
                <w:szCs w:val="18"/>
              </w:rPr>
              <w:t>-0.</w:t>
            </w:r>
            <w:r w:rsidR="00853B17">
              <w:rPr>
                <w:rFonts w:asciiTheme="minorHAnsi" w:hAnsiTheme="minorHAnsi" w:cstheme="minorHAnsi"/>
                <w:sz w:val="18"/>
                <w:szCs w:val="18"/>
              </w:rPr>
              <w:t xml:space="preserve">85 </w:t>
            </w:r>
            <w:r w:rsidRPr="00DA0CC2">
              <w:rPr>
                <w:rFonts w:asciiTheme="minorHAnsi" w:hAnsiTheme="minorHAnsi" w:cstheme="minorHAnsi"/>
                <w:sz w:val="18"/>
                <w:szCs w:val="18"/>
              </w:rPr>
              <w:t>(</w:t>
            </w:r>
            <w:r w:rsidR="00D22D2C">
              <w:rPr>
                <w:rFonts w:asciiTheme="minorHAnsi" w:hAnsiTheme="minorHAnsi" w:cstheme="minorHAnsi"/>
                <w:sz w:val="18"/>
                <w:szCs w:val="18"/>
              </w:rPr>
              <w:t>-1.</w:t>
            </w:r>
            <w:r w:rsidR="00853B17">
              <w:rPr>
                <w:rFonts w:asciiTheme="minorHAnsi" w:hAnsiTheme="minorHAnsi" w:cstheme="minorHAnsi"/>
                <w:sz w:val="18"/>
                <w:szCs w:val="18"/>
              </w:rPr>
              <w:t xml:space="preserve">20 </w:t>
            </w:r>
            <w:r w:rsidRPr="00DA0CC2">
              <w:rPr>
                <w:rFonts w:asciiTheme="minorHAnsi" w:hAnsiTheme="minorHAnsi" w:cstheme="minorHAnsi"/>
                <w:sz w:val="18"/>
                <w:szCs w:val="18"/>
              </w:rPr>
              <w:t xml:space="preserve">to </w:t>
            </w:r>
            <w:r w:rsidRPr="00DA0CC2">
              <w:rPr>
                <w:rFonts w:asciiTheme="minorHAnsi" w:hAnsiTheme="minorHAnsi" w:cstheme="minorHAnsi"/>
                <w:sz w:val="18"/>
                <w:szCs w:val="18"/>
              </w:rPr>
              <w:br/>
            </w:r>
            <w:r w:rsidR="00D22D2C">
              <w:rPr>
                <w:rFonts w:asciiTheme="minorHAnsi" w:hAnsiTheme="minorHAnsi" w:cstheme="minorHAnsi"/>
                <w:sz w:val="18"/>
                <w:szCs w:val="18"/>
              </w:rPr>
              <w:t>-0.</w:t>
            </w:r>
            <w:r w:rsidR="00853B17">
              <w:rPr>
                <w:rFonts w:asciiTheme="minorHAnsi" w:hAnsiTheme="minorHAnsi" w:cstheme="minorHAnsi"/>
                <w:sz w:val="18"/>
                <w:szCs w:val="18"/>
              </w:rPr>
              <w:t>50</w:t>
            </w:r>
            <w:r w:rsidRPr="00DA0CC2">
              <w:rPr>
                <w:rFonts w:asciiTheme="minorHAnsi" w:hAnsiTheme="minorHAnsi" w:cstheme="minorHAnsi"/>
                <w:sz w:val="18"/>
                <w:szCs w:val="18"/>
              </w:rPr>
              <w:t xml:space="preserve">); I2 = </w:t>
            </w:r>
            <w:r w:rsidR="00853B17">
              <w:rPr>
                <w:rFonts w:asciiTheme="minorHAnsi" w:hAnsiTheme="minorHAnsi" w:cstheme="minorHAnsi"/>
                <w:sz w:val="18"/>
                <w:szCs w:val="18"/>
              </w:rPr>
              <w:t>89</w:t>
            </w:r>
            <w:r w:rsidRPr="00DA0CC2">
              <w:rPr>
                <w:rFonts w:asciiTheme="minorHAnsi" w:hAnsiTheme="minorHAnsi" w:cstheme="minorHAnsi"/>
                <w:sz w:val="18"/>
                <w:szCs w:val="18"/>
              </w:rPr>
              <w:t>%</w:t>
            </w:r>
          </w:p>
        </w:tc>
        <w:tc>
          <w:tcPr>
            <w:tcW w:w="312" w:type="pct"/>
            <w:tcBorders>
              <w:top w:val="single" w:sz="4" w:space="0" w:color="D9D9D9" w:themeColor="background1" w:themeShade="D9"/>
              <w:bottom w:val="single" w:sz="4" w:space="0" w:color="D9D9D9" w:themeColor="background1" w:themeShade="D9"/>
            </w:tcBorders>
          </w:tcPr>
          <w:p w14:paraId="5B88C2E9" w14:textId="1CE9926C" w:rsidR="005F3E01" w:rsidRPr="00DA0CC2" w:rsidRDefault="0006719B" w:rsidP="00393CE7">
            <w:pPr>
              <w:spacing w:after="60"/>
              <w:rPr>
                <w:rFonts w:asciiTheme="minorHAnsi" w:hAnsiTheme="minorHAnsi" w:cstheme="minorHAnsi"/>
                <w:sz w:val="18"/>
                <w:szCs w:val="18"/>
              </w:rPr>
            </w:pPr>
            <w:r>
              <w:rPr>
                <w:rFonts w:asciiTheme="minorHAnsi" w:hAnsiTheme="minorHAnsi" w:cstheme="minorHAnsi"/>
                <w:sz w:val="18"/>
                <w:szCs w:val="18"/>
              </w:rPr>
              <w:t>17</w:t>
            </w:r>
          </w:p>
        </w:tc>
        <w:tc>
          <w:tcPr>
            <w:tcW w:w="1213" w:type="pct"/>
            <w:tcBorders>
              <w:top w:val="single" w:sz="4" w:space="0" w:color="auto"/>
              <w:bottom w:val="single" w:sz="4" w:space="0" w:color="D9D9D9" w:themeColor="background1" w:themeShade="D9"/>
              <w:right w:val="nil"/>
            </w:tcBorders>
          </w:tcPr>
          <w:p w14:paraId="28AA532A" w14:textId="0CF9E35F" w:rsidR="005F3E01" w:rsidRPr="00DA0CC2" w:rsidRDefault="005F3E01"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06719B">
              <w:rPr>
                <w:rFonts w:asciiTheme="minorHAnsi" w:hAnsiTheme="minorHAnsi" w:cstheme="minorHAnsi"/>
                <w:sz w:val="18"/>
                <w:szCs w:val="18"/>
              </w:rPr>
              <w:t>-0.85</w:t>
            </w:r>
            <w:r w:rsidRPr="00DA0CC2">
              <w:rPr>
                <w:rFonts w:asciiTheme="minorHAnsi" w:hAnsiTheme="minorHAnsi" w:cstheme="minorHAnsi"/>
                <w:sz w:val="18"/>
                <w:szCs w:val="18"/>
              </w:rPr>
              <w:t xml:space="preserve"> (</w:t>
            </w:r>
            <w:r w:rsidR="0006719B">
              <w:rPr>
                <w:rFonts w:asciiTheme="minorHAnsi" w:hAnsiTheme="minorHAnsi" w:cstheme="minorHAnsi"/>
                <w:sz w:val="18"/>
                <w:szCs w:val="18"/>
              </w:rPr>
              <w:t xml:space="preserve">-1.25 </w:t>
            </w:r>
            <w:r w:rsidRPr="00DA0CC2">
              <w:rPr>
                <w:rFonts w:asciiTheme="minorHAnsi" w:hAnsiTheme="minorHAnsi" w:cstheme="minorHAnsi"/>
                <w:sz w:val="18"/>
                <w:szCs w:val="18"/>
              </w:rPr>
              <w:t>to</w:t>
            </w:r>
            <w:r w:rsidR="0006719B">
              <w:rPr>
                <w:rFonts w:asciiTheme="minorHAnsi" w:hAnsiTheme="minorHAnsi" w:cstheme="minorHAnsi"/>
                <w:sz w:val="18"/>
                <w:szCs w:val="18"/>
              </w:rPr>
              <w:t xml:space="preserve"> -0.45</w:t>
            </w:r>
            <w:r w:rsidRPr="00DA0CC2">
              <w:rPr>
                <w:rFonts w:asciiTheme="minorHAnsi" w:hAnsiTheme="minorHAnsi" w:cstheme="minorHAnsi"/>
                <w:sz w:val="18"/>
                <w:szCs w:val="18"/>
              </w:rPr>
              <w:t xml:space="preserve">); I2 = </w:t>
            </w:r>
            <w:r w:rsidR="0006719B">
              <w:rPr>
                <w:rFonts w:asciiTheme="minorHAnsi" w:hAnsiTheme="minorHAnsi" w:cstheme="minorHAnsi"/>
                <w:sz w:val="18"/>
                <w:szCs w:val="18"/>
              </w:rPr>
              <w:t>91</w:t>
            </w:r>
            <w:r w:rsidRPr="00DA0CC2">
              <w:rPr>
                <w:rFonts w:asciiTheme="minorHAnsi" w:hAnsiTheme="minorHAnsi" w:cstheme="minorHAnsi"/>
                <w:sz w:val="18"/>
                <w:szCs w:val="18"/>
              </w:rPr>
              <w:t>%</w:t>
            </w:r>
          </w:p>
        </w:tc>
      </w:tr>
      <w:tr w:rsidR="005F3E01" w:rsidRPr="00DA0CC2" w14:paraId="79B8089D" w14:textId="77777777" w:rsidTr="00F55E92">
        <w:tc>
          <w:tcPr>
            <w:tcW w:w="827" w:type="pct"/>
            <w:tcBorders>
              <w:top w:val="single" w:sz="4" w:space="0" w:color="D9D9D9" w:themeColor="background1" w:themeShade="D9"/>
              <w:bottom w:val="single" w:sz="4" w:space="0" w:color="auto"/>
            </w:tcBorders>
          </w:tcPr>
          <w:p w14:paraId="29E8717F"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Fixed effect analysis</w:t>
            </w:r>
          </w:p>
        </w:tc>
        <w:tc>
          <w:tcPr>
            <w:tcW w:w="1306" w:type="pct"/>
            <w:tcBorders>
              <w:top w:val="single" w:sz="4" w:space="0" w:color="D9D9D9" w:themeColor="background1" w:themeShade="D9"/>
              <w:bottom w:val="single" w:sz="4" w:space="0" w:color="auto"/>
            </w:tcBorders>
          </w:tcPr>
          <w:p w14:paraId="5556ED7A"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small study effects (bias due to missing results)</w:t>
            </w:r>
          </w:p>
        </w:tc>
        <w:tc>
          <w:tcPr>
            <w:tcW w:w="312" w:type="pct"/>
            <w:tcBorders>
              <w:top w:val="single" w:sz="4" w:space="0" w:color="D9D9D9" w:themeColor="background1" w:themeShade="D9"/>
              <w:bottom w:val="single" w:sz="4" w:space="0" w:color="auto"/>
            </w:tcBorders>
            <w:shd w:val="clear" w:color="auto" w:fill="F2F2F2" w:themeFill="background1" w:themeFillShade="F2"/>
          </w:tcPr>
          <w:p w14:paraId="02E14115" w14:textId="77777777" w:rsidR="005F3E01" w:rsidRPr="00DA0CC2" w:rsidRDefault="005F3E01" w:rsidP="00393CE7">
            <w:pPr>
              <w:spacing w:after="60"/>
              <w:rPr>
                <w:rFonts w:asciiTheme="minorHAnsi" w:hAnsiTheme="minorHAnsi" w:cstheme="minorHAnsi"/>
                <w:sz w:val="18"/>
                <w:szCs w:val="18"/>
              </w:rPr>
            </w:pPr>
          </w:p>
        </w:tc>
        <w:tc>
          <w:tcPr>
            <w:tcW w:w="1030" w:type="pct"/>
            <w:tcBorders>
              <w:top w:val="single" w:sz="4" w:space="0" w:color="D9D9D9" w:themeColor="background1" w:themeShade="D9"/>
              <w:bottom w:val="single" w:sz="4" w:space="0" w:color="auto"/>
            </w:tcBorders>
            <w:shd w:val="clear" w:color="auto" w:fill="F2F2F2" w:themeFill="background1" w:themeFillShade="F2"/>
          </w:tcPr>
          <w:p w14:paraId="168A7B5A" w14:textId="77777777" w:rsidR="005F3E01" w:rsidRPr="00DA0CC2" w:rsidRDefault="005F3E01" w:rsidP="00393CE7">
            <w:pPr>
              <w:spacing w:after="60"/>
              <w:rPr>
                <w:rFonts w:asciiTheme="minorHAnsi" w:hAnsiTheme="minorHAnsi" w:cstheme="minorHAnsi"/>
                <w:sz w:val="18"/>
                <w:szCs w:val="18"/>
              </w:rPr>
            </w:pPr>
          </w:p>
        </w:tc>
        <w:tc>
          <w:tcPr>
            <w:tcW w:w="312" w:type="pct"/>
            <w:tcBorders>
              <w:top w:val="single" w:sz="4" w:space="0" w:color="D9D9D9" w:themeColor="background1" w:themeShade="D9"/>
              <w:bottom w:val="single" w:sz="4" w:space="0" w:color="auto"/>
            </w:tcBorders>
          </w:tcPr>
          <w:p w14:paraId="59AAF26E" w14:textId="3ACB1FB4" w:rsidR="005F3E01" w:rsidRPr="00DA0CC2" w:rsidRDefault="00641ED2" w:rsidP="00393CE7">
            <w:pPr>
              <w:spacing w:after="60"/>
              <w:rPr>
                <w:rFonts w:asciiTheme="minorHAnsi" w:hAnsiTheme="minorHAnsi" w:cstheme="minorHAnsi"/>
                <w:sz w:val="18"/>
                <w:szCs w:val="18"/>
              </w:rPr>
            </w:pPr>
            <w:r>
              <w:rPr>
                <w:rFonts w:asciiTheme="minorHAnsi" w:hAnsiTheme="minorHAnsi" w:cstheme="minorHAnsi"/>
                <w:sz w:val="18"/>
                <w:szCs w:val="18"/>
              </w:rPr>
              <w:t>20</w:t>
            </w:r>
          </w:p>
        </w:tc>
        <w:tc>
          <w:tcPr>
            <w:tcW w:w="1213" w:type="pct"/>
            <w:tcBorders>
              <w:top w:val="single" w:sz="4" w:space="0" w:color="D9D9D9" w:themeColor="background1" w:themeShade="D9"/>
              <w:bottom w:val="single" w:sz="4" w:space="0" w:color="auto"/>
              <w:right w:val="nil"/>
            </w:tcBorders>
          </w:tcPr>
          <w:p w14:paraId="0E23426D" w14:textId="5961DEB9" w:rsidR="005F3E01" w:rsidRPr="00DA0CC2" w:rsidRDefault="005F3E01" w:rsidP="00393CE7">
            <w:pPr>
              <w:spacing w:after="60"/>
              <w:rPr>
                <w:rFonts w:asciiTheme="minorHAnsi" w:hAnsiTheme="minorHAnsi" w:cstheme="minorHAnsi"/>
                <w:sz w:val="18"/>
                <w:szCs w:val="18"/>
              </w:rPr>
            </w:pPr>
            <w:r w:rsidRPr="00DA0CC2">
              <w:rPr>
                <w:rFonts w:asciiTheme="minorHAnsi" w:hAnsiTheme="minorHAnsi" w:cstheme="minorHAnsi"/>
                <w:sz w:val="18"/>
                <w:szCs w:val="18"/>
              </w:rPr>
              <w:t>SMD</w:t>
            </w:r>
            <w:r w:rsidR="00B162B8">
              <w:rPr>
                <w:rFonts w:asciiTheme="minorHAnsi" w:hAnsiTheme="minorHAnsi" w:cstheme="minorHAnsi"/>
                <w:sz w:val="18"/>
                <w:szCs w:val="18"/>
              </w:rPr>
              <w:t xml:space="preserve"> -0.61</w:t>
            </w:r>
            <w:r w:rsidRPr="00DA0CC2">
              <w:rPr>
                <w:rFonts w:asciiTheme="minorHAnsi" w:hAnsiTheme="minorHAnsi" w:cstheme="minorHAnsi"/>
                <w:sz w:val="18"/>
                <w:szCs w:val="18"/>
              </w:rPr>
              <w:t xml:space="preserve"> (</w:t>
            </w:r>
            <w:r w:rsidR="00B162B8">
              <w:rPr>
                <w:rFonts w:asciiTheme="minorHAnsi" w:hAnsiTheme="minorHAnsi" w:cstheme="minorHAnsi"/>
                <w:sz w:val="18"/>
                <w:szCs w:val="18"/>
              </w:rPr>
              <w:t>-0.72</w:t>
            </w:r>
            <w:r>
              <w:rPr>
                <w:rFonts w:asciiTheme="minorHAnsi" w:hAnsiTheme="minorHAnsi" w:cstheme="minorHAnsi"/>
                <w:sz w:val="18"/>
                <w:szCs w:val="18"/>
              </w:rPr>
              <w:t xml:space="preserve"> </w:t>
            </w:r>
            <w:r w:rsidRPr="00DA0CC2">
              <w:rPr>
                <w:rFonts w:asciiTheme="minorHAnsi" w:hAnsiTheme="minorHAnsi" w:cstheme="minorHAnsi"/>
                <w:sz w:val="18"/>
                <w:szCs w:val="18"/>
              </w:rPr>
              <w:t>to</w:t>
            </w:r>
            <w:r w:rsidR="00B162B8">
              <w:rPr>
                <w:rFonts w:asciiTheme="minorHAnsi" w:hAnsiTheme="minorHAnsi" w:cstheme="minorHAnsi"/>
                <w:sz w:val="18"/>
                <w:szCs w:val="18"/>
              </w:rPr>
              <w:t xml:space="preserve"> -0.51</w:t>
            </w:r>
            <w:r w:rsidRPr="00DA0CC2">
              <w:rPr>
                <w:rFonts w:asciiTheme="minorHAnsi" w:hAnsiTheme="minorHAnsi" w:cstheme="minorHAnsi"/>
                <w:sz w:val="18"/>
                <w:szCs w:val="18"/>
              </w:rPr>
              <w:t xml:space="preserve">); I2 = </w:t>
            </w:r>
            <w:r w:rsidR="00B162B8">
              <w:rPr>
                <w:rFonts w:asciiTheme="minorHAnsi" w:hAnsiTheme="minorHAnsi" w:cstheme="minorHAnsi"/>
                <w:sz w:val="18"/>
                <w:szCs w:val="18"/>
              </w:rPr>
              <w:t>87</w:t>
            </w:r>
            <w:r w:rsidRPr="00DA0CC2">
              <w:rPr>
                <w:rFonts w:asciiTheme="minorHAnsi" w:hAnsiTheme="minorHAnsi" w:cstheme="minorHAnsi"/>
                <w:sz w:val="18"/>
                <w:szCs w:val="18"/>
              </w:rPr>
              <w:t>%</w:t>
            </w:r>
          </w:p>
        </w:tc>
      </w:tr>
    </w:tbl>
    <w:p w14:paraId="4C1B99B3" w14:textId="177BBDCC" w:rsidR="005F3E01" w:rsidRPr="00F55E92" w:rsidRDefault="005F3E01" w:rsidP="005F3E01">
      <w:pPr>
        <w:spacing w:after="60"/>
        <w:rPr>
          <w:sz w:val="18"/>
        </w:rPr>
      </w:pPr>
      <w:r>
        <w:rPr>
          <w:sz w:val="22"/>
          <w:vertAlign w:val="superscript"/>
        </w:rPr>
        <w:t>1</w:t>
      </w:r>
      <w:r w:rsidRPr="00DA0CC2">
        <w:rPr>
          <w:sz w:val="18"/>
        </w:rPr>
        <w:t xml:space="preserve"> This analysis was limited to trials that (a) reported </w:t>
      </w:r>
      <w:proofErr w:type="spellStart"/>
      <w:r w:rsidRPr="00DA0CC2">
        <w:rPr>
          <w:sz w:val="18"/>
        </w:rPr>
        <w:t>i</w:t>
      </w:r>
      <w:proofErr w:type="spellEnd"/>
      <w:r w:rsidRPr="00DA0CC2">
        <w:rPr>
          <w:sz w:val="18"/>
        </w:rPr>
        <w:t xml:space="preserve">) means and standard deviations, ii) means and standard errors, or iii) mean differences and their confidence intervals, </w:t>
      </w:r>
      <w:r w:rsidRPr="00DA0CC2">
        <w:rPr>
          <w:sz w:val="18"/>
          <w:szCs w:val="18"/>
        </w:rPr>
        <w:t>and (b) had post-intervention (final) values available.</w:t>
      </w:r>
    </w:p>
    <w:p w14:paraId="59E451FA" w14:textId="77777777" w:rsidR="005F3E01" w:rsidRPr="00DA0CC2" w:rsidRDefault="005F3E01" w:rsidP="005F3E01">
      <w:pPr>
        <w:spacing w:after="60"/>
        <w:rPr>
          <w:sz w:val="18"/>
          <w:szCs w:val="18"/>
        </w:rPr>
      </w:pPr>
      <w:r w:rsidRPr="00DA0CC2">
        <w:rPr>
          <w:i/>
          <w:sz w:val="18"/>
          <w:szCs w:val="18"/>
        </w:rPr>
        <w:t>Abbreviations</w:t>
      </w:r>
      <w:r w:rsidRPr="00DA0CC2">
        <w:rPr>
          <w:sz w:val="18"/>
          <w:szCs w:val="18"/>
        </w:rPr>
        <w:t>. MA = meta-analysis; SMD = standardised mean difference; CI = confidence interval</w:t>
      </w:r>
    </w:p>
    <w:p w14:paraId="7C9A9403" w14:textId="77777777" w:rsidR="003176C1" w:rsidRPr="00DA0CC2" w:rsidRDefault="003176C1" w:rsidP="003176C1">
      <w:pPr>
        <w:pStyle w:val="Heading4"/>
      </w:pPr>
      <w:r w:rsidRPr="00DA0CC2">
        <w:rPr>
          <w:color w:val="4472C4" w:themeColor="accent5"/>
        </w:rPr>
        <w:br/>
      </w:r>
      <w:r w:rsidRPr="00DA0CC2">
        <w:t>Bias due to missing results from the meta-analysis</w:t>
      </w:r>
    </w:p>
    <w:p w14:paraId="512D290E" w14:textId="09711004" w:rsidR="00F262A4" w:rsidRPr="00F262A4" w:rsidRDefault="00F262A4" w:rsidP="003176C1">
      <w:r w:rsidRPr="00F262A4">
        <w:t>T</w:t>
      </w:r>
      <w:r w:rsidR="003176C1" w:rsidRPr="00F262A4">
        <w:t>he combined effect estimated from the fixed effect model (SMD -0.</w:t>
      </w:r>
      <w:r w:rsidRPr="00F262A4">
        <w:t>61</w:t>
      </w:r>
      <w:r w:rsidR="003176C1" w:rsidRPr="00F262A4">
        <w:t>) was smaller than from the random effects model (SMD -</w:t>
      </w:r>
      <w:r w:rsidR="00D87E60" w:rsidRPr="00F262A4">
        <w:t>0.</w:t>
      </w:r>
      <w:r w:rsidRPr="00F262A4">
        <w:t>85</w:t>
      </w:r>
      <w:r w:rsidR="003176C1" w:rsidRPr="00F262A4">
        <w:t xml:space="preserve">) (Table </w:t>
      </w:r>
      <w:r w:rsidR="0029188C" w:rsidRPr="00F262A4">
        <w:t>D</w:t>
      </w:r>
      <w:r w:rsidRPr="00F262A4">
        <w:t>3</w:t>
      </w:r>
      <w:r w:rsidR="003176C1" w:rsidRPr="00F262A4">
        <w:t xml:space="preserve">.1), </w:t>
      </w:r>
      <w:r w:rsidR="00073FEF">
        <w:t xml:space="preserve">which </w:t>
      </w:r>
      <w:r w:rsidR="00073FEF" w:rsidRPr="00E06532">
        <w:t>may suggest small study effects arising from selective non-reporting of unfavourable results</w:t>
      </w:r>
      <w:r w:rsidR="00073FEF" w:rsidRPr="00F262A4">
        <w:t xml:space="preserve"> </w:t>
      </w:r>
      <w:r w:rsidR="003176C1" w:rsidRPr="00F262A4">
        <w:t xml:space="preserve">(Table </w:t>
      </w:r>
      <w:r w:rsidR="0029188C" w:rsidRPr="00F262A4">
        <w:t>D</w:t>
      </w:r>
      <w:r>
        <w:t>3</w:t>
      </w:r>
      <w:r w:rsidR="003176C1" w:rsidRPr="00F262A4">
        <w:t xml:space="preserve">.1). The contour-enhanced funnel plot in Figure </w:t>
      </w:r>
      <w:r w:rsidR="0029188C" w:rsidRPr="00F262A4">
        <w:t>D</w:t>
      </w:r>
      <w:r w:rsidRPr="00F262A4">
        <w:t>3</w:t>
      </w:r>
      <w:r w:rsidR="003176C1" w:rsidRPr="00F262A4">
        <w:t>.</w:t>
      </w:r>
      <w:r w:rsidRPr="00F262A4">
        <w:t>1</w:t>
      </w:r>
      <w:r w:rsidR="003176C1" w:rsidRPr="00F262A4">
        <w:t xml:space="preserve"> suggests that there could be missing studies which show effects favouring the control, and nonsignificant effects in general (i.e. the plot is asymmetric, missing studies to the right of the line of no effect (SMD</w:t>
      </w:r>
      <w:r w:rsidR="009618FE" w:rsidRPr="00F262A4">
        <w:t xml:space="preserve"> </w:t>
      </w:r>
      <w:r w:rsidR="003176C1" w:rsidRPr="00F262A4">
        <w:t>0) where we would expect results for some small studies, most notably in the darker grey shaded areas where nonsignificant results appear; in addition only a minority of studies to the left of the line of no effect are non-significant).</w:t>
      </w:r>
    </w:p>
    <w:p w14:paraId="27CEC771" w14:textId="77777777" w:rsidR="00F262A4" w:rsidRDefault="00F262A4">
      <w:pPr>
        <w:spacing w:after="0"/>
        <w:rPr>
          <w:color w:val="4472C4" w:themeColor="accent5"/>
        </w:rPr>
      </w:pPr>
      <w:r>
        <w:rPr>
          <w:color w:val="4472C4" w:themeColor="accent5"/>
        </w:rPr>
        <w:br w:type="page"/>
      </w:r>
    </w:p>
    <w:p w14:paraId="1D0B973A" w14:textId="77777777" w:rsidR="003176C1" w:rsidRPr="005F3E01" w:rsidRDefault="003176C1" w:rsidP="003176C1">
      <w:pPr>
        <w:rPr>
          <w:color w:val="4472C4" w:themeColor="accent5"/>
        </w:rPr>
      </w:pPr>
    </w:p>
    <w:p w14:paraId="4C8CE290" w14:textId="703137A5" w:rsidR="003176C1" w:rsidRDefault="0010097A" w:rsidP="003176C1">
      <w:pPr>
        <w:rPr>
          <w:noProof/>
        </w:rPr>
      </w:pPr>
      <w:r w:rsidRPr="00DA0CC2">
        <w:rPr>
          <w:noProof/>
        </w:rPr>
        <w:drawing>
          <wp:inline distT="0" distB="0" distL="0" distR="0" wp14:anchorId="55899FC8" wp14:editId="2C5EF2D0">
            <wp:extent cx="3856382" cy="4449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17"/>
                    <a:srcRect t="79670" b="4467"/>
                    <a:stretch/>
                  </pic:blipFill>
                  <pic:spPr bwMode="auto">
                    <a:xfrm>
                      <a:off x="0" y="0"/>
                      <a:ext cx="3978554" cy="459069"/>
                    </a:xfrm>
                    <a:prstGeom prst="rect">
                      <a:avLst/>
                    </a:prstGeom>
                    <a:ln>
                      <a:noFill/>
                    </a:ln>
                    <a:extLst>
                      <a:ext uri="{53640926-AAD7-44D8-BBD7-CCE9431645EC}">
                        <a14:shadowObscured xmlns:a14="http://schemas.microsoft.com/office/drawing/2010/main"/>
                      </a:ext>
                    </a:extLst>
                  </pic:spPr>
                </pic:pic>
              </a:graphicData>
            </a:graphic>
          </wp:inline>
        </w:drawing>
      </w:r>
    </w:p>
    <w:p w14:paraId="53DC9E68" w14:textId="2B30A64F" w:rsidR="003176C1" w:rsidRPr="00DA0CC2" w:rsidRDefault="00C34722" w:rsidP="003176C1">
      <w:r>
        <w:rPr>
          <w:noProof/>
          <w:color w:val="0070C0"/>
        </w:rPr>
        <mc:AlternateContent>
          <mc:Choice Requires="wps">
            <w:drawing>
              <wp:anchor distT="0" distB="0" distL="114300" distR="114300" simplePos="0" relativeHeight="251658242" behindDoc="0" locked="0" layoutInCell="1" allowOverlap="1" wp14:anchorId="7C84A477" wp14:editId="2FB224BE">
                <wp:simplePos x="0" y="0"/>
                <wp:positionH relativeFrom="column">
                  <wp:posOffset>2194560</wp:posOffset>
                </wp:positionH>
                <wp:positionV relativeFrom="paragraph">
                  <wp:posOffset>341300</wp:posOffset>
                </wp:positionV>
                <wp:extent cx="2809037" cy="146304"/>
                <wp:effectExtent l="0" t="0" r="0" b="6350"/>
                <wp:wrapNone/>
                <wp:docPr id="16" name="Rectangle 16"/>
                <wp:cNvGraphicFramePr/>
                <a:graphic xmlns:a="http://schemas.openxmlformats.org/drawingml/2006/main">
                  <a:graphicData uri="http://schemas.microsoft.com/office/word/2010/wordprocessingShape">
                    <wps:wsp>
                      <wps:cNvSpPr/>
                      <wps:spPr>
                        <a:xfrm>
                          <a:off x="0" y="0"/>
                          <a:ext cx="2809037" cy="146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7D7E5" id="Rectangle 16" o:spid="_x0000_s1026" style="position:absolute;margin-left:172.8pt;margin-top:26.85pt;width:221.2pt;height:1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" fillcolor="white [3212]" stroked="f" strokeweight="1pt"/>
            </w:pict>
          </mc:Fallback>
        </mc:AlternateContent>
      </w:r>
      <w:r w:rsidR="00CF1DAE">
        <w:rPr>
          <w:b/>
          <w:bCs/>
          <w:noProof/>
        </w:rPr>
        <w:drawing>
          <wp:inline distT="0" distB="0" distL="0" distR="0" wp14:anchorId="6771AA2E" wp14:editId="26EDC35F">
            <wp:extent cx="6645910" cy="3816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a_funnel_dom_5_comp_1_contour_no_funnel.png"/>
                    <pic:cNvPicPr/>
                  </pic:nvPicPr>
                  <pic:blipFill rotWithShape="1">
                    <a:blip r:embed="rId19"/>
                    <a:srcRect b="21087"/>
                    <a:stretch/>
                  </pic:blipFill>
                  <pic:spPr bwMode="auto">
                    <a:xfrm>
                      <a:off x="0" y="0"/>
                      <a:ext cx="6645910" cy="3816350"/>
                    </a:xfrm>
                    <a:prstGeom prst="rect">
                      <a:avLst/>
                    </a:prstGeom>
                    <a:ln>
                      <a:noFill/>
                    </a:ln>
                    <a:extLst>
                      <a:ext uri="{53640926-AAD7-44D8-BBD7-CCE9431645EC}">
                        <a14:shadowObscured xmlns:a14="http://schemas.microsoft.com/office/drawing/2010/main"/>
                      </a:ext>
                    </a:extLst>
                  </pic:spPr>
                </pic:pic>
              </a:graphicData>
            </a:graphic>
          </wp:inline>
        </w:drawing>
      </w:r>
      <w:r w:rsidR="003176C1" w:rsidRPr="00DA0CC2">
        <w:rPr>
          <w:b/>
          <w:bCs/>
        </w:rPr>
        <w:t xml:space="preserve">Fig </w:t>
      </w:r>
      <w:r w:rsidR="0029188C">
        <w:rPr>
          <w:b/>
          <w:bCs/>
        </w:rPr>
        <w:t>D</w:t>
      </w:r>
      <w:r w:rsidR="00205771">
        <w:rPr>
          <w:b/>
          <w:bCs/>
        </w:rPr>
        <w:t>3</w:t>
      </w:r>
      <w:r w:rsidR="003176C1" w:rsidRPr="00DA0CC2">
        <w:rPr>
          <w:b/>
          <w:bCs/>
        </w:rPr>
        <w:t>.</w:t>
      </w:r>
      <w:r w:rsidR="00F262A4">
        <w:rPr>
          <w:b/>
          <w:bCs/>
        </w:rPr>
        <w:t>1</w:t>
      </w:r>
      <w:r w:rsidR="003176C1" w:rsidRPr="00DA0CC2">
        <w:t xml:space="preserve"> | Contour enhanced funnel plot of estimates of SMD versus their standard errors for </w:t>
      </w:r>
      <w:r w:rsidR="005F3E01">
        <w:t>the comparison of the</w:t>
      </w:r>
      <w:r w:rsidR="003176C1" w:rsidRPr="00DA0CC2">
        <w:t xml:space="preserve"> effect </w:t>
      </w:r>
      <w:r w:rsidR="003176C1" w:rsidRPr="00FC457F">
        <w:t xml:space="preserve">of </w:t>
      </w:r>
      <w:r w:rsidR="005F3E01" w:rsidRPr="00FC457F">
        <w:t>reflexology</w:t>
      </w:r>
      <w:r w:rsidR="003176C1" w:rsidRPr="00FC457F">
        <w:t xml:space="preserve"> versus inactive</w:t>
      </w:r>
      <w:r w:rsidR="003176C1" w:rsidRPr="00DA0CC2">
        <w:t xml:space="preserve"> control (usual care, no intervention, placebo) on </w:t>
      </w:r>
      <w:r w:rsidR="002B25E4" w:rsidRPr="00DA0CC2">
        <w:t>fatigue</w:t>
      </w:r>
      <w:r w:rsidR="003176C1" w:rsidRPr="00DA0CC2">
        <w:t>. Shaded regions represent different categories of conventional milestone levels of statistical significance. SMD</w:t>
      </w:r>
      <w:r w:rsidR="009618FE" w:rsidRPr="00DA0CC2">
        <w:t xml:space="preserve"> </w:t>
      </w:r>
      <w:r w:rsidR="003176C1" w:rsidRPr="00DA0CC2">
        <w:t>=</w:t>
      </w:r>
      <w:r w:rsidR="009618FE" w:rsidRPr="00DA0CC2">
        <w:t xml:space="preserve"> </w:t>
      </w:r>
      <w:r w:rsidR="003176C1" w:rsidRPr="00DA0CC2">
        <w:t xml:space="preserve">standardised mean difference. Blue line shows the combined estimate from random effects model. </w:t>
      </w:r>
      <w:r w:rsidR="003176C1" w:rsidRPr="00DA0CC2">
        <w:br/>
      </w:r>
    </w:p>
    <w:p w14:paraId="04C10253" w14:textId="269F27AD" w:rsidR="004342B9" w:rsidRPr="00DA0CC2" w:rsidRDefault="0029188C" w:rsidP="004342B9">
      <w:pPr>
        <w:pStyle w:val="Heading2"/>
      </w:pPr>
      <w:bookmarkStart w:id="9" w:name="_Toc171044314"/>
      <w:r>
        <w:t>D</w:t>
      </w:r>
      <w:r w:rsidR="005F3E01">
        <w:t>4</w:t>
      </w:r>
      <w:r w:rsidR="004342B9" w:rsidRPr="00DA0CC2">
        <w:t xml:space="preserve"> Emotional functioning and mental health</w:t>
      </w:r>
      <w:bookmarkEnd w:id="9"/>
    </w:p>
    <w:p w14:paraId="014CFA22" w14:textId="77777777" w:rsidR="006C4661" w:rsidRPr="00DA0CC2" w:rsidRDefault="006C4661" w:rsidP="006C4661">
      <w:r w:rsidRPr="00DA0CC2">
        <w:t>Results presented in this section are for the subgroup analys</w:t>
      </w:r>
      <w:r>
        <w:t>i</w:t>
      </w:r>
      <w:r w:rsidRPr="00DA0CC2">
        <w:t>s</w:t>
      </w:r>
      <w:r>
        <w:t>,</w:t>
      </w:r>
      <w:r w:rsidRPr="00DA0CC2">
        <w:t xml:space="preserve"> sensitivity analys</w:t>
      </w:r>
      <w:r>
        <w:t>i</w:t>
      </w:r>
      <w:r w:rsidRPr="00DA0CC2">
        <w:t xml:space="preserve">s, and analyses to examine the risk </w:t>
      </w:r>
      <w:r>
        <w:t xml:space="preserve">of </w:t>
      </w:r>
      <w:r w:rsidRPr="00DA0CC2">
        <w:t xml:space="preserve">bias due to missing results.  </w:t>
      </w:r>
    </w:p>
    <w:p w14:paraId="01249C42" w14:textId="579FF6A6" w:rsidR="006C4661" w:rsidRPr="00086417" w:rsidRDefault="006C4661" w:rsidP="006C4661">
      <w:r w:rsidRPr="00086417">
        <w:t xml:space="preserve">For the outcome </w:t>
      </w:r>
      <w:r w:rsidR="00FC457F" w:rsidRPr="00086417">
        <w:t>emotional functioning and mental health</w:t>
      </w:r>
      <w:r w:rsidRPr="00086417">
        <w:t xml:space="preserve">, </w:t>
      </w:r>
      <w:r w:rsidR="00086417" w:rsidRPr="00086417">
        <w:t>40</w:t>
      </w:r>
      <w:r w:rsidRPr="00086417">
        <w:t xml:space="preserve"> studies were included in the meta-analysis that compared reflexology to an inactive control (usual care, no intervention, sham, co-intervention given in both groups).</w:t>
      </w:r>
    </w:p>
    <w:p w14:paraId="748B4267" w14:textId="77777777" w:rsidR="006C4661" w:rsidRPr="00DA0CC2" w:rsidRDefault="006C4661" w:rsidP="006C4661">
      <w:pPr>
        <w:pStyle w:val="Heading4"/>
      </w:pPr>
      <w:r w:rsidRPr="00DA0CC2">
        <w:t>Results of subgroup analys</w:t>
      </w:r>
      <w:r>
        <w:t>i</w:t>
      </w:r>
      <w:r w:rsidRPr="00DA0CC2">
        <w:t>s</w:t>
      </w:r>
      <w:r>
        <w:t xml:space="preserve"> by population group</w:t>
      </w:r>
    </w:p>
    <w:p w14:paraId="1D7F5820" w14:textId="3D4FFBE2" w:rsidR="006C4661" w:rsidRPr="00DA0CC2" w:rsidRDefault="006C4661" w:rsidP="006C4661">
      <w:r>
        <w:t>A</w:t>
      </w:r>
      <w:r w:rsidRPr="00DA0CC2">
        <w:t xml:space="preserve"> subgroup analys</w:t>
      </w:r>
      <w:r>
        <w:t>i</w:t>
      </w:r>
      <w:r w:rsidRPr="00DA0CC2">
        <w:t>s w</w:t>
      </w:r>
      <w:r>
        <w:t>as</w:t>
      </w:r>
      <w:r w:rsidRPr="00DA0CC2">
        <w:t xml:space="preserve"> performed to investigate whether </w:t>
      </w:r>
      <w:r>
        <w:t>there were differences in the effects between population groups (i.e</w:t>
      </w:r>
      <w:r w:rsidRPr="00086417">
        <w:t xml:space="preserve">. </w:t>
      </w:r>
      <w:r w:rsidR="00086417" w:rsidRPr="00086417">
        <w:t>surgery, procedures, hospitalisation, labour and childbirth, mental distress, cancer and advanced disease, mental disorders, dementia</w:t>
      </w:r>
      <w:r w:rsidRPr="00086417">
        <w:t>).</w:t>
      </w:r>
      <w:r>
        <w:t xml:space="preserve"> Primarily, these were planned to explore possible</w:t>
      </w:r>
      <w:r w:rsidRPr="00DA0CC2">
        <w:t xml:space="preserve"> explanation</w:t>
      </w:r>
      <w:r>
        <w:t>s</w:t>
      </w:r>
      <w:r w:rsidRPr="00DA0CC2">
        <w:t xml:space="preserve"> for </w:t>
      </w:r>
      <w:r>
        <w:t>any</w:t>
      </w:r>
      <w:r w:rsidRPr="00DA0CC2">
        <w:t xml:space="preserve"> inconsistent effects </w:t>
      </w:r>
      <w:r>
        <w:t>if</w:t>
      </w:r>
      <w:r w:rsidRPr="00DA0CC2">
        <w:t xml:space="preserve"> observed across studies (statistical heterogeneity). </w:t>
      </w:r>
    </w:p>
    <w:p w14:paraId="08566953" w14:textId="74E9AD9E" w:rsidR="00086417" w:rsidRPr="00B76ED3" w:rsidRDefault="006C4661" w:rsidP="00086417">
      <w:r w:rsidRPr="00DC7650">
        <w:rPr>
          <w:i/>
        </w:rPr>
        <w:t>Assessment of heterogeneity:</w:t>
      </w:r>
      <w:r w:rsidRPr="00DC7650">
        <w:t xml:space="preserve"> </w:t>
      </w:r>
      <w:r w:rsidR="00086417" w:rsidRPr="00B76ED3">
        <w:t xml:space="preserve">There are differences in the size of the estimated intervention effect across studies for this comparison and outcome that suggest inconsistent effects. While the effect estimate for </w:t>
      </w:r>
      <w:proofErr w:type="gramStart"/>
      <w:r w:rsidR="00086417" w:rsidRPr="00B76ED3">
        <w:t>the majority of</w:t>
      </w:r>
      <w:proofErr w:type="gramEnd"/>
      <w:r w:rsidR="00086417" w:rsidRPr="00B76ED3">
        <w:t xml:space="preserve"> studies was </w:t>
      </w:r>
      <w:r w:rsidR="00164547">
        <w:t>above</w:t>
      </w:r>
      <w:r w:rsidR="00086417" w:rsidRPr="00B76ED3">
        <w:t xml:space="preserve"> the threshold for an important improvement in </w:t>
      </w:r>
      <w:r w:rsidR="00086417">
        <w:t>emotional functioning and mental health</w:t>
      </w:r>
      <w:r w:rsidR="00086417" w:rsidRPr="00B76ED3">
        <w:t xml:space="preserve"> (i.e. an SMD &lt; - 0.2), </w:t>
      </w:r>
      <w:r w:rsidR="00086417">
        <w:t>more than</w:t>
      </w:r>
      <w:r w:rsidR="00086417" w:rsidRPr="00B76ED3">
        <w:t xml:space="preserve"> ¼ of studies in the analysis showed trivial effects (an SMD between -0.2 and 0.2)</w:t>
      </w:r>
      <w:r w:rsidR="00086417">
        <w:t xml:space="preserve"> or effects favouring the control</w:t>
      </w:r>
      <w:r w:rsidR="00086417" w:rsidRPr="00B76ED3">
        <w:t xml:space="preserve">. As such, the observed inconsistency is considered serious for the overall analysis and requires explanation to understand the factors that may influence whether reflexology has a beneficial or trivial effect. </w:t>
      </w:r>
    </w:p>
    <w:p w14:paraId="76134541" w14:textId="1E4210B8" w:rsidR="00086417" w:rsidRPr="00F65DCF" w:rsidRDefault="00086417" w:rsidP="00086417">
      <w:pPr>
        <w:rPr>
          <w:b/>
          <w:bCs/>
          <w:i/>
          <w:iCs/>
        </w:rPr>
      </w:pPr>
      <w:r w:rsidRPr="00B76ED3">
        <w:t xml:space="preserve">The subgroup analyses did not explain the observed differences across studies in the direction or size of the observed effect. </w:t>
      </w:r>
      <w:r w:rsidRPr="00DA0CC2">
        <w:t xml:space="preserve">Results for this analysis are </w:t>
      </w:r>
      <w:r w:rsidRPr="00B26717">
        <w:t>presented in the main report (Section 4.5, Figure 4.5.1). The test</w:t>
      </w:r>
      <w:r w:rsidRPr="00B76ED3">
        <w:t xml:space="preserve"> for subgroup </w:t>
      </w:r>
      <w:r w:rsidRPr="00B76ED3">
        <w:lastRenderedPageBreak/>
        <w:t>differences was not statistically significant (P = 0.</w:t>
      </w:r>
      <w:r>
        <w:t>1</w:t>
      </w:r>
      <w:r w:rsidRPr="00B76ED3">
        <w:t xml:space="preserve">) </w:t>
      </w:r>
      <w:r w:rsidRPr="00F65DCF">
        <w:t xml:space="preserve">and there was inconsistency in the effects observed across studies within </w:t>
      </w:r>
      <w:r>
        <w:t xml:space="preserve">the majority </w:t>
      </w:r>
      <w:r w:rsidRPr="00F65DCF">
        <w:t>population groups</w:t>
      </w:r>
      <w:r>
        <w:t>, which we considered serious for one group (cancer and advanced disease)</w:t>
      </w:r>
      <w:r w:rsidRPr="00F65DCF">
        <w:t>. Overall, there is evidence that the effects are inconsistent across population groups (some showing important benefit, others showing trivial effects).</w:t>
      </w:r>
    </w:p>
    <w:p w14:paraId="1B18FEC4" w14:textId="77777777" w:rsidR="006C4661" w:rsidRPr="00DA0CC2" w:rsidRDefault="006C4661" w:rsidP="006C4661">
      <w:pPr>
        <w:pStyle w:val="Heading4"/>
      </w:pPr>
      <w:r w:rsidRPr="00DA0CC2">
        <w:t>Results of sensitivity analyses</w:t>
      </w:r>
    </w:p>
    <w:p w14:paraId="28F25BE7" w14:textId="709B4536" w:rsidR="006C4661" w:rsidRPr="00DA0CC2" w:rsidRDefault="006C4661" w:rsidP="006C4661">
      <w:r w:rsidRPr="00086417">
        <w:rPr>
          <w:b/>
        </w:rPr>
        <w:t>Table D</w:t>
      </w:r>
      <w:r w:rsidR="00205771" w:rsidRPr="00086417">
        <w:rPr>
          <w:b/>
        </w:rPr>
        <w:t>4</w:t>
      </w:r>
      <w:r w:rsidRPr="00086417">
        <w:rPr>
          <w:b/>
        </w:rPr>
        <w:t>.1</w:t>
      </w:r>
      <w:r w:rsidRPr="00086417">
        <w:t xml:space="preserve"> presents</w:t>
      </w:r>
      <w:r w:rsidRPr="00DA0CC2">
        <w:t xml:space="preserve"> results for the original analysis (all studies, random effects model) and </w:t>
      </w:r>
      <w:r>
        <w:t xml:space="preserve">two </w:t>
      </w:r>
      <w:r w:rsidRPr="00DA0CC2">
        <w:t xml:space="preserve">sensitivity analyses. These sensitivity analyses investigate: </w:t>
      </w:r>
    </w:p>
    <w:p w14:paraId="4C3B879F" w14:textId="77777777" w:rsidR="006C4661" w:rsidRDefault="006C4661" w:rsidP="00E756A9">
      <w:pPr>
        <w:pStyle w:val="ListParagraph"/>
        <w:numPr>
          <w:ilvl w:val="0"/>
          <w:numId w:val="56"/>
        </w:numPr>
      </w:pPr>
      <w:r w:rsidRPr="00DA0CC2">
        <w:t>whether the combined estimate is sensitive to the assumptions that were made to enable inclusion of results in the meta-analysis, specifically</w:t>
      </w:r>
      <w:r>
        <w:t xml:space="preserve"> </w:t>
      </w:r>
      <w:r w:rsidRPr="00DA0CC2">
        <w:t>transforming or imputing statistics, and including change scores (change from baseline) when post-intervention (final) values (and their standard deviations) were unavailable; and</w:t>
      </w:r>
    </w:p>
    <w:p w14:paraId="714769B3" w14:textId="77777777" w:rsidR="006C4661" w:rsidRPr="006C4661" w:rsidRDefault="006C4661" w:rsidP="00E756A9">
      <w:pPr>
        <w:pStyle w:val="ListParagraph"/>
        <w:numPr>
          <w:ilvl w:val="0"/>
          <w:numId w:val="56"/>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p w14:paraId="70A079AC" w14:textId="0422C396" w:rsidR="00C25BFE" w:rsidRPr="00256791" w:rsidRDefault="00C25BFE" w:rsidP="006C4661">
      <w:r w:rsidRPr="00256791">
        <w:t xml:space="preserve">The combined estimate of effect was similar in the original analysis and the sensitivity analyses removing studies for which transforming </w:t>
      </w:r>
      <w:r w:rsidR="00256791" w:rsidRPr="00256791">
        <w:t>/</w:t>
      </w:r>
      <w:r w:rsidRPr="00256791">
        <w:t xml:space="preserve"> imputing statistics </w:t>
      </w:r>
      <w:r w:rsidR="00256791" w:rsidRPr="00256791">
        <w:t xml:space="preserve">or using change scores </w:t>
      </w:r>
      <w:r w:rsidRPr="00256791">
        <w:t xml:space="preserve">was necessary. This indicates that the result was robust to the assumptions required to include these results. </w:t>
      </w:r>
    </w:p>
    <w:p w14:paraId="4082250B" w14:textId="77777777" w:rsidR="005F3E01" w:rsidRDefault="005F3E01" w:rsidP="005F3E01">
      <w:pPr>
        <w:rPr>
          <w:b/>
        </w:rPr>
      </w:pPr>
    </w:p>
    <w:p w14:paraId="5BD3DE2D" w14:textId="16B2D926" w:rsidR="005F3E01" w:rsidRPr="00DA0CC2" w:rsidRDefault="005F3E01" w:rsidP="005F3E01">
      <w:pPr>
        <w:rPr>
          <w:b/>
          <w:color w:val="000000" w:themeColor="text1"/>
        </w:rPr>
      </w:pPr>
      <w:r w:rsidRPr="00256791">
        <w:rPr>
          <w:b/>
          <w:color w:val="000000" w:themeColor="text1"/>
        </w:rPr>
        <w:t>Table D</w:t>
      </w:r>
      <w:r w:rsidR="00205771" w:rsidRPr="00256791">
        <w:rPr>
          <w:b/>
          <w:color w:val="000000" w:themeColor="text1"/>
        </w:rPr>
        <w:t>4</w:t>
      </w:r>
      <w:r w:rsidRPr="00256791">
        <w:rPr>
          <w:b/>
          <w:color w:val="000000" w:themeColor="text1"/>
        </w:rPr>
        <w:t>.1. Sensitivity</w:t>
      </w:r>
      <w:r w:rsidRPr="00DA0CC2">
        <w:rPr>
          <w:b/>
          <w:color w:val="000000" w:themeColor="text1"/>
        </w:rPr>
        <w:t xml:space="preserve"> analyses for </w:t>
      </w:r>
      <w:r>
        <w:rPr>
          <w:b/>
          <w:color w:val="000000" w:themeColor="text1"/>
        </w:rPr>
        <w:t>emotional functioning and mental health</w:t>
      </w:r>
      <w:r w:rsidRPr="00DA0CC2">
        <w:rPr>
          <w:b/>
          <w:color w:val="000000" w:themeColor="text1"/>
        </w:rPr>
        <w:t xml:space="preserve"> outcome</w:t>
      </w:r>
    </w:p>
    <w:tbl>
      <w:tblPr>
        <w:tblStyle w:val="TableGrid"/>
        <w:tblW w:w="5000" w:type="pct"/>
        <w:tblLook w:val="04A0" w:firstRow="1" w:lastRow="0" w:firstColumn="1" w:lastColumn="0" w:noHBand="0" w:noVBand="1"/>
      </w:tblPr>
      <w:tblGrid>
        <w:gridCol w:w="1730"/>
        <w:gridCol w:w="2732"/>
        <w:gridCol w:w="653"/>
        <w:gridCol w:w="2155"/>
        <w:gridCol w:w="653"/>
        <w:gridCol w:w="2538"/>
      </w:tblGrid>
      <w:tr w:rsidR="005F3E01" w:rsidRPr="00DA0CC2" w14:paraId="290E01D1" w14:textId="77777777" w:rsidTr="00393CE7">
        <w:tc>
          <w:tcPr>
            <w:tcW w:w="827" w:type="pct"/>
            <w:tcBorders>
              <w:top w:val="single" w:sz="4" w:space="0" w:color="auto"/>
              <w:bottom w:val="single" w:sz="4" w:space="0" w:color="auto"/>
            </w:tcBorders>
          </w:tcPr>
          <w:p w14:paraId="69FF539D"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w:t>
            </w:r>
          </w:p>
        </w:tc>
        <w:tc>
          <w:tcPr>
            <w:tcW w:w="1306" w:type="pct"/>
            <w:tcBorders>
              <w:top w:val="single" w:sz="4" w:space="0" w:color="auto"/>
              <w:bottom w:val="single" w:sz="4" w:space="0" w:color="auto"/>
              <w:right w:val="single" w:sz="4" w:space="0" w:color="auto"/>
            </w:tcBorders>
          </w:tcPr>
          <w:p w14:paraId="0337A420"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Purpose of sensitivity analysis</w:t>
            </w:r>
          </w:p>
        </w:tc>
        <w:tc>
          <w:tcPr>
            <w:tcW w:w="312" w:type="pct"/>
            <w:tcBorders>
              <w:top w:val="single" w:sz="4" w:space="0" w:color="auto"/>
              <w:left w:val="single" w:sz="4" w:space="0" w:color="auto"/>
              <w:bottom w:val="single" w:sz="4" w:space="0" w:color="auto"/>
            </w:tcBorders>
          </w:tcPr>
          <w:p w14:paraId="08A01D4B"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030" w:type="pct"/>
            <w:tcBorders>
              <w:top w:val="single" w:sz="4" w:space="0" w:color="auto"/>
              <w:left w:val="nil"/>
              <w:bottom w:val="single" w:sz="4" w:space="0" w:color="auto"/>
              <w:right w:val="single" w:sz="4" w:space="0" w:color="auto"/>
            </w:tcBorders>
          </w:tcPr>
          <w:p w14:paraId="01908C89"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Original effect (95% CI)</w:t>
            </w:r>
          </w:p>
        </w:tc>
        <w:tc>
          <w:tcPr>
            <w:tcW w:w="312" w:type="pct"/>
            <w:tcBorders>
              <w:top w:val="single" w:sz="4" w:space="0" w:color="auto"/>
              <w:left w:val="single" w:sz="4" w:space="0" w:color="auto"/>
              <w:bottom w:val="single" w:sz="4" w:space="0" w:color="auto"/>
            </w:tcBorders>
          </w:tcPr>
          <w:p w14:paraId="216C166A"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213" w:type="pct"/>
            <w:tcBorders>
              <w:top w:val="single" w:sz="4" w:space="0" w:color="auto"/>
              <w:left w:val="nil"/>
              <w:bottom w:val="single" w:sz="4" w:space="0" w:color="auto"/>
              <w:right w:val="nil"/>
            </w:tcBorders>
          </w:tcPr>
          <w:p w14:paraId="4AA4A300"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 effect</w:t>
            </w:r>
          </w:p>
        </w:tc>
      </w:tr>
      <w:tr w:rsidR="005F3E01" w:rsidRPr="00DA0CC2" w14:paraId="0BD3C2EF" w14:textId="77777777" w:rsidTr="00393CE7">
        <w:tc>
          <w:tcPr>
            <w:tcW w:w="827" w:type="pct"/>
            <w:tcBorders>
              <w:top w:val="single" w:sz="4" w:space="0" w:color="D9D9D9" w:themeColor="background1" w:themeShade="D9"/>
              <w:bottom w:val="single" w:sz="4" w:space="0" w:color="D9D9D9" w:themeColor="background1" w:themeShade="D9"/>
            </w:tcBorders>
          </w:tcPr>
          <w:p w14:paraId="196883BF" w14:textId="3F4C842B" w:rsidR="005F3E01" w:rsidRPr="00DA0CC2" w:rsidRDefault="009E5946"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 xml:space="preserve">No imputation, transformations or change scores </w:t>
            </w:r>
            <w:r w:rsidR="00256791">
              <w:rPr>
                <w:rFonts w:asciiTheme="minorHAnsi" w:hAnsiTheme="minorHAnsi" w:cstheme="minorHAnsi"/>
                <w:color w:val="000000" w:themeColor="text1"/>
                <w:sz w:val="18"/>
                <w:szCs w:val="18"/>
                <w:vertAlign w:val="superscript"/>
              </w:rPr>
              <w:t>1</w:t>
            </w:r>
            <w:r w:rsidR="005F3E01" w:rsidRPr="00DA0CC2">
              <w:rPr>
                <w:rFonts w:asciiTheme="minorHAnsi" w:hAnsiTheme="minorHAnsi" w:cstheme="minorHAnsi"/>
                <w:color w:val="000000" w:themeColor="text1"/>
                <w:sz w:val="18"/>
                <w:szCs w:val="18"/>
              </w:rPr>
              <w:t xml:space="preserve"> </w:t>
            </w:r>
          </w:p>
        </w:tc>
        <w:tc>
          <w:tcPr>
            <w:tcW w:w="1306" w:type="pct"/>
            <w:tcBorders>
              <w:top w:val="single" w:sz="4" w:space="0" w:color="D9D9D9" w:themeColor="background1" w:themeShade="D9"/>
              <w:bottom w:val="single" w:sz="4" w:space="0" w:color="D9D9D9" w:themeColor="background1" w:themeShade="D9"/>
            </w:tcBorders>
          </w:tcPr>
          <w:p w14:paraId="5993018A"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312" w:type="pct"/>
            <w:tcBorders>
              <w:top w:val="single" w:sz="4" w:space="0" w:color="D9D9D9" w:themeColor="background1" w:themeShade="D9"/>
              <w:bottom w:val="single" w:sz="4" w:space="0" w:color="D9D9D9" w:themeColor="background1" w:themeShade="D9"/>
            </w:tcBorders>
          </w:tcPr>
          <w:p w14:paraId="77AEEC16" w14:textId="77FE0700" w:rsidR="005F3E01" w:rsidRPr="00DA0CC2" w:rsidRDefault="0032457C" w:rsidP="00393CE7">
            <w:pPr>
              <w:spacing w:after="60"/>
              <w:rPr>
                <w:rFonts w:asciiTheme="minorHAnsi" w:hAnsiTheme="minorHAnsi" w:cstheme="minorHAnsi"/>
                <w:sz w:val="18"/>
                <w:szCs w:val="18"/>
              </w:rPr>
            </w:pPr>
            <w:r>
              <w:rPr>
                <w:rFonts w:asciiTheme="minorHAnsi" w:hAnsiTheme="minorHAnsi" w:cstheme="minorHAnsi"/>
                <w:sz w:val="18"/>
                <w:szCs w:val="18"/>
              </w:rPr>
              <w:t>40</w:t>
            </w:r>
          </w:p>
        </w:tc>
        <w:tc>
          <w:tcPr>
            <w:tcW w:w="1030" w:type="pct"/>
            <w:tcBorders>
              <w:top w:val="single" w:sz="4" w:space="0" w:color="D9D9D9" w:themeColor="background1" w:themeShade="D9"/>
              <w:bottom w:val="single" w:sz="4" w:space="0" w:color="D9D9D9" w:themeColor="background1" w:themeShade="D9"/>
            </w:tcBorders>
          </w:tcPr>
          <w:p w14:paraId="0CA409D9" w14:textId="523CB6EB" w:rsidR="005F3E01" w:rsidRPr="00DA0CC2" w:rsidRDefault="005F3E01"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32457C">
              <w:rPr>
                <w:rFonts w:asciiTheme="minorHAnsi" w:hAnsiTheme="minorHAnsi" w:cstheme="minorHAnsi"/>
                <w:sz w:val="18"/>
                <w:szCs w:val="18"/>
              </w:rPr>
              <w:t xml:space="preserve">-0.69 </w:t>
            </w:r>
            <w:r w:rsidRPr="00DA0CC2">
              <w:rPr>
                <w:rFonts w:asciiTheme="minorHAnsi" w:hAnsiTheme="minorHAnsi" w:cstheme="minorHAnsi"/>
                <w:sz w:val="18"/>
                <w:szCs w:val="18"/>
              </w:rPr>
              <w:t>(</w:t>
            </w:r>
            <w:r w:rsidR="0032457C">
              <w:rPr>
                <w:rFonts w:asciiTheme="minorHAnsi" w:hAnsiTheme="minorHAnsi" w:cstheme="minorHAnsi"/>
                <w:sz w:val="18"/>
                <w:szCs w:val="18"/>
              </w:rPr>
              <w:t xml:space="preserve">-0.93 </w:t>
            </w:r>
            <w:r w:rsidRPr="00DA0CC2">
              <w:rPr>
                <w:rFonts w:asciiTheme="minorHAnsi" w:hAnsiTheme="minorHAnsi" w:cstheme="minorHAnsi"/>
                <w:sz w:val="18"/>
                <w:szCs w:val="18"/>
              </w:rPr>
              <w:t xml:space="preserve">to </w:t>
            </w:r>
            <w:r w:rsidRPr="00DA0CC2">
              <w:rPr>
                <w:rFonts w:asciiTheme="minorHAnsi" w:hAnsiTheme="minorHAnsi" w:cstheme="minorHAnsi"/>
                <w:sz w:val="18"/>
                <w:szCs w:val="18"/>
              </w:rPr>
              <w:br/>
            </w:r>
            <w:r w:rsidR="0032457C">
              <w:rPr>
                <w:rFonts w:asciiTheme="minorHAnsi" w:hAnsiTheme="minorHAnsi" w:cstheme="minorHAnsi"/>
                <w:sz w:val="18"/>
                <w:szCs w:val="18"/>
              </w:rPr>
              <w:t>-0.44</w:t>
            </w:r>
            <w:r w:rsidRPr="00DA0CC2">
              <w:rPr>
                <w:rFonts w:asciiTheme="minorHAnsi" w:hAnsiTheme="minorHAnsi" w:cstheme="minorHAnsi"/>
                <w:sz w:val="18"/>
                <w:szCs w:val="18"/>
              </w:rPr>
              <w:t xml:space="preserve">); I2 = </w:t>
            </w:r>
            <w:r w:rsidR="0032457C">
              <w:rPr>
                <w:rFonts w:asciiTheme="minorHAnsi" w:hAnsiTheme="minorHAnsi" w:cstheme="minorHAnsi"/>
                <w:sz w:val="18"/>
                <w:szCs w:val="18"/>
              </w:rPr>
              <w:t>91</w:t>
            </w:r>
            <w:r w:rsidRPr="00DA0CC2">
              <w:rPr>
                <w:rFonts w:asciiTheme="minorHAnsi" w:hAnsiTheme="minorHAnsi" w:cstheme="minorHAnsi"/>
                <w:sz w:val="18"/>
                <w:szCs w:val="18"/>
              </w:rPr>
              <w:t>%</w:t>
            </w:r>
          </w:p>
        </w:tc>
        <w:tc>
          <w:tcPr>
            <w:tcW w:w="312" w:type="pct"/>
            <w:tcBorders>
              <w:top w:val="single" w:sz="4" w:space="0" w:color="D9D9D9" w:themeColor="background1" w:themeShade="D9"/>
              <w:bottom w:val="single" w:sz="4" w:space="0" w:color="D9D9D9" w:themeColor="background1" w:themeShade="D9"/>
            </w:tcBorders>
          </w:tcPr>
          <w:p w14:paraId="0C1A7512" w14:textId="34EF9C8B" w:rsidR="005F3E01" w:rsidRPr="00DA0CC2" w:rsidRDefault="007F5EFC" w:rsidP="00393CE7">
            <w:pPr>
              <w:spacing w:after="60"/>
              <w:rPr>
                <w:rFonts w:asciiTheme="minorHAnsi" w:hAnsiTheme="minorHAnsi" w:cstheme="minorHAnsi"/>
                <w:sz w:val="18"/>
                <w:szCs w:val="18"/>
              </w:rPr>
            </w:pPr>
            <w:r>
              <w:rPr>
                <w:rFonts w:asciiTheme="minorHAnsi" w:hAnsiTheme="minorHAnsi" w:cstheme="minorHAnsi"/>
                <w:sz w:val="18"/>
                <w:szCs w:val="18"/>
              </w:rPr>
              <w:t>31</w:t>
            </w:r>
          </w:p>
        </w:tc>
        <w:tc>
          <w:tcPr>
            <w:tcW w:w="1213" w:type="pct"/>
            <w:tcBorders>
              <w:top w:val="single" w:sz="4" w:space="0" w:color="auto"/>
              <w:bottom w:val="single" w:sz="4" w:space="0" w:color="D9D9D9" w:themeColor="background1" w:themeShade="D9"/>
              <w:right w:val="nil"/>
            </w:tcBorders>
          </w:tcPr>
          <w:p w14:paraId="6E09DF98" w14:textId="5AB4FD10" w:rsidR="005F3E01" w:rsidRPr="00DA0CC2" w:rsidRDefault="005F3E01"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7F5EFC">
              <w:rPr>
                <w:rFonts w:asciiTheme="minorHAnsi" w:hAnsiTheme="minorHAnsi" w:cstheme="minorHAnsi"/>
                <w:sz w:val="18"/>
                <w:szCs w:val="18"/>
              </w:rPr>
              <w:t>-0.62</w:t>
            </w:r>
            <w:r w:rsidRPr="00DA0CC2">
              <w:rPr>
                <w:rFonts w:asciiTheme="minorHAnsi" w:hAnsiTheme="minorHAnsi" w:cstheme="minorHAnsi"/>
                <w:sz w:val="18"/>
                <w:szCs w:val="18"/>
              </w:rPr>
              <w:t xml:space="preserve"> (</w:t>
            </w:r>
            <w:r w:rsidR="007F5EFC">
              <w:rPr>
                <w:rFonts w:asciiTheme="minorHAnsi" w:hAnsiTheme="minorHAnsi" w:cstheme="minorHAnsi"/>
                <w:sz w:val="18"/>
                <w:szCs w:val="18"/>
              </w:rPr>
              <w:t xml:space="preserve">-0.90 </w:t>
            </w:r>
            <w:r w:rsidRPr="00DA0CC2">
              <w:rPr>
                <w:rFonts w:asciiTheme="minorHAnsi" w:hAnsiTheme="minorHAnsi" w:cstheme="minorHAnsi"/>
                <w:sz w:val="18"/>
                <w:szCs w:val="18"/>
              </w:rPr>
              <w:t>to</w:t>
            </w:r>
            <w:r w:rsidR="007F5EFC">
              <w:rPr>
                <w:rFonts w:asciiTheme="minorHAnsi" w:hAnsiTheme="minorHAnsi" w:cstheme="minorHAnsi"/>
                <w:sz w:val="18"/>
                <w:szCs w:val="18"/>
              </w:rPr>
              <w:t xml:space="preserve"> -0.35</w:t>
            </w:r>
            <w:r w:rsidRPr="00DA0CC2">
              <w:rPr>
                <w:rFonts w:asciiTheme="minorHAnsi" w:hAnsiTheme="minorHAnsi" w:cstheme="minorHAnsi"/>
                <w:sz w:val="18"/>
                <w:szCs w:val="18"/>
              </w:rPr>
              <w:t xml:space="preserve">); I2 = </w:t>
            </w:r>
            <w:r w:rsidR="007F5EFC">
              <w:rPr>
                <w:rFonts w:asciiTheme="minorHAnsi" w:hAnsiTheme="minorHAnsi" w:cstheme="minorHAnsi"/>
                <w:sz w:val="18"/>
                <w:szCs w:val="18"/>
              </w:rPr>
              <w:t>89</w:t>
            </w:r>
            <w:r w:rsidRPr="00DA0CC2">
              <w:rPr>
                <w:rFonts w:asciiTheme="minorHAnsi" w:hAnsiTheme="minorHAnsi" w:cstheme="minorHAnsi"/>
                <w:sz w:val="18"/>
                <w:szCs w:val="18"/>
              </w:rPr>
              <w:t>%</w:t>
            </w:r>
          </w:p>
        </w:tc>
      </w:tr>
      <w:tr w:rsidR="005F3E01" w:rsidRPr="00DA0CC2" w14:paraId="40A65D59" w14:textId="77777777" w:rsidTr="00393CE7">
        <w:tc>
          <w:tcPr>
            <w:tcW w:w="827" w:type="pct"/>
            <w:tcBorders>
              <w:top w:val="single" w:sz="4" w:space="0" w:color="D9D9D9" w:themeColor="background1" w:themeShade="D9"/>
              <w:bottom w:val="single" w:sz="4" w:space="0" w:color="auto"/>
            </w:tcBorders>
          </w:tcPr>
          <w:p w14:paraId="4B5A1B7C"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Fixed effect analysis</w:t>
            </w:r>
          </w:p>
        </w:tc>
        <w:tc>
          <w:tcPr>
            <w:tcW w:w="1306" w:type="pct"/>
            <w:tcBorders>
              <w:top w:val="single" w:sz="4" w:space="0" w:color="D9D9D9" w:themeColor="background1" w:themeShade="D9"/>
              <w:bottom w:val="single" w:sz="4" w:space="0" w:color="auto"/>
            </w:tcBorders>
          </w:tcPr>
          <w:p w14:paraId="5ADD51AA" w14:textId="77777777" w:rsidR="005F3E01" w:rsidRPr="00DA0CC2" w:rsidRDefault="005F3E01"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small study effects (bias due to missing results)</w:t>
            </w:r>
          </w:p>
        </w:tc>
        <w:tc>
          <w:tcPr>
            <w:tcW w:w="312" w:type="pct"/>
            <w:tcBorders>
              <w:top w:val="single" w:sz="4" w:space="0" w:color="D9D9D9" w:themeColor="background1" w:themeShade="D9"/>
              <w:bottom w:val="single" w:sz="4" w:space="0" w:color="auto"/>
            </w:tcBorders>
            <w:shd w:val="clear" w:color="auto" w:fill="F2F2F2" w:themeFill="background1" w:themeFillShade="F2"/>
          </w:tcPr>
          <w:p w14:paraId="7792DCFE" w14:textId="77777777" w:rsidR="005F3E01" w:rsidRPr="00DA0CC2" w:rsidRDefault="005F3E01" w:rsidP="00393CE7">
            <w:pPr>
              <w:spacing w:after="60"/>
              <w:rPr>
                <w:rFonts w:asciiTheme="minorHAnsi" w:hAnsiTheme="minorHAnsi" w:cstheme="minorHAnsi"/>
                <w:sz w:val="18"/>
                <w:szCs w:val="18"/>
              </w:rPr>
            </w:pPr>
          </w:p>
        </w:tc>
        <w:tc>
          <w:tcPr>
            <w:tcW w:w="1030" w:type="pct"/>
            <w:tcBorders>
              <w:top w:val="single" w:sz="4" w:space="0" w:color="D9D9D9" w:themeColor="background1" w:themeShade="D9"/>
              <w:bottom w:val="single" w:sz="4" w:space="0" w:color="auto"/>
            </w:tcBorders>
            <w:shd w:val="clear" w:color="auto" w:fill="F2F2F2" w:themeFill="background1" w:themeFillShade="F2"/>
          </w:tcPr>
          <w:p w14:paraId="5834EE3D" w14:textId="77777777" w:rsidR="005F3E01" w:rsidRPr="00DA0CC2" w:rsidRDefault="005F3E01" w:rsidP="00393CE7">
            <w:pPr>
              <w:spacing w:after="60"/>
              <w:rPr>
                <w:rFonts w:asciiTheme="minorHAnsi" w:hAnsiTheme="minorHAnsi" w:cstheme="minorHAnsi"/>
                <w:sz w:val="18"/>
                <w:szCs w:val="18"/>
              </w:rPr>
            </w:pPr>
          </w:p>
        </w:tc>
        <w:tc>
          <w:tcPr>
            <w:tcW w:w="312" w:type="pct"/>
            <w:tcBorders>
              <w:top w:val="single" w:sz="4" w:space="0" w:color="D9D9D9" w:themeColor="background1" w:themeShade="D9"/>
              <w:bottom w:val="single" w:sz="4" w:space="0" w:color="auto"/>
            </w:tcBorders>
          </w:tcPr>
          <w:p w14:paraId="01A47EA5" w14:textId="30B04E31" w:rsidR="005F3E01" w:rsidRPr="00DA0CC2" w:rsidRDefault="007F5EFC" w:rsidP="00393CE7">
            <w:pPr>
              <w:spacing w:after="60"/>
              <w:rPr>
                <w:rFonts w:asciiTheme="minorHAnsi" w:hAnsiTheme="minorHAnsi" w:cstheme="minorHAnsi"/>
                <w:sz w:val="18"/>
                <w:szCs w:val="18"/>
              </w:rPr>
            </w:pPr>
            <w:r>
              <w:rPr>
                <w:rFonts w:asciiTheme="minorHAnsi" w:hAnsiTheme="minorHAnsi" w:cstheme="minorHAnsi"/>
                <w:sz w:val="18"/>
                <w:szCs w:val="18"/>
              </w:rPr>
              <w:t>40</w:t>
            </w:r>
          </w:p>
        </w:tc>
        <w:tc>
          <w:tcPr>
            <w:tcW w:w="1213" w:type="pct"/>
            <w:tcBorders>
              <w:top w:val="single" w:sz="4" w:space="0" w:color="D9D9D9" w:themeColor="background1" w:themeShade="D9"/>
              <w:bottom w:val="single" w:sz="4" w:space="0" w:color="auto"/>
              <w:right w:val="nil"/>
            </w:tcBorders>
          </w:tcPr>
          <w:p w14:paraId="1E9B234F" w14:textId="0B2D3BEF" w:rsidR="005F3E01" w:rsidRPr="00DA0CC2" w:rsidRDefault="005F3E01" w:rsidP="00393CE7">
            <w:pPr>
              <w:spacing w:after="60"/>
              <w:rPr>
                <w:rFonts w:asciiTheme="minorHAnsi" w:hAnsiTheme="minorHAnsi" w:cstheme="minorHAnsi"/>
                <w:sz w:val="18"/>
                <w:szCs w:val="18"/>
              </w:rPr>
            </w:pPr>
            <w:r w:rsidRPr="00DA0CC2">
              <w:rPr>
                <w:rFonts w:asciiTheme="minorHAnsi" w:hAnsiTheme="minorHAnsi" w:cstheme="minorHAnsi"/>
                <w:sz w:val="18"/>
                <w:szCs w:val="18"/>
              </w:rPr>
              <w:t>SMD</w:t>
            </w:r>
            <w:r w:rsidR="007F5EFC">
              <w:rPr>
                <w:rFonts w:asciiTheme="minorHAnsi" w:hAnsiTheme="minorHAnsi" w:cstheme="minorHAnsi"/>
                <w:sz w:val="18"/>
                <w:szCs w:val="18"/>
              </w:rPr>
              <w:t xml:space="preserve"> -0.57</w:t>
            </w:r>
            <w:r w:rsidRPr="00DA0CC2">
              <w:rPr>
                <w:rFonts w:asciiTheme="minorHAnsi" w:hAnsiTheme="minorHAnsi" w:cstheme="minorHAnsi"/>
                <w:sz w:val="18"/>
                <w:szCs w:val="18"/>
              </w:rPr>
              <w:t xml:space="preserve"> (</w:t>
            </w:r>
            <w:r w:rsidR="007F5EFC">
              <w:rPr>
                <w:rFonts w:asciiTheme="minorHAnsi" w:hAnsiTheme="minorHAnsi" w:cstheme="minorHAnsi"/>
                <w:sz w:val="18"/>
                <w:szCs w:val="18"/>
              </w:rPr>
              <w:t>-0.64</w:t>
            </w:r>
            <w:r>
              <w:rPr>
                <w:rFonts w:asciiTheme="minorHAnsi" w:hAnsiTheme="minorHAnsi" w:cstheme="minorHAnsi"/>
                <w:sz w:val="18"/>
                <w:szCs w:val="18"/>
              </w:rPr>
              <w:t xml:space="preserve"> </w:t>
            </w:r>
            <w:r w:rsidRPr="00DA0CC2">
              <w:rPr>
                <w:rFonts w:asciiTheme="minorHAnsi" w:hAnsiTheme="minorHAnsi" w:cstheme="minorHAnsi"/>
                <w:sz w:val="18"/>
                <w:szCs w:val="18"/>
              </w:rPr>
              <w:t>to</w:t>
            </w:r>
            <w:r w:rsidR="007F5EFC">
              <w:rPr>
                <w:rFonts w:asciiTheme="minorHAnsi" w:hAnsiTheme="minorHAnsi" w:cstheme="minorHAnsi"/>
                <w:sz w:val="18"/>
                <w:szCs w:val="18"/>
              </w:rPr>
              <w:t xml:space="preserve"> -0.50</w:t>
            </w:r>
            <w:r w:rsidRPr="00DA0CC2">
              <w:rPr>
                <w:rFonts w:asciiTheme="minorHAnsi" w:hAnsiTheme="minorHAnsi" w:cstheme="minorHAnsi"/>
                <w:sz w:val="18"/>
                <w:szCs w:val="18"/>
              </w:rPr>
              <w:t>); I2 = %</w:t>
            </w:r>
          </w:p>
        </w:tc>
      </w:tr>
    </w:tbl>
    <w:p w14:paraId="5133B535" w14:textId="4FA2A3F9" w:rsidR="005F3E01" w:rsidRPr="00DA0CC2" w:rsidRDefault="005F3E01" w:rsidP="00256791">
      <w:pPr>
        <w:spacing w:after="60"/>
        <w:rPr>
          <w:sz w:val="18"/>
          <w:szCs w:val="18"/>
        </w:rPr>
      </w:pPr>
      <w:proofErr w:type="gramStart"/>
      <w:r>
        <w:rPr>
          <w:sz w:val="22"/>
          <w:vertAlign w:val="superscript"/>
        </w:rPr>
        <w:t>1</w:t>
      </w:r>
      <w:r w:rsidRPr="00DA0CC2">
        <w:rPr>
          <w:sz w:val="18"/>
        </w:rPr>
        <w:t xml:space="preserve"> </w:t>
      </w:r>
      <w:r w:rsidRPr="00DA0CC2">
        <w:t xml:space="preserve"> </w:t>
      </w:r>
      <w:r w:rsidRPr="00DA0CC2">
        <w:rPr>
          <w:sz w:val="18"/>
        </w:rPr>
        <w:t>This</w:t>
      </w:r>
      <w:proofErr w:type="gramEnd"/>
      <w:r w:rsidRPr="00DA0CC2">
        <w:rPr>
          <w:sz w:val="18"/>
        </w:rPr>
        <w:t xml:space="preserve"> analysis was limited to trials that (a) reported </w:t>
      </w:r>
      <w:proofErr w:type="spellStart"/>
      <w:r w:rsidRPr="00DA0CC2">
        <w:rPr>
          <w:sz w:val="18"/>
        </w:rPr>
        <w:t>i</w:t>
      </w:r>
      <w:proofErr w:type="spellEnd"/>
      <w:r w:rsidRPr="00DA0CC2">
        <w:rPr>
          <w:sz w:val="18"/>
        </w:rPr>
        <w:t xml:space="preserve">) means and standard deviations, ii) means and standard errors, or iii) mean differences and their confidence intervals, </w:t>
      </w:r>
      <w:r w:rsidRPr="00DA0CC2">
        <w:rPr>
          <w:sz w:val="18"/>
          <w:szCs w:val="18"/>
        </w:rPr>
        <w:t>and (b) had post-intervention (final) values available.</w:t>
      </w:r>
    </w:p>
    <w:p w14:paraId="47BB8400" w14:textId="77777777" w:rsidR="005F3E01" w:rsidRDefault="005F3E01" w:rsidP="005F3E01">
      <w:pPr>
        <w:spacing w:after="60"/>
        <w:rPr>
          <w:sz w:val="18"/>
          <w:szCs w:val="18"/>
        </w:rPr>
      </w:pPr>
      <w:r w:rsidRPr="00DA0CC2">
        <w:rPr>
          <w:i/>
          <w:sz w:val="18"/>
          <w:szCs w:val="18"/>
        </w:rPr>
        <w:t>Abbreviations</w:t>
      </w:r>
      <w:r w:rsidRPr="00DA0CC2">
        <w:rPr>
          <w:sz w:val="18"/>
          <w:szCs w:val="18"/>
        </w:rPr>
        <w:t>. MA = meta-analysis; SMD = standardised mean difference; CI = confidence interval</w:t>
      </w:r>
    </w:p>
    <w:p w14:paraId="6E9D7236" w14:textId="77777777" w:rsidR="00A00A5E" w:rsidRPr="00DA0CC2" w:rsidRDefault="00A00A5E" w:rsidP="005F3E01">
      <w:pPr>
        <w:spacing w:after="60"/>
        <w:rPr>
          <w:sz w:val="18"/>
          <w:szCs w:val="18"/>
        </w:rPr>
      </w:pPr>
    </w:p>
    <w:p w14:paraId="3AAD132E" w14:textId="696EDB28" w:rsidR="00C25BFE" w:rsidRPr="00DA0CC2" w:rsidRDefault="00C25BFE" w:rsidP="00C25BFE">
      <w:pPr>
        <w:pStyle w:val="Heading4"/>
      </w:pPr>
      <w:r w:rsidRPr="00DA0CC2">
        <w:t>Bias due to missing results from the meta-analysis</w:t>
      </w:r>
    </w:p>
    <w:p w14:paraId="1CC597C4" w14:textId="7AF2E71D" w:rsidR="00B26717" w:rsidRPr="0099142C" w:rsidRDefault="006A2B58" w:rsidP="00C25BFE">
      <w:r>
        <w:t>T</w:t>
      </w:r>
      <w:r w:rsidR="00C25BFE" w:rsidRPr="0099142C">
        <w:t>he combined effect estimated from the fixed effect model (SMD -0.</w:t>
      </w:r>
      <w:r w:rsidR="00B26717" w:rsidRPr="0099142C">
        <w:t>57</w:t>
      </w:r>
      <w:r w:rsidR="00C25BFE" w:rsidRPr="0099142C">
        <w:t>) was smaller than from the random effects model (SMD -</w:t>
      </w:r>
      <w:r w:rsidR="00320721" w:rsidRPr="0099142C">
        <w:t>0.</w:t>
      </w:r>
      <w:r w:rsidR="00B26717" w:rsidRPr="0099142C">
        <w:t>69</w:t>
      </w:r>
      <w:r w:rsidR="00C25BFE" w:rsidRPr="0099142C">
        <w:t xml:space="preserve">) (Table </w:t>
      </w:r>
      <w:r w:rsidR="0029188C" w:rsidRPr="0099142C">
        <w:t>D</w:t>
      </w:r>
      <w:r w:rsidR="0099142C" w:rsidRPr="0099142C">
        <w:t>4</w:t>
      </w:r>
      <w:r w:rsidR="00C25BFE" w:rsidRPr="0099142C">
        <w:t xml:space="preserve">.1), </w:t>
      </w:r>
      <w:r w:rsidR="00073FEF">
        <w:t xml:space="preserve">which </w:t>
      </w:r>
      <w:r w:rsidR="00073FEF" w:rsidRPr="00E06532">
        <w:t>may suggest small study effects arising from selective non-reporting of unfavourable results</w:t>
      </w:r>
      <w:r w:rsidR="00073FEF" w:rsidRPr="0099142C">
        <w:t xml:space="preserve"> </w:t>
      </w:r>
      <w:r w:rsidR="00C25BFE" w:rsidRPr="0099142C">
        <w:t xml:space="preserve">(Table </w:t>
      </w:r>
      <w:r w:rsidR="0029188C" w:rsidRPr="0099142C">
        <w:t>D</w:t>
      </w:r>
      <w:r w:rsidR="0099142C" w:rsidRPr="0099142C">
        <w:t>4</w:t>
      </w:r>
      <w:r w:rsidR="00C25BFE" w:rsidRPr="0099142C">
        <w:t xml:space="preserve">.1). The contour-enhanced funnel plot in Figure </w:t>
      </w:r>
      <w:r w:rsidR="0029188C" w:rsidRPr="0099142C">
        <w:t>D</w:t>
      </w:r>
      <w:r w:rsidR="00320721" w:rsidRPr="0099142C">
        <w:t>5</w:t>
      </w:r>
      <w:r w:rsidR="00C25BFE" w:rsidRPr="0099142C">
        <w:t>.</w:t>
      </w:r>
      <w:r w:rsidR="0099142C">
        <w:t>1</w:t>
      </w:r>
      <w:r w:rsidR="00C25BFE" w:rsidRPr="0099142C">
        <w:t xml:space="preserve"> suggests that there could be missing studies which show effects favouring the control, </w:t>
      </w:r>
      <w:r w:rsidR="00320721" w:rsidRPr="0099142C">
        <w:t>especially</w:t>
      </w:r>
      <w:r w:rsidR="00C25BFE" w:rsidRPr="0099142C">
        <w:t xml:space="preserve"> nonsignificant effects (i.e. the plot is asymmetric, missing studies to the right of the line of no effect (SMD</w:t>
      </w:r>
      <w:r w:rsidR="009618FE" w:rsidRPr="0099142C">
        <w:t xml:space="preserve"> </w:t>
      </w:r>
      <w:r w:rsidR="00C25BFE" w:rsidRPr="0099142C">
        <w:t>0) where we would expect results for some small studies, most notably in the darker grey shaded areas where nonsignificant results appear; in addition only a minority of studies to the left of the line of no effect are non-significant).</w:t>
      </w:r>
    </w:p>
    <w:p w14:paraId="276681A9" w14:textId="77777777" w:rsidR="00B26717" w:rsidRDefault="00B26717">
      <w:pPr>
        <w:spacing w:after="0"/>
        <w:rPr>
          <w:color w:val="4472C4" w:themeColor="accent5"/>
        </w:rPr>
      </w:pPr>
      <w:r>
        <w:rPr>
          <w:color w:val="4472C4" w:themeColor="accent5"/>
        </w:rPr>
        <w:br w:type="page"/>
      </w:r>
    </w:p>
    <w:p w14:paraId="4D9EE6C6" w14:textId="77777777" w:rsidR="00C25BFE" w:rsidRPr="005F3E01" w:rsidRDefault="00C25BFE" w:rsidP="00C25BFE">
      <w:pPr>
        <w:rPr>
          <w:color w:val="4472C4" w:themeColor="accent5"/>
        </w:rPr>
      </w:pPr>
    </w:p>
    <w:p w14:paraId="635BFBB0" w14:textId="2A96556C" w:rsidR="00C25BFE" w:rsidRDefault="00C25BFE" w:rsidP="00C25BFE">
      <w:pPr>
        <w:rPr>
          <w:noProof/>
        </w:rPr>
      </w:pPr>
      <w:r w:rsidRPr="00DA0CC2">
        <w:rPr>
          <w:noProof/>
        </w:rPr>
        <w:drawing>
          <wp:inline distT="0" distB="0" distL="0" distR="0" wp14:anchorId="1899CEA8" wp14:editId="47A8E32A">
            <wp:extent cx="3641698" cy="566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a_funnel_dom_1_comp_1_contour_no_funnel.png"/>
                    <pic:cNvPicPr/>
                  </pic:nvPicPr>
                  <pic:blipFill rotWithShape="1">
                    <a:blip r:embed="rId15"/>
                    <a:srcRect t="78621"/>
                    <a:stretch/>
                  </pic:blipFill>
                  <pic:spPr bwMode="auto">
                    <a:xfrm>
                      <a:off x="0" y="0"/>
                      <a:ext cx="3757388" cy="584326"/>
                    </a:xfrm>
                    <a:prstGeom prst="rect">
                      <a:avLst/>
                    </a:prstGeom>
                    <a:ln>
                      <a:noFill/>
                    </a:ln>
                    <a:extLst>
                      <a:ext uri="{53640926-AAD7-44D8-BBD7-CCE9431645EC}">
                        <a14:shadowObscured xmlns:a14="http://schemas.microsoft.com/office/drawing/2010/main"/>
                      </a:ext>
                    </a:extLst>
                  </pic:spPr>
                </pic:pic>
              </a:graphicData>
            </a:graphic>
          </wp:inline>
        </w:drawing>
      </w:r>
    </w:p>
    <w:p w14:paraId="5AD385B3" w14:textId="6457E3B4" w:rsidR="00C25BFE" w:rsidRPr="00DA0CC2" w:rsidRDefault="00C34722" w:rsidP="00C25BFE">
      <w:r>
        <w:rPr>
          <w:noProof/>
          <w:color w:val="0070C0"/>
        </w:rPr>
        <mc:AlternateContent>
          <mc:Choice Requires="wps">
            <w:drawing>
              <wp:anchor distT="0" distB="0" distL="114300" distR="114300" simplePos="0" relativeHeight="251658243" behindDoc="0" locked="0" layoutInCell="1" allowOverlap="1" wp14:anchorId="6E4AC3E7" wp14:editId="12B94505">
                <wp:simplePos x="0" y="0"/>
                <wp:positionH relativeFrom="column">
                  <wp:posOffset>2157984</wp:posOffset>
                </wp:positionH>
                <wp:positionV relativeFrom="paragraph">
                  <wp:posOffset>376199</wp:posOffset>
                </wp:positionV>
                <wp:extent cx="2809037" cy="146304"/>
                <wp:effectExtent l="0" t="0" r="0" b="6350"/>
                <wp:wrapNone/>
                <wp:docPr id="18" name="Rectangle 18"/>
                <wp:cNvGraphicFramePr/>
                <a:graphic xmlns:a="http://schemas.openxmlformats.org/drawingml/2006/main">
                  <a:graphicData uri="http://schemas.microsoft.com/office/word/2010/wordprocessingShape">
                    <wps:wsp>
                      <wps:cNvSpPr/>
                      <wps:spPr>
                        <a:xfrm>
                          <a:off x="0" y="0"/>
                          <a:ext cx="2809037" cy="146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98866" id="Rectangle 18" o:spid="_x0000_s1026" style="position:absolute;margin-left:169.9pt;margin-top:29.6pt;width:221.2pt;height:1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" fillcolor="white [3212]" stroked="f" strokeweight="1pt"/>
            </w:pict>
          </mc:Fallback>
        </mc:AlternateContent>
      </w:r>
      <w:r w:rsidR="00FE08CB">
        <w:rPr>
          <w:b/>
          <w:bCs/>
          <w:noProof/>
        </w:rPr>
        <w:drawing>
          <wp:inline distT="0" distB="0" distL="0" distR="0" wp14:anchorId="26504CA1" wp14:editId="24CF0894">
            <wp:extent cx="6645910" cy="37846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ta_funnel_dom_3_comp_1_contour_no_funnel.png"/>
                    <pic:cNvPicPr/>
                  </pic:nvPicPr>
                  <pic:blipFill rotWithShape="1">
                    <a:blip r:embed="rId20"/>
                    <a:srcRect b="21744"/>
                    <a:stretch/>
                  </pic:blipFill>
                  <pic:spPr bwMode="auto">
                    <a:xfrm>
                      <a:off x="0" y="0"/>
                      <a:ext cx="6645910" cy="3784600"/>
                    </a:xfrm>
                    <a:prstGeom prst="rect">
                      <a:avLst/>
                    </a:prstGeom>
                    <a:ln>
                      <a:noFill/>
                    </a:ln>
                    <a:extLst>
                      <a:ext uri="{53640926-AAD7-44D8-BBD7-CCE9431645EC}">
                        <a14:shadowObscured xmlns:a14="http://schemas.microsoft.com/office/drawing/2010/main"/>
                      </a:ext>
                    </a:extLst>
                  </pic:spPr>
                </pic:pic>
              </a:graphicData>
            </a:graphic>
          </wp:inline>
        </w:drawing>
      </w:r>
      <w:r w:rsidR="00C25BFE" w:rsidRPr="00DA0CC2">
        <w:rPr>
          <w:b/>
          <w:bCs/>
        </w:rPr>
        <w:t xml:space="preserve">Fig </w:t>
      </w:r>
      <w:r w:rsidR="0029188C">
        <w:rPr>
          <w:b/>
          <w:bCs/>
        </w:rPr>
        <w:t>D</w:t>
      </w:r>
      <w:r w:rsidR="00205771">
        <w:rPr>
          <w:b/>
          <w:bCs/>
        </w:rPr>
        <w:t>4</w:t>
      </w:r>
      <w:r w:rsidR="00C25BFE" w:rsidRPr="00DA0CC2">
        <w:rPr>
          <w:b/>
          <w:bCs/>
        </w:rPr>
        <w:t>.</w:t>
      </w:r>
      <w:r w:rsidR="0099142C">
        <w:rPr>
          <w:b/>
          <w:bCs/>
        </w:rPr>
        <w:t>1</w:t>
      </w:r>
      <w:r w:rsidR="00C25BFE" w:rsidRPr="00DA0CC2">
        <w:t xml:space="preserve"> | Contour </w:t>
      </w:r>
      <w:r w:rsidR="00C25BFE" w:rsidRPr="0099142C">
        <w:t xml:space="preserve">enhanced funnel plot of estimates of SMD versus their standard errors for </w:t>
      </w:r>
      <w:r w:rsidR="0099142C" w:rsidRPr="0099142C">
        <w:t>c</w:t>
      </w:r>
      <w:r w:rsidR="00C25BFE" w:rsidRPr="0099142C">
        <w:t>omparison</w:t>
      </w:r>
      <w:r w:rsidR="0099142C" w:rsidRPr="0099142C">
        <w:t xml:space="preserve"> of</w:t>
      </w:r>
      <w:r w:rsidR="00C25BFE" w:rsidRPr="0099142C">
        <w:t xml:space="preserve"> the effect of </w:t>
      </w:r>
      <w:r w:rsidR="005F3E01" w:rsidRPr="0099142C">
        <w:t>reflexology</w:t>
      </w:r>
      <w:r w:rsidR="00C25BFE" w:rsidRPr="0099142C">
        <w:t xml:space="preserve"> versus inactive c</w:t>
      </w:r>
      <w:r w:rsidR="00C25BFE" w:rsidRPr="00DA0CC2">
        <w:t xml:space="preserve">ontrol (usual care, no intervention, placebo) on </w:t>
      </w:r>
      <w:r w:rsidR="00320721" w:rsidRPr="00DA0CC2">
        <w:t>emotional functioning and mental health</w:t>
      </w:r>
      <w:r w:rsidR="00C25BFE" w:rsidRPr="00DA0CC2">
        <w:t>. Shaded regions represent different categories of conventional milestone levels of statistical significance. SMD</w:t>
      </w:r>
      <w:r w:rsidR="009618FE" w:rsidRPr="00DA0CC2">
        <w:t xml:space="preserve"> </w:t>
      </w:r>
      <w:r w:rsidR="00C25BFE" w:rsidRPr="00DA0CC2">
        <w:t>=</w:t>
      </w:r>
      <w:r w:rsidR="009618FE" w:rsidRPr="00DA0CC2">
        <w:t xml:space="preserve"> </w:t>
      </w:r>
      <w:r w:rsidR="00C25BFE" w:rsidRPr="00DA0CC2">
        <w:t xml:space="preserve">standardised mean difference. Blue line shows the combined estimate from random effects model. </w:t>
      </w:r>
      <w:r w:rsidR="00C25BFE" w:rsidRPr="00DA0CC2">
        <w:br/>
      </w:r>
    </w:p>
    <w:p w14:paraId="7E723101" w14:textId="6FE8AEDE" w:rsidR="004342B9" w:rsidRPr="00DA0CC2" w:rsidRDefault="0029188C" w:rsidP="004342B9">
      <w:pPr>
        <w:pStyle w:val="Heading2"/>
      </w:pPr>
      <w:bookmarkStart w:id="10" w:name="_Toc171044315"/>
      <w:r>
        <w:t>D</w:t>
      </w:r>
      <w:r w:rsidR="005F3E01">
        <w:t>5</w:t>
      </w:r>
      <w:r w:rsidR="004342B9" w:rsidRPr="00DA0CC2">
        <w:t xml:space="preserve"> Health-related quality of life (HR</w:t>
      </w:r>
      <w:r w:rsidR="0091652B" w:rsidRPr="00DA0CC2">
        <w:t>-</w:t>
      </w:r>
      <w:r w:rsidR="004342B9" w:rsidRPr="00DA0CC2">
        <w:t>QoL)</w:t>
      </w:r>
      <w:bookmarkEnd w:id="10"/>
    </w:p>
    <w:p w14:paraId="07890FB6" w14:textId="77777777" w:rsidR="00691D57" w:rsidRPr="00DA0CC2" w:rsidRDefault="00691D57" w:rsidP="00691D57">
      <w:r w:rsidRPr="00DA0CC2">
        <w:t>Results presented in this section are for the subgroup analys</w:t>
      </w:r>
      <w:r>
        <w:t>i</w:t>
      </w:r>
      <w:r w:rsidRPr="00DA0CC2">
        <w:t>s</w:t>
      </w:r>
      <w:r>
        <w:t>,</w:t>
      </w:r>
      <w:r w:rsidRPr="00DA0CC2">
        <w:t xml:space="preserve"> sensitivity analys</w:t>
      </w:r>
      <w:r>
        <w:t>i</w:t>
      </w:r>
      <w:r w:rsidRPr="00DA0CC2">
        <w:t xml:space="preserve">s, and analyses to examine the risk </w:t>
      </w:r>
      <w:r>
        <w:t xml:space="preserve">of </w:t>
      </w:r>
      <w:r w:rsidRPr="00DA0CC2">
        <w:t xml:space="preserve">bias due to missing results.  </w:t>
      </w:r>
    </w:p>
    <w:p w14:paraId="302C78CF" w14:textId="36FC3607" w:rsidR="00691D57" w:rsidRPr="00DA0CC2" w:rsidRDefault="00691D57" w:rsidP="00691D57">
      <w:r w:rsidRPr="002C11F2">
        <w:t xml:space="preserve">For the outcome </w:t>
      </w:r>
      <w:r w:rsidR="002C11F2" w:rsidRPr="002C11F2">
        <w:t>health-related quality of life</w:t>
      </w:r>
      <w:r w:rsidRPr="002C11F2">
        <w:t xml:space="preserve">, </w:t>
      </w:r>
      <w:r w:rsidR="002C11F2" w:rsidRPr="002C11F2">
        <w:t>20</w:t>
      </w:r>
      <w:r w:rsidRPr="002C11F2">
        <w:t xml:space="preserve"> studies were included in the meta-analysis that compared reflexology to an inactive control (usual care, no intervention, sham, co-intervention given in both groups).</w:t>
      </w:r>
    </w:p>
    <w:p w14:paraId="35235FD0" w14:textId="77777777" w:rsidR="00691D57" w:rsidRPr="00DA0CC2" w:rsidRDefault="00691D57" w:rsidP="00691D57">
      <w:pPr>
        <w:pStyle w:val="Heading4"/>
      </w:pPr>
      <w:r w:rsidRPr="00DA0CC2">
        <w:t>Results of subgroup analys</w:t>
      </w:r>
      <w:r>
        <w:t>i</w:t>
      </w:r>
      <w:r w:rsidRPr="00DA0CC2">
        <w:t>s</w:t>
      </w:r>
      <w:r>
        <w:t xml:space="preserve"> by population group</w:t>
      </w:r>
    </w:p>
    <w:p w14:paraId="291F7466" w14:textId="1C3F9B25" w:rsidR="00691D57" w:rsidRPr="00DA0CC2" w:rsidRDefault="00691D57" w:rsidP="00691D57">
      <w:r>
        <w:t>A</w:t>
      </w:r>
      <w:r w:rsidRPr="00DA0CC2">
        <w:t xml:space="preserve"> subgroup analys</w:t>
      </w:r>
      <w:r>
        <w:t>i</w:t>
      </w:r>
      <w:r w:rsidRPr="00DA0CC2">
        <w:t>s w</w:t>
      </w:r>
      <w:r>
        <w:t>as</w:t>
      </w:r>
      <w:r w:rsidRPr="00DA0CC2">
        <w:t xml:space="preserve"> performed to investigate whether </w:t>
      </w:r>
      <w:r>
        <w:t xml:space="preserve">there were differences in the effects between population groups (i.e. </w:t>
      </w:r>
      <w:r w:rsidR="002C11F2" w:rsidRPr="002C11F2">
        <w:t>cancer and advanced disease, other chronic conditions</w:t>
      </w:r>
      <w:r w:rsidRPr="002C11F2">
        <w:t>). Primarily</w:t>
      </w:r>
      <w:r>
        <w:t>, these were planned to explore possible</w:t>
      </w:r>
      <w:r w:rsidRPr="00DA0CC2">
        <w:t xml:space="preserve"> explanation</w:t>
      </w:r>
      <w:r>
        <w:t>s</w:t>
      </w:r>
      <w:r w:rsidRPr="00DA0CC2">
        <w:t xml:space="preserve"> for </w:t>
      </w:r>
      <w:r>
        <w:t>any</w:t>
      </w:r>
      <w:r w:rsidRPr="00DA0CC2">
        <w:t xml:space="preserve"> inconsistent effects </w:t>
      </w:r>
      <w:r>
        <w:t>if</w:t>
      </w:r>
      <w:r w:rsidRPr="00DA0CC2">
        <w:t xml:space="preserve"> observed across studies (statistical heterogeneity). </w:t>
      </w:r>
    </w:p>
    <w:p w14:paraId="6AF272D9" w14:textId="4F17A7C2" w:rsidR="00152F23" w:rsidRPr="00B76ED3" w:rsidRDefault="00691D57" w:rsidP="00152F23">
      <w:r w:rsidRPr="00DC7650">
        <w:rPr>
          <w:i/>
        </w:rPr>
        <w:t>Assessment of heterogeneity:</w:t>
      </w:r>
      <w:r w:rsidRPr="00DC7650">
        <w:t xml:space="preserve"> </w:t>
      </w:r>
      <w:r w:rsidR="00152F23" w:rsidRPr="00B76ED3">
        <w:t xml:space="preserve">There are differences in the size of the estimated intervention effect across studies for this comparison and outcome that suggest inconsistent effects. </w:t>
      </w:r>
      <w:r w:rsidR="00152F23">
        <w:t>E</w:t>
      </w:r>
      <w:r w:rsidR="00152F23" w:rsidRPr="00B76ED3">
        <w:t xml:space="preserve">ffect </w:t>
      </w:r>
      <w:proofErr w:type="gramStart"/>
      <w:r w:rsidR="00152F23" w:rsidRPr="00B76ED3">
        <w:t>estimate</w:t>
      </w:r>
      <w:proofErr w:type="gramEnd"/>
      <w:r w:rsidR="00152F23" w:rsidRPr="00B76ED3">
        <w:t xml:space="preserve"> </w:t>
      </w:r>
      <w:r w:rsidR="00152F23">
        <w:t>vary importantly with about half the</w:t>
      </w:r>
      <w:r w:rsidR="00152F23" w:rsidRPr="00B76ED3">
        <w:t xml:space="preserve"> studies </w:t>
      </w:r>
      <w:r w:rsidR="00152F23">
        <w:t xml:space="preserve">showing an effect </w:t>
      </w:r>
      <w:r w:rsidR="00152F23" w:rsidRPr="00B76ED3">
        <w:t xml:space="preserve">above the threshold for an important improvement in </w:t>
      </w:r>
      <w:r w:rsidR="00152F23">
        <w:t>health-related quality of life</w:t>
      </w:r>
      <w:r w:rsidR="00152F23" w:rsidRPr="00B76ED3">
        <w:t xml:space="preserve"> (i.e. an SMD </w:t>
      </w:r>
      <w:r w:rsidR="00152F23">
        <w:t>&gt;</w:t>
      </w:r>
      <w:r w:rsidR="00152F23" w:rsidRPr="00B76ED3">
        <w:t xml:space="preserve"> 0.2), </w:t>
      </w:r>
      <w:r w:rsidR="00152F23">
        <w:t>while the other</w:t>
      </w:r>
      <w:r w:rsidR="00152F23" w:rsidRPr="00B76ED3">
        <w:t xml:space="preserve"> studies in the analysis showed trivial effects (an SMD between -0.2 and 0.2). As such, the observed inconsistency is considered serious for the overall analysis and requires explanation to understand the factors that may influence whether reflexology has a beneficial or trivial effect. </w:t>
      </w:r>
    </w:p>
    <w:p w14:paraId="722CD58E" w14:textId="4BA8A721" w:rsidR="00152F23" w:rsidRPr="00F65DCF" w:rsidRDefault="00152F23" w:rsidP="00152F23">
      <w:pPr>
        <w:rPr>
          <w:b/>
          <w:bCs/>
          <w:i/>
          <w:iCs/>
        </w:rPr>
      </w:pPr>
      <w:r w:rsidRPr="00B76ED3">
        <w:t>The subgroup analyses did not explain the observed differences across studies in the direction or size of the observed effect (see Figure 4.</w:t>
      </w:r>
      <w:r w:rsidR="00CC7FB0">
        <w:t>6</w:t>
      </w:r>
      <w:r w:rsidRPr="00B76ED3">
        <w:t xml:space="preserve">.1). </w:t>
      </w:r>
      <w:r w:rsidRPr="00DA0CC2">
        <w:t xml:space="preserve">Results for this analysis are </w:t>
      </w:r>
      <w:r w:rsidRPr="00B26717">
        <w:t>presented in the main report (Section 4.</w:t>
      </w:r>
      <w:r w:rsidR="00CC7FB0">
        <w:t>6</w:t>
      </w:r>
      <w:r w:rsidRPr="00B26717">
        <w:t>, Figure 4.</w:t>
      </w:r>
      <w:r w:rsidR="00CC7FB0">
        <w:t>6</w:t>
      </w:r>
      <w:r w:rsidRPr="00B26717">
        <w:t>.1). The test</w:t>
      </w:r>
      <w:r w:rsidRPr="00B76ED3">
        <w:t xml:space="preserve"> for subgroup differences was not statistically significant (P = 0.</w:t>
      </w:r>
      <w:r w:rsidR="00CC7FB0">
        <w:t>95</w:t>
      </w:r>
      <w:r w:rsidRPr="00B76ED3">
        <w:t xml:space="preserve">) </w:t>
      </w:r>
      <w:r w:rsidRPr="00F65DCF">
        <w:t xml:space="preserve">and there was </w:t>
      </w:r>
      <w:r w:rsidR="00CC7FB0">
        <w:t xml:space="preserve">serious </w:t>
      </w:r>
      <w:r w:rsidRPr="00F65DCF">
        <w:t xml:space="preserve">inconsistency in the effects </w:t>
      </w:r>
      <w:r w:rsidRPr="00F65DCF">
        <w:lastRenderedPageBreak/>
        <w:t xml:space="preserve">observed across studies within </w:t>
      </w:r>
      <w:proofErr w:type="gramStart"/>
      <w:r>
        <w:t xml:space="preserve">the </w:t>
      </w:r>
      <w:r w:rsidR="00CC7FB0">
        <w:t>both</w:t>
      </w:r>
      <w:proofErr w:type="gramEnd"/>
      <w:r>
        <w:t xml:space="preserve"> </w:t>
      </w:r>
      <w:r w:rsidRPr="00F65DCF">
        <w:t>population groups</w:t>
      </w:r>
      <w:r>
        <w:t>, which we considered serious for one group (cancer and advanced disease)</w:t>
      </w:r>
      <w:r w:rsidRPr="00F65DCF">
        <w:t>. Overall, there is evidence that the effects are inconsistent across population groups (some showing important benefit, others showing trivial effects).</w:t>
      </w:r>
    </w:p>
    <w:p w14:paraId="16A8B77A" w14:textId="77777777" w:rsidR="00691D57" w:rsidRPr="00DA0CC2" w:rsidRDefault="00691D57" w:rsidP="00691D57">
      <w:pPr>
        <w:pStyle w:val="Heading4"/>
      </w:pPr>
      <w:r w:rsidRPr="00DA0CC2">
        <w:t>Results of sensitivity analyses</w:t>
      </w:r>
    </w:p>
    <w:p w14:paraId="61937C44" w14:textId="3F4DC6C4" w:rsidR="00691D57" w:rsidRPr="00073FEF" w:rsidRDefault="00691D57" w:rsidP="00691D57">
      <w:r w:rsidRPr="00073FEF">
        <w:rPr>
          <w:b/>
        </w:rPr>
        <w:t>Table D</w:t>
      </w:r>
      <w:r w:rsidR="00205771" w:rsidRPr="00073FEF">
        <w:rPr>
          <w:b/>
        </w:rPr>
        <w:t>5</w:t>
      </w:r>
      <w:r w:rsidRPr="00073FEF">
        <w:rPr>
          <w:b/>
        </w:rPr>
        <w:t>.1</w:t>
      </w:r>
      <w:r w:rsidRPr="00073FEF">
        <w:t xml:space="preserve"> presents results for the original analysis (all studies, random effects model) and two sensitivity analyses. These sensitivity analyses investigate: </w:t>
      </w:r>
    </w:p>
    <w:p w14:paraId="72131856" w14:textId="77777777" w:rsidR="00691D57" w:rsidRPr="00073FEF" w:rsidRDefault="00691D57" w:rsidP="003B421A">
      <w:pPr>
        <w:pStyle w:val="ListParagraph"/>
        <w:numPr>
          <w:ilvl w:val="0"/>
          <w:numId w:val="57"/>
        </w:numPr>
      </w:pPr>
      <w:r w:rsidRPr="00073FEF">
        <w:t>whether the combined estimate is sensitive to the assumptions that were made to enable inclusion of results in the meta-analysis, specifically transforming or imputing statistics, and including change scores (change from baseline) when post-intervention (final) values (and their standard deviations) were unavailable; and</w:t>
      </w:r>
    </w:p>
    <w:p w14:paraId="6199A110" w14:textId="61E788EC" w:rsidR="00691D57" w:rsidRPr="00073FEF" w:rsidRDefault="00691D57" w:rsidP="003B421A">
      <w:pPr>
        <w:pStyle w:val="ListParagraph"/>
        <w:numPr>
          <w:ilvl w:val="0"/>
          <w:numId w:val="57"/>
        </w:numPr>
      </w:pPr>
      <w:r w:rsidRPr="00073FEF">
        <w:t>whether the combined effect differs when estimated from a fixed effect model, providing evidence of small study effects (which may be due to true differences in the effects in small studies or may suggest non-reporting bias).</w:t>
      </w:r>
    </w:p>
    <w:p w14:paraId="5DC4CC89" w14:textId="77777777" w:rsidR="00691D57" w:rsidRPr="00073FEF" w:rsidRDefault="00691D57" w:rsidP="00691D57"/>
    <w:p w14:paraId="5AB41384" w14:textId="63167652" w:rsidR="00324A8A" w:rsidRPr="00073FEF" w:rsidRDefault="00324A8A" w:rsidP="00324A8A">
      <w:r w:rsidRPr="00073FEF">
        <w:t xml:space="preserve">The combined estimate of effect was similar in the original analysis and the sensitivity analyses removing studies for which transforming </w:t>
      </w:r>
      <w:r w:rsidR="0041637B" w:rsidRPr="00073FEF">
        <w:t>/</w:t>
      </w:r>
      <w:r w:rsidRPr="00073FEF">
        <w:t xml:space="preserve"> imputing statistics</w:t>
      </w:r>
      <w:r w:rsidR="0041637B" w:rsidRPr="00073FEF">
        <w:t xml:space="preserve"> or using change scores</w:t>
      </w:r>
      <w:r w:rsidRPr="00073FEF">
        <w:t xml:space="preserve"> was necessary. This indicates that the result was robust to the assumptions required to include these results. </w:t>
      </w:r>
    </w:p>
    <w:p w14:paraId="2E9A26EF" w14:textId="77777777" w:rsidR="00E56D3C" w:rsidRPr="00073FEF" w:rsidRDefault="00E56D3C" w:rsidP="00E56D3C">
      <w:pPr>
        <w:rPr>
          <w:b/>
        </w:rPr>
      </w:pPr>
    </w:p>
    <w:p w14:paraId="6AD457EB" w14:textId="1955A8EF" w:rsidR="00E56D3C" w:rsidRPr="00DA0CC2" w:rsidRDefault="00E56D3C" w:rsidP="00E56D3C">
      <w:pPr>
        <w:rPr>
          <w:b/>
          <w:color w:val="000000" w:themeColor="text1"/>
        </w:rPr>
      </w:pPr>
      <w:r w:rsidRPr="00073FEF">
        <w:rPr>
          <w:b/>
          <w:color w:val="000000" w:themeColor="text1"/>
        </w:rPr>
        <w:t>Table D</w:t>
      </w:r>
      <w:r w:rsidR="00205771" w:rsidRPr="00073FEF">
        <w:rPr>
          <w:b/>
          <w:color w:val="000000" w:themeColor="text1"/>
        </w:rPr>
        <w:t>5</w:t>
      </w:r>
      <w:r w:rsidRPr="00073FEF">
        <w:rPr>
          <w:b/>
          <w:color w:val="000000" w:themeColor="text1"/>
        </w:rPr>
        <w:t>.1. Sensitivity analyses</w:t>
      </w:r>
      <w:r w:rsidRPr="00DA0CC2">
        <w:rPr>
          <w:b/>
          <w:color w:val="000000" w:themeColor="text1"/>
        </w:rPr>
        <w:t xml:space="preserve"> for </w:t>
      </w:r>
      <w:r w:rsidR="00DB11B5">
        <w:rPr>
          <w:b/>
          <w:color w:val="000000" w:themeColor="text1"/>
        </w:rPr>
        <w:t>HR-QoL</w:t>
      </w:r>
      <w:r w:rsidRPr="00DA0CC2">
        <w:rPr>
          <w:b/>
          <w:color w:val="000000" w:themeColor="text1"/>
        </w:rPr>
        <w:t xml:space="preserve"> outcome</w:t>
      </w:r>
    </w:p>
    <w:tbl>
      <w:tblPr>
        <w:tblStyle w:val="TableGrid"/>
        <w:tblW w:w="5000" w:type="pct"/>
        <w:tblLook w:val="04A0" w:firstRow="1" w:lastRow="0" w:firstColumn="1" w:lastColumn="0" w:noHBand="0" w:noVBand="1"/>
      </w:tblPr>
      <w:tblGrid>
        <w:gridCol w:w="1730"/>
        <w:gridCol w:w="2732"/>
        <w:gridCol w:w="653"/>
        <w:gridCol w:w="2155"/>
        <w:gridCol w:w="653"/>
        <w:gridCol w:w="2538"/>
      </w:tblGrid>
      <w:tr w:rsidR="00E56D3C" w:rsidRPr="00DA0CC2" w14:paraId="6ADF743A" w14:textId="77777777" w:rsidTr="00393CE7">
        <w:tc>
          <w:tcPr>
            <w:tcW w:w="827" w:type="pct"/>
            <w:tcBorders>
              <w:top w:val="single" w:sz="4" w:space="0" w:color="auto"/>
              <w:bottom w:val="single" w:sz="4" w:space="0" w:color="auto"/>
            </w:tcBorders>
          </w:tcPr>
          <w:p w14:paraId="6F3DBBF1" w14:textId="77777777" w:rsidR="00E56D3C" w:rsidRPr="00DA0CC2" w:rsidRDefault="00E56D3C"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w:t>
            </w:r>
          </w:p>
        </w:tc>
        <w:tc>
          <w:tcPr>
            <w:tcW w:w="1306" w:type="pct"/>
            <w:tcBorders>
              <w:top w:val="single" w:sz="4" w:space="0" w:color="auto"/>
              <w:bottom w:val="single" w:sz="4" w:space="0" w:color="auto"/>
              <w:right w:val="single" w:sz="4" w:space="0" w:color="auto"/>
            </w:tcBorders>
          </w:tcPr>
          <w:p w14:paraId="2E600A35" w14:textId="77777777" w:rsidR="00E56D3C" w:rsidRPr="00DA0CC2" w:rsidRDefault="00E56D3C"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Purpose of sensitivity analysis</w:t>
            </w:r>
          </w:p>
        </w:tc>
        <w:tc>
          <w:tcPr>
            <w:tcW w:w="312" w:type="pct"/>
            <w:tcBorders>
              <w:top w:val="single" w:sz="4" w:space="0" w:color="auto"/>
              <w:left w:val="single" w:sz="4" w:space="0" w:color="auto"/>
              <w:bottom w:val="single" w:sz="4" w:space="0" w:color="auto"/>
            </w:tcBorders>
          </w:tcPr>
          <w:p w14:paraId="35745E42" w14:textId="77777777" w:rsidR="00E56D3C" w:rsidRPr="00DA0CC2" w:rsidRDefault="00E56D3C"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030" w:type="pct"/>
            <w:tcBorders>
              <w:top w:val="single" w:sz="4" w:space="0" w:color="auto"/>
              <w:left w:val="nil"/>
              <w:bottom w:val="single" w:sz="4" w:space="0" w:color="auto"/>
              <w:right w:val="single" w:sz="4" w:space="0" w:color="auto"/>
            </w:tcBorders>
          </w:tcPr>
          <w:p w14:paraId="4C50DCFF" w14:textId="77777777" w:rsidR="00E56D3C" w:rsidRPr="00DA0CC2" w:rsidRDefault="00E56D3C"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Original effect (95% CI)</w:t>
            </w:r>
          </w:p>
        </w:tc>
        <w:tc>
          <w:tcPr>
            <w:tcW w:w="312" w:type="pct"/>
            <w:tcBorders>
              <w:top w:val="single" w:sz="4" w:space="0" w:color="auto"/>
              <w:left w:val="single" w:sz="4" w:space="0" w:color="auto"/>
              <w:bottom w:val="single" w:sz="4" w:space="0" w:color="auto"/>
            </w:tcBorders>
          </w:tcPr>
          <w:p w14:paraId="553B065E" w14:textId="77777777" w:rsidR="00E56D3C" w:rsidRPr="00DA0CC2" w:rsidRDefault="00E56D3C"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213" w:type="pct"/>
            <w:tcBorders>
              <w:top w:val="single" w:sz="4" w:space="0" w:color="auto"/>
              <w:left w:val="nil"/>
              <w:bottom w:val="single" w:sz="4" w:space="0" w:color="auto"/>
              <w:right w:val="nil"/>
            </w:tcBorders>
          </w:tcPr>
          <w:p w14:paraId="547014EC" w14:textId="77777777" w:rsidR="00E56D3C" w:rsidRPr="00DA0CC2" w:rsidRDefault="00E56D3C"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 effect</w:t>
            </w:r>
          </w:p>
        </w:tc>
      </w:tr>
      <w:tr w:rsidR="00E56D3C" w:rsidRPr="00DA0CC2" w14:paraId="2FF2A377" w14:textId="77777777" w:rsidTr="00393CE7">
        <w:tc>
          <w:tcPr>
            <w:tcW w:w="827" w:type="pct"/>
            <w:tcBorders>
              <w:top w:val="single" w:sz="4" w:space="0" w:color="D9D9D9" w:themeColor="background1" w:themeShade="D9"/>
              <w:bottom w:val="single" w:sz="4" w:space="0" w:color="D9D9D9" w:themeColor="background1" w:themeShade="D9"/>
            </w:tcBorders>
          </w:tcPr>
          <w:p w14:paraId="197AD4C0" w14:textId="1A3C2F09" w:rsidR="00E56D3C" w:rsidRPr="00DA0CC2" w:rsidRDefault="00756ABE"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 xml:space="preserve">No imputation, transformations or change scores </w:t>
            </w:r>
            <w:r w:rsidR="0041637B">
              <w:rPr>
                <w:rFonts w:asciiTheme="minorHAnsi" w:hAnsiTheme="minorHAnsi" w:cstheme="minorHAnsi"/>
                <w:color w:val="000000" w:themeColor="text1"/>
                <w:sz w:val="18"/>
                <w:szCs w:val="18"/>
                <w:vertAlign w:val="superscript"/>
              </w:rPr>
              <w:t>1</w:t>
            </w:r>
            <w:r w:rsidR="00E56D3C" w:rsidRPr="00DA0CC2">
              <w:rPr>
                <w:rFonts w:asciiTheme="minorHAnsi" w:hAnsiTheme="minorHAnsi" w:cstheme="minorHAnsi"/>
                <w:color w:val="000000" w:themeColor="text1"/>
                <w:sz w:val="18"/>
                <w:szCs w:val="18"/>
              </w:rPr>
              <w:t xml:space="preserve"> </w:t>
            </w:r>
          </w:p>
        </w:tc>
        <w:tc>
          <w:tcPr>
            <w:tcW w:w="1306" w:type="pct"/>
            <w:tcBorders>
              <w:top w:val="single" w:sz="4" w:space="0" w:color="D9D9D9" w:themeColor="background1" w:themeShade="D9"/>
              <w:bottom w:val="single" w:sz="4" w:space="0" w:color="D9D9D9" w:themeColor="background1" w:themeShade="D9"/>
            </w:tcBorders>
          </w:tcPr>
          <w:p w14:paraId="18409102" w14:textId="77777777" w:rsidR="00E56D3C" w:rsidRPr="00DA0CC2" w:rsidRDefault="00E56D3C"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312" w:type="pct"/>
            <w:tcBorders>
              <w:top w:val="single" w:sz="4" w:space="0" w:color="D9D9D9" w:themeColor="background1" w:themeShade="D9"/>
              <w:bottom w:val="single" w:sz="4" w:space="0" w:color="D9D9D9" w:themeColor="background1" w:themeShade="D9"/>
            </w:tcBorders>
          </w:tcPr>
          <w:p w14:paraId="0007C99B" w14:textId="2E7F820D" w:rsidR="00E56D3C" w:rsidRPr="00DA0CC2" w:rsidRDefault="008C09E4" w:rsidP="00393CE7">
            <w:pPr>
              <w:spacing w:after="60"/>
              <w:rPr>
                <w:rFonts w:asciiTheme="minorHAnsi" w:hAnsiTheme="minorHAnsi" w:cstheme="minorHAnsi"/>
                <w:sz w:val="18"/>
                <w:szCs w:val="18"/>
              </w:rPr>
            </w:pPr>
            <w:r>
              <w:rPr>
                <w:rFonts w:asciiTheme="minorHAnsi" w:hAnsiTheme="minorHAnsi" w:cstheme="minorHAnsi"/>
                <w:sz w:val="18"/>
                <w:szCs w:val="18"/>
              </w:rPr>
              <w:t>20</w:t>
            </w:r>
          </w:p>
        </w:tc>
        <w:tc>
          <w:tcPr>
            <w:tcW w:w="1030" w:type="pct"/>
            <w:tcBorders>
              <w:top w:val="single" w:sz="4" w:space="0" w:color="D9D9D9" w:themeColor="background1" w:themeShade="D9"/>
              <w:bottom w:val="single" w:sz="4" w:space="0" w:color="D9D9D9" w:themeColor="background1" w:themeShade="D9"/>
            </w:tcBorders>
          </w:tcPr>
          <w:p w14:paraId="45CDE48C" w14:textId="4D666B5C" w:rsidR="00E56D3C" w:rsidRPr="00DA0CC2" w:rsidRDefault="00E56D3C"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8C09E4">
              <w:rPr>
                <w:rFonts w:asciiTheme="minorHAnsi" w:hAnsiTheme="minorHAnsi" w:cstheme="minorHAnsi"/>
                <w:sz w:val="18"/>
                <w:szCs w:val="18"/>
              </w:rPr>
              <w:t xml:space="preserve">0.53 </w:t>
            </w:r>
            <w:r w:rsidRPr="00DA0CC2">
              <w:rPr>
                <w:rFonts w:asciiTheme="minorHAnsi" w:hAnsiTheme="minorHAnsi" w:cstheme="minorHAnsi"/>
                <w:sz w:val="18"/>
                <w:szCs w:val="18"/>
              </w:rPr>
              <w:t>(</w:t>
            </w:r>
            <w:r w:rsidR="008C09E4">
              <w:rPr>
                <w:rFonts w:asciiTheme="minorHAnsi" w:hAnsiTheme="minorHAnsi" w:cstheme="minorHAnsi"/>
                <w:sz w:val="18"/>
                <w:szCs w:val="18"/>
              </w:rPr>
              <w:t xml:space="preserve">0.19 </w:t>
            </w:r>
            <w:r w:rsidRPr="00DA0CC2">
              <w:rPr>
                <w:rFonts w:asciiTheme="minorHAnsi" w:hAnsiTheme="minorHAnsi" w:cstheme="minorHAnsi"/>
                <w:sz w:val="18"/>
                <w:szCs w:val="18"/>
              </w:rPr>
              <w:t xml:space="preserve">to </w:t>
            </w:r>
            <w:r w:rsidRPr="00DA0CC2">
              <w:rPr>
                <w:rFonts w:asciiTheme="minorHAnsi" w:hAnsiTheme="minorHAnsi" w:cstheme="minorHAnsi"/>
                <w:sz w:val="18"/>
                <w:szCs w:val="18"/>
              </w:rPr>
              <w:br/>
            </w:r>
            <w:r w:rsidR="008C09E4">
              <w:rPr>
                <w:rFonts w:asciiTheme="minorHAnsi" w:hAnsiTheme="minorHAnsi" w:cstheme="minorHAnsi"/>
                <w:sz w:val="18"/>
                <w:szCs w:val="18"/>
              </w:rPr>
              <w:t>0.86</w:t>
            </w:r>
            <w:r w:rsidRPr="00DA0CC2">
              <w:rPr>
                <w:rFonts w:asciiTheme="minorHAnsi" w:hAnsiTheme="minorHAnsi" w:cstheme="minorHAnsi"/>
                <w:sz w:val="18"/>
                <w:szCs w:val="18"/>
              </w:rPr>
              <w:t xml:space="preserve">); I2 = </w:t>
            </w:r>
            <w:r w:rsidR="008C09E4">
              <w:rPr>
                <w:rFonts w:asciiTheme="minorHAnsi" w:hAnsiTheme="minorHAnsi" w:cstheme="minorHAnsi"/>
                <w:sz w:val="18"/>
                <w:szCs w:val="18"/>
              </w:rPr>
              <w:t>88</w:t>
            </w:r>
            <w:r w:rsidRPr="00DA0CC2">
              <w:rPr>
                <w:rFonts w:asciiTheme="minorHAnsi" w:hAnsiTheme="minorHAnsi" w:cstheme="minorHAnsi"/>
                <w:sz w:val="18"/>
                <w:szCs w:val="18"/>
              </w:rPr>
              <w:t>%</w:t>
            </w:r>
          </w:p>
        </w:tc>
        <w:tc>
          <w:tcPr>
            <w:tcW w:w="312" w:type="pct"/>
            <w:tcBorders>
              <w:top w:val="single" w:sz="4" w:space="0" w:color="D9D9D9" w:themeColor="background1" w:themeShade="D9"/>
              <w:bottom w:val="single" w:sz="4" w:space="0" w:color="D9D9D9" w:themeColor="background1" w:themeShade="D9"/>
            </w:tcBorders>
          </w:tcPr>
          <w:p w14:paraId="06C5B345" w14:textId="1EE93B51" w:rsidR="00E56D3C" w:rsidRPr="00DA0CC2" w:rsidRDefault="008C09E4" w:rsidP="00393CE7">
            <w:pPr>
              <w:spacing w:after="60"/>
              <w:rPr>
                <w:rFonts w:asciiTheme="minorHAnsi" w:hAnsiTheme="minorHAnsi" w:cstheme="minorHAnsi"/>
                <w:sz w:val="18"/>
                <w:szCs w:val="18"/>
              </w:rPr>
            </w:pPr>
            <w:r>
              <w:rPr>
                <w:rFonts w:asciiTheme="minorHAnsi" w:hAnsiTheme="minorHAnsi" w:cstheme="minorHAnsi"/>
                <w:sz w:val="18"/>
                <w:szCs w:val="18"/>
              </w:rPr>
              <w:t>15</w:t>
            </w:r>
          </w:p>
        </w:tc>
        <w:tc>
          <w:tcPr>
            <w:tcW w:w="1213" w:type="pct"/>
            <w:tcBorders>
              <w:top w:val="single" w:sz="4" w:space="0" w:color="auto"/>
              <w:bottom w:val="single" w:sz="4" w:space="0" w:color="D9D9D9" w:themeColor="background1" w:themeShade="D9"/>
              <w:right w:val="nil"/>
            </w:tcBorders>
          </w:tcPr>
          <w:p w14:paraId="697B0819" w14:textId="56A5B772" w:rsidR="00E56D3C" w:rsidRPr="00DA0CC2" w:rsidRDefault="00E56D3C"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8C09E4">
              <w:rPr>
                <w:rFonts w:asciiTheme="minorHAnsi" w:hAnsiTheme="minorHAnsi" w:cstheme="minorHAnsi"/>
                <w:sz w:val="18"/>
                <w:szCs w:val="18"/>
              </w:rPr>
              <w:t>0.58</w:t>
            </w:r>
            <w:r w:rsidRPr="00DA0CC2">
              <w:rPr>
                <w:rFonts w:asciiTheme="minorHAnsi" w:hAnsiTheme="minorHAnsi" w:cstheme="minorHAnsi"/>
                <w:sz w:val="18"/>
                <w:szCs w:val="18"/>
              </w:rPr>
              <w:t xml:space="preserve"> (</w:t>
            </w:r>
            <w:r w:rsidR="008C09E4">
              <w:rPr>
                <w:rFonts w:asciiTheme="minorHAnsi" w:hAnsiTheme="minorHAnsi" w:cstheme="minorHAnsi"/>
                <w:sz w:val="18"/>
                <w:szCs w:val="18"/>
              </w:rPr>
              <w:t xml:space="preserve">0.16 </w:t>
            </w:r>
            <w:r w:rsidRPr="00DA0CC2">
              <w:rPr>
                <w:rFonts w:asciiTheme="minorHAnsi" w:hAnsiTheme="minorHAnsi" w:cstheme="minorHAnsi"/>
                <w:sz w:val="18"/>
                <w:szCs w:val="18"/>
              </w:rPr>
              <w:t>to</w:t>
            </w:r>
            <w:r w:rsidR="008C09E4">
              <w:rPr>
                <w:rFonts w:asciiTheme="minorHAnsi" w:hAnsiTheme="minorHAnsi" w:cstheme="minorHAnsi"/>
                <w:sz w:val="18"/>
                <w:szCs w:val="18"/>
              </w:rPr>
              <w:t xml:space="preserve"> 1.01</w:t>
            </w:r>
            <w:r w:rsidRPr="00DA0CC2">
              <w:rPr>
                <w:rFonts w:asciiTheme="minorHAnsi" w:hAnsiTheme="minorHAnsi" w:cstheme="minorHAnsi"/>
                <w:sz w:val="18"/>
                <w:szCs w:val="18"/>
              </w:rPr>
              <w:t xml:space="preserve">); I2 = </w:t>
            </w:r>
            <w:r w:rsidR="008C09E4">
              <w:rPr>
                <w:rFonts w:asciiTheme="minorHAnsi" w:hAnsiTheme="minorHAnsi" w:cstheme="minorHAnsi"/>
                <w:sz w:val="18"/>
                <w:szCs w:val="18"/>
              </w:rPr>
              <w:t>90</w:t>
            </w:r>
            <w:r w:rsidRPr="00DA0CC2">
              <w:rPr>
                <w:rFonts w:asciiTheme="minorHAnsi" w:hAnsiTheme="minorHAnsi" w:cstheme="minorHAnsi"/>
                <w:sz w:val="18"/>
                <w:szCs w:val="18"/>
              </w:rPr>
              <w:t>%</w:t>
            </w:r>
          </w:p>
        </w:tc>
      </w:tr>
      <w:tr w:rsidR="00E56D3C" w:rsidRPr="00DA0CC2" w14:paraId="0ED7300C" w14:textId="77777777" w:rsidTr="00393CE7">
        <w:tc>
          <w:tcPr>
            <w:tcW w:w="827" w:type="pct"/>
            <w:tcBorders>
              <w:top w:val="single" w:sz="4" w:space="0" w:color="D9D9D9" w:themeColor="background1" w:themeShade="D9"/>
              <w:bottom w:val="single" w:sz="4" w:space="0" w:color="auto"/>
            </w:tcBorders>
          </w:tcPr>
          <w:p w14:paraId="65F13389" w14:textId="77777777" w:rsidR="00E56D3C" w:rsidRPr="00DA0CC2" w:rsidRDefault="00E56D3C"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Fixed effect analysis</w:t>
            </w:r>
          </w:p>
        </w:tc>
        <w:tc>
          <w:tcPr>
            <w:tcW w:w="1306" w:type="pct"/>
            <w:tcBorders>
              <w:top w:val="single" w:sz="4" w:space="0" w:color="D9D9D9" w:themeColor="background1" w:themeShade="D9"/>
              <w:bottom w:val="single" w:sz="4" w:space="0" w:color="auto"/>
            </w:tcBorders>
          </w:tcPr>
          <w:p w14:paraId="7152EF46" w14:textId="77777777" w:rsidR="00E56D3C" w:rsidRPr="00DA0CC2" w:rsidRDefault="00E56D3C"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small study effects (bias due to missing results)</w:t>
            </w:r>
          </w:p>
        </w:tc>
        <w:tc>
          <w:tcPr>
            <w:tcW w:w="312" w:type="pct"/>
            <w:tcBorders>
              <w:top w:val="single" w:sz="4" w:space="0" w:color="D9D9D9" w:themeColor="background1" w:themeShade="D9"/>
              <w:bottom w:val="single" w:sz="4" w:space="0" w:color="auto"/>
            </w:tcBorders>
            <w:shd w:val="clear" w:color="auto" w:fill="F2F2F2" w:themeFill="background1" w:themeFillShade="F2"/>
          </w:tcPr>
          <w:p w14:paraId="15B24ED6" w14:textId="77777777" w:rsidR="00E56D3C" w:rsidRPr="00DA0CC2" w:rsidRDefault="00E56D3C" w:rsidP="00393CE7">
            <w:pPr>
              <w:spacing w:after="60"/>
              <w:rPr>
                <w:rFonts w:asciiTheme="minorHAnsi" w:hAnsiTheme="minorHAnsi" w:cstheme="minorHAnsi"/>
                <w:sz w:val="18"/>
                <w:szCs w:val="18"/>
              </w:rPr>
            </w:pPr>
          </w:p>
        </w:tc>
        <w:tc>
          <w:tcPr>
            <w:tcW w:w="1030" w:type="pct"/>
            <w:tcBorders>
              <w:top w:val="single" w:sz="4" w:space="0" w:color="D9D9D9" w:themeColor="background1" w:themeShade="D9"/>
              <w:bottom w:val="single" w:sz="4" w:space="0" w:color="auto"/>
            </w:tcBorders>
            <w:shd w:val="clear" w:color="auto" w:fill="F2F2F2" w:themeFill="background1" w:themeFillShade="F2"/>
          </w:tcPr>
          <w:p w14:paraId="74872BB3" w14:textId="77777777" w:rsidR="00E56D3C" w:rsidRPr="00DA0CC2" w:rsidRDefault="00E56D3C" w:rsidP="00393CE7">
            <w:pPr>
              <w:spacing w:after="60"/>
              <w:rPr>
                <w:rFonts w:asciiTheme="minorHAnsi" w:hAnsiTheme="minorHAnsi" w:cstheme="minorHAnsi"/>
                <w:sz w:val="18"/>
                <w:szCs w:val="18"/>
              </w:rPr>
            </w:pPr>
          </w:p>
        </w:tc>
        <w:tc>
          <w:tcPr>
            <w:tcW w:w="312" w:type="pct"/>
            <w:tcBorders>
              <w:top w:val="single" w:sz="4" w:space="0" w:color="D9D9D9" w:themeColor="background1" w:themeShade="D9"/>
              <w:bottom w:val="single" w:sz="4" w:space="0" w:color="auto"/>
            </w:tcBorders>
          </w:tcPr>
          <w:p w14:paraId="00A46891" w14:textId="1B4B6FF8" w:rsidR="00E56D3C" w:rsidRPr="00DA0CC2" w:rsidRDefault="00AA62B4" w:rsidP="00393CE7">
            <w:pPr>
              <w:spacing w:after="60"/>
              <w:rPr>
                <w:rFonts w:asciiTheme="minorHAnsi" w:hAnsiTheme="minorHAnsi" w:cstheme="minorHAnsi"/>
                <w:sz w:val="18"/>
                <w:szCs w:val="18"/>
              </w:rPr>
            </w:pPr>
            <w:r>
              <w:rPr>
                <w:rFonts w:asciiTheme="minorHAnsi" w:hAnsiTheme="minorHAnsi" w:cstheme="minorHAnsi"/>
                <w:sz w:val="18"/>
                <w:szCs w:val="18"/>
              </w:rPr>
              <w:t>20</w:t>
            </w:r>
          </w:p>
        </w:tc>
        <w:tc>
          <w:tcPr>
            <w:tcW w:w="1213" w:type="pct"/>
            <w:tcBorders>
              <w:top w:val="single" w:sz="4" w:space="0" w:color="D9D9D9" w:themeColor="background1" w:themeShade="D9"/>
              <w:bottom w:val="single" w:sz="4" w:space="0" w:color="auto"/>
              <w:right w:val="nil"/>
            </w:tcBorders>
          </w:tcPr>
          <w:p w14:paraId="3E4C43F0" w14:textId="0F8141F5" w:rsidR="00E56D3C" w:rsidRPr="00DA0CC2" w:rsidRDefault="00E56D3C"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AA62B4">
              <w:rPr>
                <w:rFonts w:asciiTheme="minorHAnsi" w:hAnsiTheme="minorHAnsi" w:cstheme="minorHAnsi"/>
                <w:sz w:val="18"/>
                <w:szCs w:val="18"/>
              </w:rPr>
              <w:t xml:space="preserve">0.33 </w:t>
            </w:r>
            <w:r w:rsidRPr="00DA0CC2">
              <w:rPr>
                <w:rFonts w:asciiTheme="minorHAnsi" w:hAnsiTheme="minorHAnsi" w:cstheme="minorHAnsi"/>
                <w:sz w:val="18"/>
                <w:szCs w:val="18"/>
              </w:rPr>
              <w:t>(</w:t>
            </w:r>
            <w:r w:rsidR="00AA62B4">
              <w:rPr>
                <w:rFonts w:asciiTheme="minorHAnsi" w:hAnsiTheme="minorHAnsi" w:cstheme="minorHAnsi"/>
                <w:sz w:val="18"/>
                <w:szCs w:val="18"/>
              </w:rPr>
              <w:t>0.23</w:t>
            </w:r>
            <w:r>
              <w:rPr>
                <w:rFonts w:asciiTheme="minorHAnsi" w:hAnsiTheme="minorHAnsi" w:cstheme="minorHAnsi"/>
                <w:sz w:val="18"/>
                <w:szCs w:val="18"/>
              </w:rPr>
              <w:t xml:space="preserve"> </w:t>
            </w:r>
            <w:r w:rsidRPr="00DA0CC2">
              <w:rPr>
                <w:rFonts w:asciiTheme="minorHAnsi" w:hAnsiTheme="minorHAnsi" w:cstheme="minorHAnsi"/>
                <w:sz w:val="18"/>
                <w:szCs w:val="18"/>
              </w:rPr>
              <w:t>to</w:t>
            </w:r>
            <w:r w:rsidR="00AA62B4">
              <w:rPr>
                <w:rFonts w:asciiTheme="minorHAnsi" w:hAnsiTheme="minorHAnsi" w:cstheme="minorHAnsi"/>
                <w:sz w:val="18"/>
                <w:szCs w:val="18"/>
              </w:rPr>
              <w:t xml:space="preserve"> 0.44</w:t>
            </w:r>
            <w:r w:rsidRPr="00DA0CC2">
              <w:rPr>
                <w:rFonts w:asciiTheme="minorHAnsi" w:hAnsiTheme="minorHAnsi" w:cstheme="minorHAnsi"/>
                <w:sz w:val="18"/>
                <w:szCs w:val="18"/>
              </w:rPr>
              <w:t xml:space="preserve">); I2 = </w:t>
            </w:r>
            <w:r w:rsidR="00AA62B4">
              <w:rPr>
                <w:rFonts w:asciiTheme="minorHAnsi" w:hAnsiTheme="minorHAnsi" w:cstheme="minorHAnsi"/>
                <w:sz w:val="18"/>
                <w:szCs w:val="18"/>
              </w:rPr>
              <w:t>84</w:t>
            </w:r>
            <w:r w:rsidRPr="00DA0CC2">
              <w:rPr>
                <w:rFonts w:asciiTheme="minorHAnsi" w:hAnsiTheme="minorHAnsi" w:cstheme="minorHAnsi"/>
                <w:sz w:val="18"/>
                <w:szCs w:val="18"/>
              </w:rPr>
              <w:t>%</w:t>
            </w:r>
          </w:p>
        </w:tc>
      </w:tr>
    </w:tbl>
    <w:p w14:paraId="6EAF33E2" w14:textId="08FE462B" w:rsidR="00E56D3C" w:rsidRPr="0041637B" w:rsidRDefault="00E56D3C" w:rsidP="00E56D3C">
      <w:pPr>
        <w:spacing w:after="60"/>
        <w:rPr>
          <w:sz w:val="18"/>
        </w:rPr>
      </w:pPr>
      <w:r>
        <w:rPr>
          <w:sz w:val="22"/>
          <w:vertAlign w:val="superscript"/>
        </w:rPr>
        <w:t>1</w:t>
      </w:r>
      <w:r w:rsidRPr="00DA0CC2">
        <w:rPr>
          <w:sz w:val="18"/>
        </w:rPr>
        <w:t xml:space="preserve"> This analysis was limited to trials that (a) reported </w:t>
      </w:r>
      <w:proofErr w:type="spellStart"/>
      <w:r w:rsidRPr="00DA0CC2">
        <w:rPr>
          <w:sz w:val="18"/>
        </w:rPr>
        <w:t>i</w:t>
      </w:r>
      <w:proofErr w:type="spellEnd"/>
      <w:r w:rsidRPr="00DA0CC2">
        <w:rPr>
          <w:sz w:val="18"/>
        </w:rPr>
        <w:t xml:space="preserve">) means and standard deviations, ii) means and standard errors, or iii) mean differences and their confidence intervals, </w:t>
      </w:r>
      <w:r w:rsidRPr="00DA0CC2">
        <w:rPr>
          <w:sz w:val="18"/>
          <w:szCs w:val="18"/>
        </w:rPr>
        <w:t>and (b) had post-intervention (final) values available.</w:t>
      </w:r>
    </w:p>
    <w:p w14:paraId="52664AC7" w14:textId="77777777" w:rsidR="00E56D3C" w:rsidRDefault="00E56D3C" w:rsidP="00E56D3C">
      <w:pPr>
        <w:spacing w:after="60"/>
        <w:rPr>
          <w:sz w:val="18"/>
          <w:szCs w:val="18"/>
        </w:rPr>
      </w:pPr>
      <w:r w:rsidRPr="00DA0CC2">
        <w:rPr>
          <w:i/>
          <w:sz w:val="18"/>
          <w:szCs w:val="18"/>
        </w:rPr>
        <w:t>Abbreviations</w:t>
      </w:r>
      <w:r w:rsidRPr="00DA0CC2">
        <w:rPr>
          <w:sz w:val="18"/>
          <w:szCs w:val="18"/>
        </w:rPr>
        <w:t>. MA = meta-analysis; SMD = standardised mean difference; CI = confidence interval</w:t>
      </w:r>
    </w:p>
    <w:p w14:paraId="13130D5B" w14:textId="77777777" w:rsidR="00A00A5E" w:rsidRPr="00DA0CC2" w:rsidRDefault="00A00A5E" w:rsidP="00E56D3C">
      <w:pPr>
        <w:spacing w:after="60"/>
        <w:rPr>
          <w:sz w:val="18"/>
          <w:szCs w:val="18"/>
        </w:rPr>
      </w:pPr>
    </w:p>
    <w:p w14:paraId="7C4A4C01" w14:textId="4B863FE4" w:rsidR="00324A8A" w:rsidRPr="00DA0CC2" w:rsidRDefault="00324A8A" w:rsidP="00324A8A">
      <w:pPr>
        <w:pStyle w:val="Heading4"/>
      </w:pPr>
      <w:r w:rsidRPr="00DA0CC2">
        <w:t>Bias due to missing results from the meta-analysis</w:t>
      </w:r>
    </w:p>
    <w:p w14:paraId="4952B261" w14:textId="3963DFDC" w:rsidR="006A2B58" w:rsidRDefault="006A2B58" w:rsidP="00324A8A">
      <w:r w:rsidRPr="006A2B58">
        <w:t>T</w:t>
      </w:r>
      <w:r w:rsidR="00324A8A" w:rsidRPr="006A2B58">
        <w:t>he combined effect estimated from the fixed effect model (SMD 0.</w:t>
      </w:r>
      <w:r w:rsidR="007F5A3B" w:rsidRPr="006A2B58">
        <w:t>3</w:t>
      </w:r>
      <w:r w:rsidRPr="006A2B58">
        <w:t>3</w:t>
      </w:r>
      <w:r w:rsidR="00324A8A" w:rsidRPr="006A2B58">
        <w:t>) was smaller than from the random effects model (SMD 0.</w:t>
      </w:r>
      <w:r w:rsidR="007F5A3B" w:rsidRPr="006A2B58">
        <w:t>5</w:t>
      </w:r>
      <w:r w:rsidRPr="006A2B58">
        <w:t>3</w:t>
      </w:r>
      <w:r w:rsidR="00324A8A" w:rsidRPr="006A2B58">
        <w:t xml:space="preserve">) (Table </w:t>
      </w:r>
      <w:r w:rsidR="0029188C" w:rsidRPr="006A2B58">
        <w:t>D</w:t>
      </w:r>
      <w:r w:rsidRPr="006A2B58">
        <w:t>5</w:t>
      </w:r>
      <w:r w:rsidR="00324A8A" w:rsidRPr="006A2B58">
        <w:t xml:space="preserve">.1), </w:t>
      </w:r>
      <w:r w:rsidR="00073FEF">
        <w:t xml:space="preserve">which </w:t>
      </w:r>
      <w:r w:rsidR="00073FEF" w:rsidRPr="00E06532">
        <w:t>may suggest small study effects arising from selective non-reporting of unfavourable results</w:t>
      </w:r>
      <w:r w:rsidR="00324A8A" w:rsidRPr="006A2B58">
        <w:t xml:space="preserve">. The contour-enhanced funnel plot in Figure </w:t>
      </w:r>
      <w:r w:rsidR="0029188C" w:rsidRPr="006A2B58">
        <w:t>D</w:t>
      </w:r>
      <w:r w:rsidRPr="006A2B58">
        <w:t>5</w:t>
      </w:r>
      <w:r w:rsidR="00324A8A" w:rsidRPr="006A2B58">
        <w:t>.</w:t>
      </w:r>
      <w:r w:rsidRPr="006A2B58">
        <w:t>1</w:t>
      </w:r>
      <w:r w:rsidR="00324A8A" w:rsidRPr="006A2B58">
        <w:t xml:space="preserve"> suggests that there could be missing studies which show effects favouring the control, </w:t>
      </w:r>
      <w:r w:rsidR="000A4818" w:rsidRPr="006A2B58">
        <w:t>especially</w:t>
      </w:r>
      <w:r w:rsidR="00324A8A" w:rsidRPr="006A2B58">
        <w:t xml:space="preserve"> nonsignificant effects (i.e. the plot is asymmetric, missing studies to the </w:t>
      </w:r>
      <w:r w:rsidR="0040496D" w:rsidRPr="006A2B58">
        <w:t>left</w:t>
      </w:r>
      <w:r w:rsidR="00324A8A" w:rsidRPr="006A2B58">
        <w:t xml:space="preserve"> of the line of no effect (SMD</w:t>
      </w:r>
      <w:r w:rsidR="009618FE" w:rsidRPr="006A2B58">
        <w:t xml:space="preserve"> </w:t>
      </w:r>
      <w:r w:rsidR="00324A8A" w:rsidRPr="006A2B58">
        <w:t>0) where we would expect results for some small studies, most notably in the darker grey shaded areas where nonsignificant results appear).</w:t>
      </w:r>
      <w:r w:rsidR="000A4818" w:rsidRPr="006A2B58">
        <w:t xml:space="preserve"> </w:t>
      </w:r>
    </w:p>
    <w:p w14:paraId="16FC3953" w14:textId="77777777" w:rsidR="006A2B58" w:rsidRDefault="006A2B58">
      <w:pPr>
        <w:spacing w:after="0"/>
      </w:pPr>
      <w:r>
        <w:br w:type="page"/>
      </w:r>
    </w:p>
    <w:p w14:paraId="41051444" w14:textId="77777777" w:rsidR="00324A8A" w:rsidRPr="006A2B58" w:rsidRDefault="00324A8A" w:rsidP="00324A8A"/>
    <w:p w14:paraId="0492225C" w14:textId="1322D1ED" w:rsidR="00324A8A" w:rsidRDefault="00324A8A" w:rsidP="00324A8A">
      <w:pPr>
        <w:rPr>
          <w:noProof/>
        </w:rPr>
      </w:pPr>
      <w:r w:rsidRPr="00DA0CC2">
        <w:rPr>
          <w:noProof/>
        </w:rPr>
        <w:drawing>
          <wp:inline distT="0" distB="0" distL="0" distR="0" wp14:anchorId="08EA685B" wp14:editId="5B85F6F8">
            <wp:extent cx="3856382" cy="4449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17"/>
                    <a:srcRect t="79670" b="4467"/>
                    <a:stretch/>
                  </pic:blipFill>
                  <pic:spPr bwMode="auto">
                    <a:xfrm>
                      <a:off x="0" y="0"/>
                      <a:ext cx="3978554" cy="459069"/>
                    </a:xfrm>
                    <a:prstGeom prst="rect">
                      <a:avLst/>
                    </a:prstGeom>
                    <a:ln>
                      <a:noFill/>
                    </a:ln>
                    <a:extLst>
                      <a:ext uri="{53640926-AAD7-44D8-BBD7-CCE9431645EC}">
                        <a14:shadowObscured xmlns:a14="http://schemas.microsoft.com/office/drawing/2010/main"/>
                      </a:ext>
                    </a:extLst>
                  </pic:spPr>
                </pic:pic>
              </a:graphicData>
            </a:graphic>
          </wp:inline>
        </w:drawing>
      </w:r>
    </w:p>
    <w:p w14:paraId="753CE535" w14:textId="39DC23C0" w:rsidR="00324A8A" w:rsidRPr="00DA0CC2" w:rsidRDefault="00C34722" w:rsidP="00324A8A">
      <w:pPr>
        <w:rPr>
          <w:rFonts w:eastAsia="MS Mincho"/>
          <w:b/>
          <w:bCs/>
        </w:rPr>
      </w:pPr>
      <w:r>
        <w:rPr>
          <w:noProof/>
          <w:color w:val="0070C0"/>
        </w:rPr>
        <mc:AlternateContent>
          <mc:Choice Requires="wps">
            <w:drawing>
              <wp:anchor distT="0" distB="0" distL="114300" distR="114300" simplePos="0" relativeHeight="251658244" behindDoc="0" locked="0" layoutInCell="1" allowOverlap="1" wp14:anchorId="6C773415" wp14:editId="0587FB7E">
                <wp:simplePos x="0" y="0"/>
                <wp:positionH relativeFrom="column">
                  <wp:posOffset>2143353</wp:posOffset>
                </wp:positionH>
                <wp:positionV relativeFrom="paragraph">
                  <wp:posOffset>349580</wp:posOffset>
                </wp:positionV>
                <wp:extent cx="2809037" cy="146304"/>
                <wp:effectExtent l="0" t="0" r="0" b="6350"/>
                <wp:wrapNone/>
                <wp:docPr id="19" name="Rectangle 19"/>
                <wp:cNvGraphicFramePr/>
                <a:graphic xmlns:a="http://schemas.openxmlformats.org/drawingml/2006/main">
                  <a:graphicData uri="http://schemas.microsoft.com/office/word/2010/wordprocessingShape">
                    <wps:wsp>
                      <wps:cNvSpPr/>
                      <wps:spPr>
                        <a:xfrm>
                          <a:off x="0" y="0"/>
                          <a:ext cx="2809037" cy="146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99799" id="Rectangle 19" o:spid="_x0000_s1026" style="position:absolute;margin-left:168.75pt;margin-top:27.55pt;width:221.2pt;height:1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" fillcolor="white [3212]" stroked="f" strokeweight="1pt"/>
            </w:pict>
          </mc:Fallback>
        </mc:AlternateContent>
      </w:r>
      <w:r w:rsidR="00FC098E">
        <w:rPr>
          <w:b/>
          <w:bCs/>
          <w:noProof/>
        </w:rPr>
        <w:drawing>
          <wp:inline distT="0" distB="0" distL="0" distR="0" wp14:anchorId="230B084F" wp14:editId="3BA879BB">
            <wp:extent cx="6645910" cy="37528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a_funnel_dom_6_comp_1_contour_no_funnel.png"/>
                    <pic:cNvPicPr/>
                  </pic:nvPicPr>
                  <pic:blipFill rotWithShape="1">
                    <a:blip r:embed="rId21"/>
                    <a:srcRect b="22400"/>
                    <a:stretch/>
                  </pic:blipFill>
                  <pic:spPr bwMode="auto">
                    <a:xfrm>
                      <a:off x="0" y="0"/>
                      <a:ext cx="6645910" cy="3752850"/>
                    </a:xfrm>
                    <a:prstGeom prst="rect">
                      <a:avLst/>
                    </a:prstGeom>
                    <a:ln>
                      <a:noFill/>
                    </a:ln>
                    <a:extLst>
                      <a:ext uri="{53640926-AAD7-44D8-BBD7-CCE9431645EC}">
                        <a14:shadowObscured xmlns:a14="http://schemas.microsoft.com/office/drawing/2010/main"/>
                      </a:ext>
                    </a:extLst>
                  </pic:spPr>
                </pic:pic>
              </a:graphicData>
            </a:graphic>
          </wp:inline>
        </w:drawing>
      </w:r>
      <w:r w:rsidR="00324A8A" w:rsidRPr="00DA0CC2">
        <w:rPr>
          <w:b/>
          <w:bCs/>
        </w:rPr>
        <w:t xml:space="preserve">Fig </w:t>
      </w:r>
      <w:r w:rsidR="0029188C">
        <w:rPr>
          <w:b/>
          <w:bCs/>
        </w:rPr>
        <w:t>D</w:t>
      </w:r>
      <w:r w:rsidR="00205771">
        <w:rPr>
          <w:b/>
          <w:bCs/>
        </w:rPr>
        <w:t>5</w:t>
      </w:r>
      <w:r w:rsidR="00324A8A" w:rsidRPr="00DA0CC2">
        <w:rPr>
          <w:b/>
          <w:bCs/>
        </w:rPr>
        <w:t>.</w:t>
      </w:r>
      <w:r w:rsidR="006A2B58">
        <w:rPr>
          <w:b/>
          <w:bCs/>
        </w:rPr>
        <w:t>1</w:t>
      </w:r>
      <w:r w:rsidR="00324A8A" w:rsidRPr="00DA0CC2">
        <w:t xml:space="preserve"> | Contour enhanced </w:t>
      </w:r>
      <w:r w:rsidR="00324A8A" w:rsidRPr="006A2B58">
        <w:t xml:space="preserve">funnel plot of estimates of SMD versus their standard errors for </w:t>
      </w:r>
      <w:r w:rsidR="006A2B58" w:rsidRPr="006A2B58">
        <w:t>c</w:t>
      </w:r>
      <w:r w:rsidR="00324A8A" w:rsidRPr="006A2B58">
        <w:t>omparison</w:t>
      </w:r>
      <w:r w:rsidR="006A2B58" w:rsidRPr="006A2B58">
        <w:t xml:space="preserve"> of</w:t>
      </w:r>
      <w:r w:rsidR="00324A8A" w:rsidRPr="006A2B58">
        <w:t xml:space="preserve"> the effect of </w:t>
      </w:r>
      <w:r w:rsidR="0092054D" w:rsidRPr="006A2B58">
        <w:t>reflexology</w:t>
      </w:r>
      <w:r w:rsidR="00324A8A" w:rsidRPr="006A2B58">
        <w:t xml:space="preserve"> versus inactive control (usual care, no intervention, placebo) on </w:t>
      </w:r>
      <w:r w:rsidR="000A4818" w:rsidRPr="006A2B58">
        <w:t>HR-QoL</w:t>
      </w:r>
      <w:r w:rsidR="00324A8A" w:rsidRPr="006A2B58">
        <w:t>. Shaded regions represent different categories of conventional milestone levels of statistical significance. SMD</w:t>
      </w:r>
      <w:r w:rsidR="009618FE" w:rsidRPr="006A2B58">
        <w:t xml:space="preserve"> </w:t>
      </w:r>
      <w:r w:rsidR="00324A8A" w:rsidRPr="006A2B58">
        <w:t>=</w:t>
      </w:r>
      <w:r w:rsidR="009618FE" w:rsidRPr="006A2B58">
        <w:t xml:space="preserve"> </w:t>
      </w:r>
      <w:r w:rsidR="00324A8A" w:rsidRPr="006A2B58">
        <w:t>standardised</w:t>
      </w:r>
      <w:r w:rsidR="00324A8A" w:rsidRPr="00DA0CC2">
        <w:t xml:space="preserve"> mean difference. Blue line shows the combined estimate from random effects model. </w:t>
      </w:r>
      <w:r w:rsidR="00324A8A" w:rsidRPr="00DA0CC2">
        <w:rPr>
          <w:rFonts w:eastAsia="MS Mincho"/>
          <w:b/>
          <w:bCs/>
        </w:rPr>
        <w:br/>
      </w:r>
    </w:p>
    <w:p w14:paraId="3BFB8F87" w14:textId="2711DF2D" w:rsidR="004342B9" w:rsidRPr="00DA0CC2" w:rsidRDefault="0029188C" w:rsidP="004342B9">
      <w:pPr>
        <w:pStyle w:val="Heading2"/>
      </w:pPr>
      <w:bookmarkStart w:id="11" w:name="_Toc171044316"/>
      <w:r>
        <w:t>D</w:t>
      </w:r>
      <w:r w:rsidR="00423483">
        <w:t>6</w:t>
      </w:r>
      <w:r w:rsidR="004342B9" w:rsidRPr="00DA0CC2">
        <w:t xml:space="preserve"> Physical function</w:t>
      </w:r>
      <w:bookmarkEnd w:id="2"/>
      <w:bookmarkEnd w:id="11"/>
    </w:p>
    <w:p w14:paraId="0A7CA7D2" w14:textId="77777777" w:rsidR="00691D57" w:rsidRPr="00DA0CC2" w:rsidRDefault="00691D57" w:rsidP="00691D57">
      <w:r w:rsidRPr="00DA0CC2">
        <w:t>Results presented in this section are for the subgroup analys</w:t>
      </w:r>
      <w:r>
        <w:t>i</w:t>
      </w:r>
      <w:r w:rsidRPr="00DA0CC2">
        <w:t>s</w:t>
      </w:r>
      <w:r>
        <w:t>,</w:t>
      </w:r>
      <w:r w:rsidRPr="00DA0CC2">
        <w:t xml:space="preserve"> sensitivity analys</w:t>
      </w:r>
      <w:r>
        <w:t>i</w:t>
      </w:r>
      <w:r w:rsidRPr="00DA0CC2">
        <w:t xml:space="preserve">s, and analyses to examine the risk </w:t>
      </w:r>
      <w:r>
        <w:t xml:space="preserve">of </w:t>
      </w:r>
      <w:r w:rsidRPr="00DA0CC2">
        <w:t xml:space="preserve">bias due to missing results.  </w:t>
      </w:r>
    </w:p>
    <w:p w14:paraId="6B3ECDD9" w14:textId="752C660E" w:rsidR="00691D57" w:rsidRPr="00DA0CC2" w:rsidRDefault="00691D57" w:rsidP="00691D57">
      <w:r w:rsidRPr="00F0239F">
        <w:t xml:space="preserve">For the outcome </w:t>
      </w:r>
      <w:r w:rsidR="00F0239F" w:rsidRPr="00F0239F">
        <w:t>physical function</w:t>
      </w:r>
      <w:r w:rsidRPr="00F0239F">
        <w:t>, 1</w:t>
      </w:r>
      <w:r w:rsidR="00F0239F" w:rsidRPr="00F0239F">
        <w:t>0</w:t>
      </w:r>
      <w:r w:rsidRPr="00F0239F">
        <w:t xml:space="preserve"> studies were included in the meta-analysis that compared reflexology to an inactive control (usual care, no intervention, sham, co-intervention given in both groups).</w:t>
      </w:r>
    </w:p>
    <w:p w14:paraId="636BDE43" w14:textId="77777777" w:rsidR="00691D57" w:rsidRPr="00DA0CC2" w:rsidRDefault="00691D57" w:rsidP="00691D57">
      <w:pPr>
        <w:pStyle w:val="Heading4"/>
      </w:pPr>
      <w:r w:rsidRPr="00DA0CC2">
        <w:t>Results of subgroup analys</w:t>
      </w:r>
      <w:r>
        <w:t>i</w:t>
      </w:r>
      <w:r w:rsidRPr="00DA0CC2">
        <w:t>s</w:t>
      </w:r>
      <w:r>
        <w:t xml:space="preserve"> by population group</w:t>
      </w:r>
    </w:p>
    <w:p w14:paraId="3C3AA7DA" w14:textId="4CA1E115" w:rsidR="00691D57" w:rsidRPr="00DA0CC2" w:rsidRDefault="00691D57" w:rsidP="00691D57">
      <w:r>
        <w:t>A</w:t>
      </w:r>
      <w:r w:rsidRPr="00DA0CC2">
        <w:t xml:space="preserve"> subgroup analys</w:t>
      </w:r>
      <w:r>
        <w:t>i</w:t>
      </w:r>
      <w:r w:rsidRPr="00DA0CC2">
        <w:t>s w</w:t>
      </w:r>
      <w:r>
        <w:t>as</w:t>
      </w:r>
      <w:r w:rsidRPr="00DA0CC2">
        <w:t xml:space="preserve"> performed to investigate whether </w:t>
      </w:r>
      <w:r>
        <w:t>there were differences in the effects between population groups (i.e</w:t>
      </w:r>
      <w:r w:rsidRPr="00F0239F">
        <w:t xml:space="preserve">. </w:t>
      </w:r>
      <w:r w:rsidR="00F0239F" w:rsidRPr="00F0239F">
        <w:t>cancer and advanced disease, chronic musculoskeletal conditions, other chronic conditions</w:t>
      </w:r>
      <w:r>
        <w:t>). Primarily, these were planned to explore possible</w:t>
      </w:r>
      <w:r w:rsidRPr="00DA0CC2">
        <w:t xml:space="preserve"> explanation</w:t>
      </w:r>
      <w:r>
        <w:t>s</w:t>
      </w:r>
      <w:r w:rsidRPr="00DA0CC2">
        <w:t xml:space="preserve"> for </w:t>
      </w:r>
      <w:r>
        <w:t>any</w:t>
      </w:r>
      <w:r w:rsidRPr="00DA0CC2">
        <w:t xml:space="preserve"> inconsistent effects </w:t>
      </w:r>
      <w:r>
        <w:t>if</w:t>
      </w:r>
      <w:r w:rsidRPr="00DA0CC2">
        <w:t xml:space="preserve"> observed across studies (statistical heterogeneity). </w:t>
      </w:r>
    </w:p>
    <w:p w14:paraId="3146252C" w14:textId="11C0266B" w:rsidR="00691D57" w:rsidRPr="00F0239F" w:rsidRDefault="00691D57" w:rsidP="00691D57">
      <w:r w:rsidRPr="00DC7650">
        <w:rPr>
          <w:i/>
        </w:rPr>
        <w:t>Assessment of heterogeneity</w:t>
      </w:r>
      <w:r w:rsidRPr="00F0239F">
        <w:rPr>
          <w:i/>
        </w:rPr>
        <w:t>:</w:t>
      </w:r>
      <w:r w:rsidRPr="00F0239F">
        <w:t xml:space="preserve"> While there are differences in the size of the estimated intervention effect across studies for this comparison and outcome, the </w:t>
      </w:r>
      <w:r w:rsidR="00F0239F" w:rsidRPr="00F0239F">
        <w:t xml:space="preserve">confidence intervals for </w:t>
      </w:r>
      <w:proofErr w:type="gramStart"/>
      <w:r w:rsidR="00F0239F" w:rsidRPr="00F0239F">
        <w:t>the majority of</w:t>
      </w:r>
      <w:proofErr w:type="gramEnd"/>
      <w:r w:rsidR="00F0239F" w:rsidRPr="00F0239F">
        <w:t xml:space="preserve"> studies were overlapping suggesting that effects across studies were compatible</w:t>
      </w:r>
      <w:r w:rsidRPr="00F0239F">
        <w:t xml:space="preserve">. As such, the observed inconsistency is considered </w:t>
      </w:r>
      <w:r w:rsidR="00F0239F">
        <w:t>not serious</w:t>
      </w:r>
      <w:r w:rsidRPr="00F0239F">
        <w:t xml:space="preserve"> as it does not alter the interpretation of findings for this outcome</w:t>
      </w:r>
      <w:r w:rsidR="00F0239F">
        <w:t xml:space="preserve"> (the confidence interval for most studies indicated results compatible with benefit and little to no difference/harm)</w:t>
      </w:r>
      <w:r w:rsidRPr="00F0239F">
        <w:t xml:space="preserve">. </w:t>
      </w:r>
    </w:p>
    <w:p w14:paraId="6B0CCDB1" w14:textId="4A341A25" w:rsidR="00691D57" w:rsidRPr="001E1050" w:rsidRDefault="00691D57" w:rsidP="00691D57">
      <w:pPr>
        <w:rPr>
          <w:b/>
          <w:bCs/>
          <w:i/>
          <w:iCs/>
        </w:rPr>
      </w:pPr>
      <w:r w:rsidRPr="001E1050">
        <w:t xml:space="preserve">The subgroup analyses did not explain any observed differences across studies in the direction or size of the observed effect. Results for this analysis are presented in the main </w:t>
      </w:r>
      <w:r w:rsidRPr="00DB171D">
        <w:t>report (Section 4.</w:t>
      </w:r>
      <w:r w:rsidR="00F0239F" w:rsidRPr="00DB171D">
        <w:t>7</w:t>
      </w:r>
      <w:r w:rsidRPr="00DB171D">
        <w:t>, Figure 4.</w:t>
      </w:r>
      <w:r w:rsidR="00F0239F" w:rsidRPr="00DB171D">
        <w:t>7</w:t>
      </w:r>
      <w:r w:rsidRPr="00DB171D">
        <w:t>.1). The test for</w:t>
      </w:r>
      <w:r w:rsidRPr="001E1050">
        <w:t xml:space="preserve"> subgroup differences was not statistically significant (P = 0.</w:t>
      </w:r>
      <w:r w:rsidR="00F0239F" w:rsidRPr="001E1050">
        <w:t>68</w:t>
      </w:r>
      <w:r w:rsidRPr="001E1050">
        <w:t xml:space="preserve">) and </w:t>
      </w:r>
      <w:r w:rsidR="00F0239F" w:rsidRPr="001E1050">
        <w:t>effects within</w:t>
      </w:r>
      <w:r w:rsidRPr="001E1050">
        <w:t xml:space="preserve"> the population groups</w:t>
      </w:r>
      <w:r w:rsidR="00F0239F" w:rsidRPr="001E1050">
        <w:t xml:space="preserve"> were inconsistent (</w:t>
      </w:r>
      <w:r w:rsidR="001E1050" w:rsidRPr="001E1050">
        <w:t>serious for cancer and advanced disease</w:t>
      </w:r>
      <w:r w:rsidR="00F0239F" w:rsidRPr="001E1050">
        <w:t>)</w:t>
      </w:r>
      <w:r w:rsidRPr="001E1050">
        <w:t xml:space="preserve">. </w:t>
      </w:r>
    </w:p>
    <w:p w14:paraId="653BEECB" w14:textId="77777777" w:rsidR="00691D57" w:rsidRPr="00DA0CC2" w:rsidRDefault="00691D57" w:rsidP="00691D57">
      <w:pPr>
        <w:pStyle w:val="Heading4"/>
      </w:pPr>
      <w:r w:rsidRPr="00DA0CC2">
        <w:lastRenderedPageBreak/>
        <w:t>Results of sensitivity analyses</w:t>
      </w:r>
    </w:p>
    <w:p w14:paraId="4744C660" w14:textId="6F542FDB" w:rsidR="00691D57" w:rsidRPr="00DA0CC2" w:rsidRDefault="00691D57" w:rsidP="00691D57">
      <w:r w:rsidRPr="00DB171D">
        <w:rPr>
          <w:b/>
        </w:rPr>
        <w:t>Table D</w:t>
      </w:r>
      <w:r w:rsidR="00205771" w:rsidRPr="00DB171D">
        <w:rPr>
          <w:b/>
        </w:rPr>
        <w:t>6</w:t>
      </w:r>
      <w:r w:rsidRPr="00DB171D">
        <w:rPr>
          <w:b/>
        </w:rPr>
        <w:t>.1</w:t>
      </w:r>
      <w:r w:rsidRPr="00DB171D">
        <w:t xml:space="preserve"> presents results for the original analysis (all studies, random effects model) and two sensitivity analyses. These sensitivity analyses investigate:</w:t>
      </w:r>
      <w:r w:rsidRPr="00DA0CC2">
        <w:t xml:space="preserve"> </w:t>
      </w:r>
    </w:p>
    <w:p w14:paraId="347B288B" w14:textId="77777777" w:rsidR="00691D57" w:rsidRPr="00DA0CC2" w:rsidRDefault="00691D57" w:rsidP="00DB171D">
      <w:pPr>
        <w:pStyle w:val="ListParagraph"/>
        <w:numPr>
          <w:ilvl w:val="0"/>
          <w:numId w:val="58"/>
        </w:numPr>
      </w:pPr>
      <w:r w:rsidRPr="00DA0CC2">
        <w:t>whether the combined estimate is sensitive to the assumptions that were made to enable inclusion of results in the meta-analysis, specifically</w:t>
      </w:r>
      <w:r>
        <w:t xml:space="preserve"> </w:t>
      </w:r>
      <w:r w:rsidRPr="00DA0CC2">
        <w:t>transforming or imputing statistics, and including change scores (change from baseline) when post-intervention (final) values (and their standard deviations) were unavailable; and</w:t>
      </w:r>
    </w:p>
    <w:p w14:paraId="73CF23E6" w14:textId="7F23F34A" w:rsidR="00691D57" w:rsidRPr="00DA0CC2" w:rsidRDefault="00691D57" w:rsidP="00DB171D">
      <w:pPr>
        <w:pStyle w:val="ListParagraph"/>
        <w:numPr>
          <w:ilvl w:val="0"/>
          <w:numId w:val="58"/>
        </w:numPr>
      </w:pPr>
      <w:r w:rsidRPr="00DA0CC2">
        <w:t>whether the combined effect differs when estimated from a fixed effect model, providing evidence of small study effects (which may be due to true differences in the effects in small studies or may suggest non-reporting bias).</w:t>
      </w:r>
    </w:p>
    <w:p w14:paraId="6CA132BA" w14:textId="77777777" w:rsidR="00691D57" w:rsidRDefault="00691D57" w:rsidP="00691D57"/>
    <w:p w14:paraId="50687487" w14:textId="3626AB88" w:rsidR="00423483" w:rsidRPr="002337D5" w:rsidRDefault="009A45C2" w:rsidP="00423483">
      <w:r w:rsidRPr="002337D5">
        <w:t xml:space="preserve">The combined estimate of effect was </w:t>
      </w:r>
      <w:r w:rsidR="002337D5" w:rsidRPr="002337D5">
        <w:t>smaller</w:t>
      </w:r>
      <w:r w:rsidRPr="002337D5">
        <w:t xml:space="preserve"> in the original analysis </w:t>
      </w:r>
      <w:r w:rsidR="002337D5" w:rsidRPr="002337D5">
        <w:t>(SMD 0.60) compared to</w:t>
      </w:r>
      <w:r w:rsidRPr="002337D5">
        <w:t xml:space="preserve"> the sensitivity analyses removing studies for which transforming </w:t>
      </w:r>
      <w:r w:rsidR="002337D5" w:rsidRPr="002337D5">
        <w:t>/</w:t>
      </w:r>
      <w:r w:rsidRPr="002337D5">
        <w:t xml:space="preserve"> imputing statistics </w:t>
      </w:r>
      <w:r w:rsidR="002337D5" w:rsidRPr="002337D5">
        <w:t xml:space="preserve">or using change scores </w:t>
      </w:r>
      <w:r w:rsidRPr="002337D5">
        <w:t>was necessary</w:t>
      </w:r>
      <w:r w:rsidR="002337D5" w:rsidRPr="002337D5">
        <w:t>, however both indicated effects above the threshold for an important improvement in physical function</w:t>
      </w:r>
      <w:r w:rsidR="002B71A1" w:rsidRPr="002337D5">
        <w:t xml:space="preserve">. </w:t>
      </w:r>
      <w:r w:rsidRPr="002337D5">
        <w:t xml:space="preserve">This indicates that the result was robust to the assumptions required to include these results. </w:t>
      </w:r>
    </w:p>
    <w:p w14:paraId="524B3A01" w14:textId="679B4A47" w:rsidR="00423483" w:rsidRPr="00DA0CC2" w:rsidRDefault="00423483" w:rsidP="00423483">
      <w:pPr>
        <w:rPr>
          <w:b/>
          <w:color w:val="000000" w:themeColor="text1"/>
        </w:rPr>
      </w:pPr>
      <w:r w:rsidRPr="00C07C35">
        <w:rPr>
          <w:b/>
          <w:color w:val="000000" w:themeColor="text1"/>
        </w:rPr>
        <w:t>Table D</w:t>
      </w:r>
      <w:r w:rsidR="00205771" w:rsidRPr="00C07C35">
        <w:rPr>
          <w:b/>
          <w:color w:val="000000" w:themeColor="text1"/>
        </w:rPr>
        <w:t>6</w:t>
      </w:r>
      <w:r w:rsidRPr="00C07C35">
        <w:rPr>
          <w:b/>
          <w:color w:val="000000" w:themeColor="text1"/>
        </w:rPr>
        <w:t xml:space="preserve">.1. Sensitivity analyses for </w:t>
      </w:r>
      <w:r w:rsidR="00AC5BFB" w:rsidRPr="00C07C35">
        <w:rPr>
          <w:b/>
          <w:color w:val="000000" w:themeColor="text1"/>
        </w:rPr>
        <w:t xml:space="preserve">physical function </w:t>
      </w:r>
      <w:r w:rsidRPr="00C07C35">
        <w:rPr>
          <w:b/>
          <w:color w:val="000000" w:themeColor="text1"/>
        </w:rPr>
        <w:t>outcome</w:t>
      </w:r>
    </w:p>
    <w:tbl>
      <w:tblPr>
        <w:tblStyle w:val="TableGrid"/>
        <w:tblW w:w="5000" w:type="pct"/>
        <w:tblLook w:val="04A0" w:firstRow="1" w:lastRow="0" w:firstColumn="1" w:lastColumn="0" w:noHBand="0" w:noVBand="1"/>
      </w:tblPr>
      <w:tblGrid>
        <w:gridCol w:w="1730"/>
        <w:gridCol w:w="2732"/>
        <w:gridCol w:w="653"/>
        <w:gridCol w:w="2155"/>
        <w:gridCol w:w="653"/>
        <w:gridCol w:w="2538"/>
      </w:tblGrid>
      <w:tr w:rsidR="00423483" w:rsidRPr="00DA0CC2" w14:paraId="5994B7CA" w14:textId="77777777" w:rsidTr="00393CE7">
        <w:tc>
          <w:tcPr>
            <w:tcW w:w="827" w:type="pct"/>
            <w:tcBorders>
              <w:top w:val="single" w:sz="4" w:space="0" w:color="auto"/>
              <w:bottom w:val="single" w:sz="4" w:space="0" w:color="auto"/>
            </w:tcBorders>
          </w:tcPr>
          <w:p w14:paraId="2AFD25D6"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w:t>
            </w:r>
          </w:p>
        </w:tc>
        <w:tc>
          <w:tcPr>
            <w:tcW w:w="1306" w:type="pct"/>
            <w:tcBorders>
              <w:top w:val="single" w:sz="4" w:space="0" w:color="auto"/>
              <w:bottom w:val="single" w:sz="4" w:space="0" w:color="auto"/>
              <w:right w:val="single" w:sz="4" w:space="0" w:color="auto"/>
            </w:tcBorders>
          </w:tcPr>
          <w:p w14:paraId="4CA144AE"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Purpose of sensitivity analysis</w:t>
            </w:r>
          </w:p>
        </w:tc>
        <w:tc>
          <w:tcPr>
            <w:tcW w:w="312" w:type="pct"/>
            <w:tcBorders>
              <w:top w:val="single" w:sz="4" w:space="0" w:color="auto"/>
              <w:left w:val="single" w:sz="4" w:space="0" w:color="auto"/>
              <w:bottom w:val="single" w:sz="4" w:space="0" w:color="auto"/>
            </w:tcBorders>
          </w:tcPr>
          <w:p w14:paraId="61D49B0E"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030" w:type="pct"/>
            <w:tcBorders>
              <w:top w:val="single" w:sz="4" w:space="0" w:color="auto"/>
              <w:left w:val="nil"/>
              <w:bottom w:val="single" w:sz="4" w:space="0" w:color="auto"/>
              <w:right w:val="single" w:sz="4" w:space="0" w:color="auto"/>
            </w:tcBorders>
          </w:tcPr>
          <w:p w14:paraId="344D4BBE"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Original effect (95% CI)</w:t>
            </w:r>
          </w:p>
        </w:tc>
        <w:tc>
          <w:tcPr>
            <w:tcW w:w="312" w:type="pct"/>
            <w:tcBorders>
              <w:top w:val="single" w:sz="4" w:space="0" w:color="auto"/>
              <w:left w:val="single" w:sz="4" w:space="0" w:color="auto"/>
              <w:bottom w:val="single" w:sz="4" w:space="0" w:color="auto"/>
            </w:tcBorders>
          </w:tcPr>
          <w:p w14:paraId="145F81D5"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213" w:type="pct"/>
            <w:tcBorders>
              <w:top w:val="single" w:sz="4" w:space="0" w:color="auto"/>
              <w:left w:val="nil"/>
              <w:bottom w:val="single" w:sz="4" w:space="0" w:color="auto"/>
              <w:right w:val="nil"/>
            </w:tcBorders>
          </w:tcPr>
          <w:p w14:paraId="2F0478A2"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 effect</w:t>
            </w:r>
          </w:p>
        </w:tc>
      </w:tr>
      <w:tr w:rsidR="00423483" w:rsidRPr="00DA0CC2" w14:paraId="44E5D7D9" w14:textId="77777777" w:rsidTr="00393CE7">
        <w:tc>
          <w:tcPr>
            <w:tcW w:w="827" w:type="pct"/>
            <w:tcBorders>
              <w:top w:val="single" w:sz="4" w:space="0" w:color="D9D9D9" w:themeColor="background1" w:themeShade="D9"/>
              <w:bottom w:val="single" w:sz="4" w:space="0" w:color="D9D9D9" w:themeColor="background1" w:themeShade="D9"/>
            </w:tcBorders>
          </w:tcPr>
          <w:p w14:paraId="395BB186" w14:textId="3D96AFFA" w:rsidR="00423483" w:rsidRPr="00DA0CC2" w:rsidRDefault="00756ABE"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 xml:space="preserve">No imputation, transformations or change scores </w:t>
            </w:r>
            <w:r w:rsidR="00C07C35">
              <w:rPr>
                <w:rFonts w:asciiTheme="minorHAnsi" w:hAnsiTheme="minorHAnsi" w:cstheme="minorHAnsi"/>
                <w:color w:val="000000" w:themeColor="text1"/>
                <w:sz w:val="18"/>
                <w:szCs w:val="18"/>
                <w:vertAlign w:val="superscript"/>
              </w:rPr>
              <w:t>1</w:t>
            </w:r>
            <w:r w:rsidR="00423483" w:rsidRPr="00DA0CC2">
              <w:rPr>
                <w:rFonts w:asciiTheme="minorHAnsi" w:hAnsiTheme="minorHAnsi" w:cstheme="minorHAnsi"/>
                <w:color w:val="000000" w:themeColor="text1"/>
                <w:sz w:val="18"/>
                <w:szCs w:val="18"/>
              </w:rPr>
              <w:t xml:space="preserve"> </w:t>
            </w:r>
          </w:p>
        </w:tc>
        <w:tc>
          <w:tcPr>
            <w:tcW w:w="1306" w:type="pct"/>
            <w:tcBorders>
              <w:top w:val="single" w:sz="4" w:space="0" w:color="D9D9D9" w:themeColor="background1" w:themeShade="D9"/>
              <w:bottom w:val="single" w:sz="4" w:space="0" w:color="D9D9D9" w:themeColor="background1" w:themeShade="D9"/>
            </w:tcBorders>
          </w:tcPr>
          <w:p w14:paraId="0DB64629"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312" w:type="pct"/>
            <w:tcBorders>
              <w:top w:val="single" w:sz="4" w:space="0" w:color="D9D9D9" w:themeColor="background1" w:themeShade="D9"/>
              <w:bottom w:val="single" w:sz="4" w:space="0" w:color="D9D9D9" w:themeColor="background1" w:themeShade="D9"/>
            </w:tcBorders>
          </w:tcPr>
          <w:p w14:paraId="24AE5CA0" w14:textId="3C56423D" w:rsidR="00423483" w:rsidRPr="00DA0CC2" w:rsidRDefault="00AC5BFB" w:rsidP="00393CE7">
            <w:pPr>
              <w:spacing w:after="60"/>
              <w:rPr>
                <w:rFonts w:asciiTheme="minorHAnsi" w:hAnsiTheme="minorHAnsi" w:cstheme="minorHAnsi"/>
                <w:sz w:val="18"/>
                <w:szCs w:val="18"/>
              </w:rPr>
            </w:pPr>
            <w:r>
              <w:rPr>
                <w:rFonts w:asciiTheme="minorHAnsi" w:hAnsiTheme="minorHAnsi" w:cstheme="minorHAnsi"/>
                <w:sz w:val="18"/>
                <w:szCs w:val="18"/>
              </w:rPr>
              <w:t>10</w:t>
            </w:r>
          </w:p>
        </w:tc>
        <w:tc>
          <w:tcPr>
            <w:tcW w:w="1030" w:type="pct"/>
            <w:tcBorders>
              <w:top w:val="single" w:sz="4" w:space="0" w:color="D9D9D9" w:themeColor="background1" w:themeShade="D9"/>
              <w:bottom w:val="single" w:sz="4" w:space="0" w:color="D9D9D9" w:themeColor="background1" w:themeShade="D9"/>
            </w:tcBorders>
          </w:tcPr>
          <w:p w14:paraId="502435C6" w14:textId="0172AB73" w:rsidR="00423483" w:rsidRPr="00DA0CC2" w:rsidRDefault="00423483"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AC5BFB">
              <w:rPr>
                <w:rFonts w:asciiTheme="minorHAnsi" w:hAnsiTheme="minorHAnsi" w:cstheme="minorHAnsi"/>
                <w:sz w:val="18"/>
                <w:szCs w:val="18"/>
              </w:rPr>
              <w:t xml:space="preserve">0.60 </w:t>
            </w:r>
            <w:r w:rsidRPr="00DA0CC2">
              <w:rPr>
                <w:rFonts w:asciiTheme="minorHAnsi" w:hAnsiTheme="minorHAnsi" w:cstheme="minorHAnsi"/>
                <w:sz w:val="18"/>
                <w:szCs w:val="18"/>
              </w:rPr>
              <w:t>(</w:t>
            </w:r>
            <w:r w:rsidR="00AC5BFB">
              <w:rPr>
                <w:rFonts w:asciiTheme="minorHAnsi" w:hAnsiTheme="minorHAnsi" w:cstheme="minorHAnsi"/>
                <w:sz w:val="18"/>
                <w:szCs w:val="18"/>
              </w:rPr>
              <w:t xml:space="preserve">-0.02 </w:t>
            </w:r>
            <w:r w:rsidRPr="00DA0CC2">
              <w:rPr>
                <w:rFonts w:asciiTheme="minorHAnsi" w:hAnsiTheme="minorHAnsi" w:cstheme="minorHAnsi"/>
                <w:sz w:val="18"/>
                <w:szCs w:val="18"/>
              </w:rPr>
              <w:t xml:space="preserve">to </w:t>
            </w:r>
            <w:r w:rsidRPr="00DA0CC2">
              <w:rPr>
                <w:rFonts w:asciiTheme="minorHAnsi" w:hAnsiTheme="minorHAnsi" w:cstheme="minorHAnsi"/>
                <w:sz w:val="18"/>
                <w:szCs w:val="18"/>
              </w:rPr>
              <w:br/>
            </w:r>
            <w:r w:rsidR="00AC5BFB">
              <w:rPr>
                <w:rFonts w:asciiTheme="minorHAnsi" w:hAnsiTheme="minorHAnsi" w:cstheme="minorHAnsi"/>
                <w:sz w:val="18"/>
                <w:szCs w:val="18"/>
              </w:rPr>
              <w:t>1.22</w:t>
            </w:r>
            <w:r w:rsidRPr="00DA0CC2">
              <w:rPr>
                <w:rFonts w:asciiTheme="minorHAnsi" w:hAnsiTheme="minorHAnsi" w:cstheme="minorHAnsi"/>
                <w:sz w:val="18"/>
                <w:szCs w:val="18"/>
              </w:rPr>
              <w:t xml:space="preserve">); I2 = </w:t>
            </w:r>
            <w:r w:rsidR="00AC5BFB">
              <w:rPr>
                <w:rFonts w:asciiTheme="minorHAnsi" w:hAnsiTheme="minorHAnsi" w:cstheme="minorHAnsi"/>
                <w:sz w:val="18"/>
                <w:szCs w:val="18"/>
              </w:rPr>
              <w:t>92</w:t>
            </w:r>
            <w:r w:rsidRPr="00DA0CC2">
              <w:rPr>
                <w:rFonts w:asciiTheme="minorHAnsi" w:hAnsiTheme="minorHAnsi" w:cstheme="minorHAnsi"/>
                <w:sz w:val="18"/>
                <w:szCs w:val="18"/>
              </w:rPr>
              <w:t>%</w:t>
            </w:r>
          </w:p>
        </w:tc>
        <w:tc>
          <w:tcPr>
            <w:tcW w:w="312" w:type="pct"/>
            <w:tcBorders>
              <w:top w:val="single" w:sz="4" w:space="0" w:color="D9D9D9" w:themeColor="background1" w:themeShade="D9"/>
              <w:bottom w:val="single" w:sz="4" w:space="0" w:color="D9D9D9" w:themeColor="background1" w:themeShade="D9"/>
            </w:tcBorders>
          </w:tcPr>
          <w:p w14:paraId="182FC9FE" w14:textId="27280DBB" w:rsidR="00423483" w:rsidRPr="00DA0CC2" w:rsidRDefault="00AC5BFB" w:rsidP="00393CE7">
            <w:pPr>
              <w:spacing w:after="60"/>
              <w:rPr>
                <w:rFonts w:asciiTheme="minorHAnsi" w:hAnsiTheme="minorHAnsi" w:cstheme="minorHAnsi"/>
                <w:sz w:val="18"/>
                <w:szCs w:val="18"/>
              </w:rPr>
            </w:pPr>
            <w:r>
              <w:rPr>
                <w:rFonts w:asciiTheme="minorHAnsi" w:hAnsiTheme="minorHAnsi" w:cstheme="minorHAnsi"/>
                <w:sz w:val="18"/>
                <w:szCs w:val="18"/>
              </w:rPr>
              <w:t>7</w:t>
            </w:r>
          </w:p>
        </w:tc>
        <w:tc>
          <w:tcPr>
            <w:tcW w:w="1213" w:type="pct"/>
            <w:tcBorders>
              <w:top w:val="single" w:sz="4" w:space="0" w:color="auto"/>
              <w:bottom w:val="single" w:sz="4" w:space="0" w:color="D9D9D9" w:themeColor="background1" w:themeShade="D9"/>
              <w:right w:val="nil"/>
            </w:tcBorders>
          </w:tcPr>
          <w:p w14:paraId="7C64DFAD" w14:textId="56DC8A6E" w:rsidR="00423483" w:rsidRPr="00DA0CC2" w:rsidRDefault="00423483"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AC5BFB">
              <w:rPr>
                <w:rFonts w:asciiTheme="minorHAnsi" w:hAnsiTheme="minorHAnsi" w:cstheme="minorHAnsi"/>
                <w:sz w:val="18"/>
                <w:szCs w:val="18"/>
              </w:rPr>
              <w:t>0.74</w:t>
            </w:r>
            <w:r w:rsidRPr="00DA0CC2">
              <w:rPr>
                <w:rFonts w:asciiTheme="minorHAnsi" w:hAnsiTheme="minorHAnsi" w:cstheme="minorHAnsi"/>
                <w:sz w:val="18"/>
                <w:szCs w:val="18"/>
              </w:rPr>
              <w:t xml:space="preserve"> (</w:t>
            </w:r>
            <w:r w:rsidR="00AC5BFB">
              <w:rPr>
                <w:rFonts w:asciiTheme="minorHAnsi" w:hAnsiTheme="minorHAnsi" w:cstheme="minorHAnsi"/>
                <w:sz w:val="18"/>
                <w:szCs w:val="18"/>
              </w:rPr>
              <w:t xml:space="preserve">-0.19 </w:t>
            </w:r>
            <w:r w:rsidRPr="00DA0CC2">
              <w:rPr>
                <w:rFonts w:asciiTheme="minorHAnsi" w:hAnsiTheme="minorHAnsi" w:cstheme="minorHAnsi"/>
                <w:sz w:val="18"/>
                <w:szCs w:val="18"/>
              </w:rPr>
              <w:t>to</w:t>
            </w:r>
            <w:r w:rsidR="00AC5BFB">
              <w:rPr>
                <w:rFonts w:asciiTheme="minorHAnsi" w:hAnsiTheme="minorHAnsi" w:cstheme="minorHAnsi"/>
                <w:sz w:val="18"/>
                <w:szCs w:val="18"/>
              </w:rPr>
              <w:t xml:space="preserve"> 1.68</w:t>
            </w:r>
            <w:r w:rsidRPr="00DA0CC2">
              <w:rPr>
                <w:rFonts w:asciiTheme="minorHAnsi" w:hAnsiTheme="minorHAnsi" w:cstheme="minorHAnsi"/>
                <w:sz w:val="18"/>
                <w:szCs w:val="18"/>
              </w:rPr>
              <w:t xml:space="preserve">); I2 = </w:t>
            </w:r>
            <w:r w:rsidR="00AC5BFB">
              <w:rPr>
                <w:rFonts w:asciiTheme="minorHAnsi" w:hAnsiTheme="minorHAnsi" w:cstheme="minorHAnsi"/>
                <w:sz w:val="18"/>
                <w:szCs w:val="18"/>
              </w:rPr>
              <w:t>94</w:t>
            </w:r>
            <w:r w:rsidRPr="00DA0CC2">
              <w:rPr>
                <w:rFonts w:asciiTheme="minorHAnsi" w:hAnsiTheme="minorHAnsi" w:cstheme="minorHAnsi"/>
                <w:sz w:val="18"/>
                <w:szCs w:val="18"/>
              </w:rPr>
              <w:t>%</w:t>
            </w:r>
          </w:p>
        </w:tc>
      </w:tr>
      <w:tr w:rsidR="00423483" w:rsidRPr="00DA0CC2" w14:paraId="30B7CAD7" w14:textId="77777777" w:rsidTr="00393CE7">
        <w:tc>
          <w:tcPr>
            <w:tcW w:w="827" w:type="pct"/>
            <w:tcBorders>
              <w:top w:val="single" w:sz="4" w:space="0" w:color="D9D9D9" w:themeColor="background1" w:themeShade="D9"/>
              <w:bottom w:val="single" w:sz="4" w:space="0" w:color="auto"/>
            </w:tcBorders>
          </w:tcPr>
          <w:p w14:paraId="0F80C3E8"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Fixed effect analysis</w:t>
            </w:r>
          </w:p>
        </w:tc>
        <w:tc>
          <w:tcPr>
            <w:tcW w:w="1306" w:type="pct"/>
            <w:tcBorders>
              <w:top w:val="single" w:sz="4" w:space="0" w:color="D9D9D9" w:themeColor="background1" w:themeShade="D9"/>
              <w:bottom w:val="single" w:sz="4" w:space="0" w:color="auto"/>
            </w:tcBorders>
          </w:tcPr>
          <w:p w14:paraId="59E850EE"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small study effects (bias due to missing results)</w:t>
            </w:r>
          </w:p>
        </w:tc>
        <w:tc>
          <w:tcPr>
            <w:tcW w:w="312" w:type="pct"/>
            <w:tcBorders>
              <w:top w:val="single" w:sz="4" w:space="0" w:color="D9D9D9" w:themeColor="background1" w:themeShade="D9"/>
              <w:bottom w:val="single" w:sz="4" w:space="0" w:color="auto"/>
            </w:tcBorders>
            <w:shd w:val="clear" w:color="auto" w:fill="F2F2F2" w:themeFill="background1" w:themeFillShade="F2"/>
          </w:tcPr>
          <w:p w14:paraId="40759666" w14:textId="77777777" w:rsidR="00423483" w:rsidRPr="00DA0CC2" w:rsidRDefault="00423483" w:rsidP="00393CE7">
            <w:pPr>
              <w:spacing w:after="60"/>
              <w:rPr>
                <w:rFonts w:asciiTheme="minorHAnsi" w:hAnsiTheme="minorHAnsi" w:cstheme="minorHAnsi"/>
                <w:sz w:val="18"/>
                <w:szCs w:val="18"/>
              </w:rPr>
            </w:pPr>
          </w:p>
        </w:tc>
        <w:tc>
          <w:tcPr>
            <w:tcW w:w="1030" w:type="pct"/>
            <w:tcBorders>
              <w:top w:val="single" w:sz="4" w:space="0" w:color="D9D9D9" w:themeColor="background1" w:themeShade="D9"/>
              <w:bottom w:val="single" w:sz="4" w:space="0" w:color="auto"/>
            </w:tcBorders>
            <w:shd w:val="clear" w:color="auto" w:fill="F2F2F2" w:themeFill="background1" w:themeFillShade="F2"/>
          </w:tcPr>
          <w:p w14:paraId="7A179C05" w14:textId="77777777" w:rsidR="00423483" w:rsidRPr="00DA0CC2" w:rsidRDefault="00423483" w:rsidP="00393CE7">
            <w:pPr>
              <w:spacing w:after="60"/>
              <w:rPr>
                <w:rFonts w:asciiTheme="minorHAnsi" w:hAnsiTheme="minorHAnsi" w:cstheme="minorHAnsi"/>
                <w:sz w:val="18"/>
                <w:szCs w:val="18"/>
              </w:rPr>
            </w:pPr>
          </w:p>
        </w:tc>
        <w:tc>
          <w:tcPr>
            <w:tcW w:w="312" w:type="pct"/>
            <w:tcBorders>
              <w:top w:val="single" w:sz="4" w:space="0" w:color="D9D9D9" w:themeColor="background1" w:themeShade="D9"/>
              <w:bottom w:val="single" w:sz="4" w:space="0" w:color="auto"/>
            </w:tcBorders>
          </w:tcPr>
          <w:p w14:paraId="76C96B44" w14:textId="3E4F1A0A" w:rsidR="00423483" w:rsidRPr="00DA0CC2" w:rsidRDefault="001B7D77" w:rsidP="00393CE7">
            <w:pPr>
              <w:spacing w:after="60"/>
              <w:rPr>
                <w:rFonts w:asciiTheme="minorHAnsi" w:hAnsiTheme="minorHAnsi" w:cstheme="minorHAnsi"/>
                <w:sz w:val="18"/>
                <w:szCs w:val="18"/>
              </w:rPr>
            </w:pPr>
            <w:r>
              <w:rPr>
                <w:rFonts w:asciiTheme="minorHAnsi" w:hAnsiTheme="minorHAnsi" w:cstheme="minorHAnsi"/>
                <w:sz w:val="18"/>
                <w:szCs w:val="18"/>
              </w:rPr>
              <w:t>10</w:t>
            </w:r>
          </w:p>
        </w:tc>
        <w:tc>
          <w:tcPr>
            <w:tcW w:w="1213" w:type="pct"/>
            <w:tcBorders>
              <w:top w:val="single" w:sz="4" w:space="0" w:color="D9D9D9" w:themeColor="background1" w:themeShade="D9"/>
              <w:bottom w:val="single" w:sz="4" w:space="0" w:color="auto"/>
              <w:right w:val="nil"/>
            </w:tcBorders>
          </w:tcPr>
          <w:p w14:paraId="28250EDC" w14:textId="06F76A12" w:rsidR="00423483" w:rsidRPr="00DA0CC2" w:rsidRDefault="00423483"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1B7D77">
              <w:rPr>
                <w:rFonts w:asciiTheme="minorHAnsi" w:hAnsiTheme="minorHAnsi" w:cstheme="minorHAnsi"/>
                <w:sz w:val="18"/>
                <w:szCs w:val="18"/>
              </w:rPr>
              <w:t xml:space="preserve">0.34 </w:t>
            </w:r>
            <w:r w:rsidRPr="00DA0CC2">
              <w:rPr>
                <w:rFonts w:asciiTheme="minorHAnsi" w:hAnsiTheme="minorHAnsi" w:cstheme="minorHAnsi"/>
                <w:sz w:val="18"/>
                <w:szCs w:val="18"/>
              </w:rPr>
              <w:t>(</w:t>
            </w:r>
            <w:r w:rsidR="001B7D77">
              <w:rPr>
                <w:rFonts w:asciiTheme="minorHAnsi" w:hAnsiTheme="minorHAnsi" w:cstheme="minorHAnsi"/>
                <w:sz w:val="18"/>
                <w:szCs w:val="18"/>
              </w:rPr>
              <w:t>0.20</w:t>
            </w:r>
            <w:r>
              <w:rPr>
                <w:rFonts w:asciiTheme="minorHAnsi" w:hAnsiTheme="minorHAnsi" w:cstheme="minorHAnsi"/>
                <w:sz w:val="18"/>
                <w:szCs w:val="18"/>
              </w:rPr>
              <w:t xml:space="preserve"> </w:t>
            </w:r>
            <w:r w:rsidRPr="00DA0CC2">
              <w:rPr>
                <w:rFonts w:asciiTheme="minorHAnsi" w:hAnsiTheme="minorHAnsi" w:cstheme="minorHAnsi"/>
                <w:sz w:val="18"/>
                <w:szCs w:val="18"/>
              </w:rPr>
              <w:t>to</w:t>
            </w:r>
            <w:r w:rsidR="001B7D77">
              <w:rPr>
                <w:rFonts w:asciiTheme="minorHAnsi" w:hAnsiTheme="minorHAnsi" w:cstheme="minorHAnsi"/>
                <w:sz w:val="18"/>
                <w:szCs w:val="18"/>
              </w:rPr>
              <w:t xml:space="preserve"> 0.48</w:t>
            </w:r>
            <w:r w:rsidRPr="00DA0CC2">
              <w:rPr>
                <w:rFonts w:asciiTheme="minorHAnsi" w:hAnsiTheme="minorHAnsi" w:cstheme="minorHAnsi"/>
                <w:sz w:val="18"/>
                <w:szCs w:val="18"/>
              </w:rPr>
              <w:t>); I2 = %</w:t>
            </w:r>
          </w:p>
        </w:tc>
      </w:tr>
    </w:tbl>
    <w:p w14:paraId="4FA5D22F" w14:textId="095CA9AF" w:rsidR="00423483" w:rsidRPr="00C07C35" w:rsidRDefault="00423483" w:rsidP="00423483">
      <w:pPr>
        <w:spacing w:after="60"/>
        <w:rPr>
          <w:sz w:val="18"/>
        </w:rPr>
      </w:pPr>
      <w:r>
        <w:rPr>
          <w:sz w:val="22"/>
          <w:vertAlign w:val="superscript"/>
        </w:rPr>
        <w:t>1</w:t>
      </w:r>
      <w:r w:rsidRPr="00DA0CC2">
        <w:rPr>
          <w:sz w:val="18"/>
        </w:rPr>
        <w:t xml:space="preserve"> This analysis was limited to trials that (a) reported </w:t>
      </w:r>
      <w:proofErr w:type="spellStart"/>
      <w:r w:rsidRPr="00DA0CC2">
        <w:rPr>
          <w:sz w:val="18"/>
        </w:rPr>
        <w:t>i</w:t>
      </w:r>
      <w:proofErr w:type="spellEnd"/>
      <w:r w:rsidRPr="00DA0CC2">
        <w:rPr>
          <w:sz w:val="18"/>
        </w:rPr>
        <w:t xml:space="preserve">) means and standard deviations, ii) means and standard errors, or iii) mean differences and their confidence intervals, </w:t>
      </w:r>
      <w:r w:rsidRPr="00DA0CC2">
        <w:rPr>
          <w:sz w:val="18"/>
          <w:szCs w:val="18"/>
        </w:rPr>
        <w:t>and (b) had post-intervention (final) values available.</w:t>
      </w:r>
    </w:p>
    <w:p w14:paraId="277D2C25" w14:textId="77777777" w:rsidR="00423483" w:rsidRDefault="00423483" w:rsidP="00423483">
      <w:pPr>
        <w:spacing w:after="60"/>
        <w:rPr>
          <w:sz w:val="18"/>
          <w:szCs w:val="18"/>
        </w:rPr>
      </w:pPr>
      <w:r w:rsidRPr="00DA0CC2">
        <w:rPr>
          <w:i/>
          <w:sz w:val="18"/>
          <w:szCs w:val="18"/>
        </w:rPr>
        <w:t>Abbreviations</w:t>
      </w:r>
      <w:r w:rsidRPr="00DA0CC2">
        <w:rPr>
          <w:sz w:val="18"/>
          <w:szCs w:val="18"/>
        </w:rPr>
        <w:t>. MA = meta-analysis; SMD = standardised mean difference; CI = confidence interval</w:t>
      </w:r>
    </w:p>
    <w:p w14:paraId="6347AC0A" w14:textId="77777777" w:rsidR="00A00A5E" w:rsidRPr="00DA0CC2" w:rsidRDefault="00A00A5E" w:rsidP="00423483">
      <w:pPr>
        <w:spacing w:after="60"/>
        <w:rPr>
          <w:sz w:val="18"/>
          <w:szCs w:val="18"/>
        </w:rPr>
      </w:pPr>
    </w:p>
    <w:p w14:paraId="482FF79A" w14:textId="28CA998A" w:rsidR="009A45C2" w:rsidRPr="00DA0CC2" w:rsidRDefault="009A45C2" w:rsidP="00423483">
      <w:pPr>
        <w:pStyle w:val="Heading4"/>
      </w:pPr>
      <w:r w:rsidRPr="00DA0CC2">
        <w:t>Bias due to missing results from the meta-analysis</w:t>
      </w:r>
    </w:p>
    <w:p w14:paraId="733ABC43" w14:textId="0E55651C" w:rsidR="00E06532" w:rsidRDefault="00E06532" w:rsidP="009A45C2">
      <w:r w:rsidRPr="00E06532">
        <w:t>T</w:t>
      </w:r>
      <w:r w:rsidR="009A45C2" w:rsidRPr="00E06532">
        <w:t>he combined effect estimated from the fixed effect model (SMD 0.</w:t>
      </w:r>
      <w:r w:rsidRPr="00E06532">
        <w:t>34</w:t>
      </w:r>
      <w:r w:rsidR="009A45C2" w:rsidRPr="00E06532">
        <w:t>) was smaller than from the random effects model (SMD 0.</w:t>
      </w:r>
      <w:r w:rsidRPr="00E06532">
        <w:t>60</w:t>
      </w:r>
      <w:r w:rsidR="009A45C2" w:rsidRPr="00E06532">
        <w:t xml:space="preserve">) (Table </w:t>
      </w:r>
      <w:r w:rsidR="0029188C" w:rsidRPr="00E06532">
        <w:t>D</w:t>
      </w:r>
      <w:r w:rsidR="00205771" w:rsidRPr="00E06532">
        <w:t>6</w:t>
      </w:r>
      <w:r w:rsidR="009A45C2" w:rsidRPr="00E06532">
        <w:t>.1)</w:t>
      </w:r>
      <w:r w:rsidRPr="00E06532">
        <w:t xml:space="preserve">. While </w:t>
      </w:r>
      <w:r w:rsidR="008E6D31" w:rsidRPr="00E06532">
        <w:t>the</w:t>
      </w:r>
      <w:r w:rsidR="009A45C2" w:rsidRPr="00E06532">
        <w:t xml:space="preserve"> </w:t>
      </w:r>
      <w:r w:rsidR="008E6D31" w:rsidRPr="00E06532">
        <w:t xml:space="preserve">fixed </w:t>
      </w:r>
      <w:r w:rsidR="009A45C2" w:rsidRPr="00E06532">
        <w:t xml:space="preserve">effect estimate </w:t>
      </w:r>
      <w:r w:rsidRPr="00E06532">
        <w:t>is still above</w:t>
      </w:r>
      <w:r w:rsidR="008E6D31" w:rsidRPr="00E06532">
        <w:t xml:space="preserve"> threshold </w:t>
      </w:r>
      <w:r w:rsidRPr="00E06532">
        <w:t>for an important difference in physical function, this may suggest small study effects arising from selective non-reporting of unfavourable results</w:t>
      </w:r>
      <w:r w:rsidR="009A45C2" w:rsidRPr="00E06532">
        <w:t xml:space="preserve">. The contour-enhanced funnel plot in Figure </w:t>
      </w:r>
      <w:r w:rsidR="0029188C" w:rsidRPr="00E06532">
        <w:t>D</w:t>
      </w:r>
      <w:r w:rsidRPr="00E06532">
        <w:t>6</w:t>
      </w:r>
      <w:r w:rsidR="009A45C2" w:rsidRPr="00E06532">
        <w:t>.</w:t>
      </w:r>
      <w:r w:rsidRPr="00E06532">
        <w:t>1</w:t>
      </w:r>
      <w:r w:rsidR="009A45C2" w:rsidRPr="00E06532">
        <w:t xml:space="preserve"> suggests that there could be missing studies which show effects favouring the control</w:t>
      </w:r>
      <w:r w:rsidR="008E6D31" w:rsidRPr="00E06532">
        <w:t xml:space="preserve"> </w:t>
      </w:r>
      <w:r w:rsidR="009A45C2" w:rsidRPr="00E06532">
        <w:t>(i.e. the plot is asymmetric, missing studies to the left of the line of no effect (SMD</w:t>
      </w:r>
      <w:r w:rsidR="009618FE" w:rsidRPr="00E06532">
        <w:t xml:space="preserve"> </w:t>
      </w:r>
      <w:r w:rsidR="009A45C2" w:rsidRPr="00E06532">
        <w:t xml:space="preserve">0) where we would expect results for some small studies, most notably in the darker grey shaded areas where nonsignificant results appear). </w:t>
      </w:r>
      <w:r w:rsidR="008A154D">
        <w:t>However,</w:t>
      </w:r>
      <w:r w:rsidR="008539E7">
        <w:t xml:space="preserve"> there are a comparatively small number of studies in this analysis. </w:t>
      </w:r>
    </w:p>
    <w:p w14:paraId="56C2F5A0" w14:textId="77777777" w:rsidR="00E06532" w:rsidRDefault="00E06532">
      <w:pPr>
        <w:spacing w:after="0"/>
      </w:pPr>
      <w:r>
        <w:br w:type="page"/>
      </w:r>
    </w:p>
    <w:p w14:paraId="6EA31302" w14:textId="77777777" w:rsidR="009A45C2" w:rsidRPr="00E06532" w:rsidRDefault="009A45C2" w:rsidP="009A45C2"/>
    <w:p w14:paraId="2F555711" w14:textId="530478B2" w:rsidR="009A45C2" w:rsidRDefault="009A45C2" w:rsidP="009A45C2">
      <w:pPr>
        <w:rPr>
          <w:noProof/>
        </w:rPr>
      </w:pPr>
      <w:r w:rsidRPr="00DA0CC2">
        <w:rPr>
          <w:noProof/>
        </w:rPr>
        <w:drawing>
          <wp:inline distT="0" distB="0" distL="0" distR="0" wp14:anchorId="1FA9245B" wp14:editId="3D33AD4D">
            <wp:extent cx="3856382" cy="4449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17"/>
                    <a:srcRect t="79670" b="4467"/>
                    <a:stretch/>
                  </pic:blipFill>
                  <pic:spPr bwMode="auto">
                    <a:xfrm>
                      <a:off x="0" y="0"/>
                      <a:ext cx="3978554" cy="459069"/>
                    </a:xfrm>
                    <a:prstGeom prst="rect">
                      <a:avLst/>
                    </a:prstGeom>
                    <a:ln>
                      <a:noFill/>
                    </a:ln>
                    <a:extLst>
                      <a:ext uri="{53640926-AAD7-44D8-BBD7-CCE9431645EC}">
                        <a14:shadowObscured xmlns:a14="http://schemas.microsoft.com/office/drawing/2010/main"/>
                      </a:ext>
                    </a:extLst>
                  </pic:spPr>
                </pic:pic>
              </a:graphicData>
            </a:graphic>
          </wp:inline>
        </w:drawing>
      </w:r>
    </w:p>
    <w:p w14:paraId="77FA0369" w14:textId="6D9715CF" w:rsidR="00423483" w:rsidRDefault="00C34722" w:rsidP="009A45C2">
      <w:pPr>
        <w:rPr>
          <w:rFonts w:eastAsia="MS Mincho"/>
          <w:b/>
          <w:bCs/>
        </w:rPr>
      </w:pPr>
      <w:r>
        <w:rPr>
          <w:noProof/>
          <w:color w:val="0070C0"/>
        </w:rPr>
        <mc:AlternateContent>
          <mc:Choice Requires="wps">
            <w:drawing>
              <wp:anchor distT="0" distB="0" distL="114300" distR="114300" simplePos="0" relativeHeight="251658245" behindDoc="0" locked="0" layoutInCell="1" allowOverlap="1" wp14:anchorId="36543E7F" wp14:editId="61C3EA7A">
                <wp:simplePos x="0" y="0"/>
                <wp:positionH relativeFrom="column">
                  <wp:posOffset>2157984</wp:posOffset>
                </wp:positionH>
                <wp:positionV relativeFrom="paragraph">
                  <wp:posOffset>371526</wp:posOffset>
                </wp:positionV>
                <wp:extent cx="2809037" cy="146304"/>
                <wp:effectExtent l="0" t="0" r="0" b="6350"/>
                <wp:wrapNone/>
                <wp:docPr id="20" name="Rectangle 20"/>
                <wp:cNvGraphicFramePr/>
                <a:graphic xmlns:a="http://schemas.openxmlformats.org/drawingml/2006/main">
                  <a:graphicData uri="http://schemas.microsoft.com/office/word/2010/wordprocessingShape">
                    <wps:wsp>
                      <wps:cNvSpPr/>
                      <wps:spPr>
                        <a:xfrm>
                          <a:off x="0" y="0"/>
                          <a:ext cx="2809037" cy="146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88F69" id="Rectangle 20" o:spid="_x0000_s1026" style="position:absolute;margin-left:169.9pt;margin-top:29.25pt;width:221.2pt;height:1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" fillcolor="white [3212]" stroked="f" strokeweight="1pt"/>
            </w:pict>
          </mc:Fallback>
        </mc:AlternateContent>
      </w:r>
      <w:r w:rsidR="00A50010">
        <w:rPr>
          <w:b/>
          <w:bCs/>
          <w:noProof/>
        </w:rPr>
        <w:drawing>
          <wp:inline distT="0" distB="0" distL="0" distR="0" wp14:anchorId="25C468C4" wp14:editId="50F93D73">
            <wp:extent cx="6645910" cy="3790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a_funnel_dom_7_comp_1_contour_no_funnel.png"/>
                    <pic:cNvPicPr/>
                  </pic:nvPicPr>
                  <pic:blipFill rotWithShape="1">
                    <a:blip r:embed="rId22"/>
                    <a:srcRect b="21613"/>
                    <a:stretch/>
                  </pic:blipFill>
                  <pic:spPr bwMode="auto">
                    <a:xfrm>
                      <a:off x="0" y="0"/>
                      <a:ext cx="6645910" cy="3790950"/>
                    </a:xfrm>
                    <a:prstGeom prst="rect">
                      <a:avLst/>
                    </a:prstGeom>
                    <a:ln>
                      <a:noFill/>
                    </a:ln>
                    <a:extLst>
                      <a:ext uri="{53640926-AAD7-44D8-BBD7-CCE9431645EC}">
                        <a14:shadowObscured xmlns:a14="http://schemas.microsoft.com/office/drawing/2010/main"/>
                      </a:ext>
                    </a:extLst>
                  </pic:spPr>
                </pic:pic>
              </a:graphicData>
            </a:graphic>
          </wp:inline>
        </w:drawing>
      </w:r>
      <w:r w:rsidR="009A45C2" w:rsidRPr="00DA0CC2">
        <w:rPr>
          <w:b/>
          <w:bCs/>
        </w:rPr>
        <w:t xml:space="preserve">Fig </w:t>
      </w:r>
      <w:r w:rsidR="0029188C">
        <w:rPr>
          <w:b/>
          <w:bCs/>
        </w:rPr>
        <w:t>D</w:t>
      </w:r>
      <w:r w:rsidR="00205771">
        <w:rPr>
          <w:b/>
          <w:bCs/>
        </w:rPr>
        <w:t>6</w:t>
      </w:r>
      <w:r w:rsidR="009A45C2" w:rsidRPr="00DA0CC2">
        <w:rPr>
          <w:b/>
          <w:bCs/>
        </w:rPr>
        <w:t>.</w:t>
      </w:r>
      <w:r w:rsidR="00233BDF">
        <w:rPr>
          <w:b/>
          <w:bCs/>
        </w:rPr>
        <w:t>1</w:t>
      </w:r>
      <w:r w:rsidR="009A45C2" w:rsidRPr="00DA0CC2">
        <w:t xml:space="preserve">| </w:t>
      </w:r>
      <w:r w:rsidR="009A45C2" w:rsidRPr="00233BDF">
        <w:t xml:space="preserve">Contour enhanced funnel plot of estimates of SMD versus their standard errors for </w:t>
      </w:r>
      <w:r w:rsidR="00233BDF" w:rsidRPr="00233BDF">
        <w:t>c</w:t>
      </w:r>
      <w:r w:rsidR="009A45C2" w:rsidRPr="00233BDF">
        <w:t xml:space="preserve">omparison </w:t>
      </w:r>
      <w:r w:rsidR="00233BDF" w:rsidRPr="00233BDF">
        <w:t>of</w:t>
      </w:r>
      <w:r w:rsidR="009A45C2" w:rsidRPr="00233BDF">
        <w:t xml:space="preserve"> the effect of </w:t>
      </w:r>
      <w:r w:rsidR="00233BDF" w:rsidRPr="00233BDF">
        <w:t>reflexology</w:t>
      </w:r>
      <w:r w:rsidR="009A45C2" w:rsidRPr="00233BDF">
        <w:t xml:space="preserve"> versus </w:t>
      </w:r>
      <w:r w:rsidR="00EF1410" w:rsidRPr="00F0239F">
        <w:t>inactive control (usual care, no intervention, sham, co-intervention given in both groups)</w:t>
      </w:r>
      <w:r w:rsidR="00EF1410">
        <w:t xml:space="preserve"> </w:t>
      </w:r>
      <w:r w:rsidR="009A45C2" w:rsidRPr="00233BDF">
        <w:t xml:space="preserve">on </w:t>
      </w:r>
      <w:r w:rsidR="008E6D31" w:rsidRPr="00233BDF">
        <w:t xml:space="preserve">physical </w:t>
      </w:r>
      <w:r w:rsidR="00BD696A" w:rsidRPr="00233BDF">
        <w:t>function</w:t>
      </w:r>
      <w:r w:rsidR="009A45C2" w:rsidRPr="00233BDF">
        <w:t>. Shaded regions represent different categories of conventional milestone levels of statistical significance. SMD</w:t>
      </w:r>
      <w:r w:rsidR="009618FE" w:rsidRPr="00233BDF">
        <w:t xml:space="preserve"> </w:t>
      </w:r>
      <w:r w:rsidR="009A45C2" w:rsidRPr="00233BDF">
        <w:t>=</w:t>
      </w:r>
      <w:r w:rsidR="009618FE" w:rsidRPr="00233BDF">
        <w:t xml:space="preserve"> </w:t>
      </w:r>
      <w:r w:rsidR="009A45C2" w:rsidRPr="00233BDF">
        <w:t>standardised mean difference. Blue line shows the combined estimate from random effects model.</w:t>
      </w:r>
      <w:r w:rsidR="009A45C2" w:rsidRPr="00DA0CC2">
        <w:t xml:space="preserve"> </w:t>
      </w:r>
      <w:r w:rsidR="009A45C2" w:rsidRPr="00DA0CC2">
        <w:rPr>
          <w:rFonts w:eastAsia="MS Mincho"/>
          <w:b/>
          <w:bCs/>
        </w:rPr>
        <w:br/>
      </w:r>
    </w:p>
    <w:p w14:paraId="3ABA6FE4" w14:textId="450DAA8B" w:rsidR="00423483" w:rsidRPr="00DA0CC2" w:rsidRDefault="00423483" w:rsidP="00423483">
      <w:pPr>
        <w:pStyle w:val="Heading2"/>
      </w:pPr>
      <w:bookmarkStart w:id="12" w:name="_Toc171044317"/>
      <w:r>
        <w:t>D</w:t>
      </w:r>
      <w:r w:rsidR="00941A60">
        <w:t>7</w:t>
      </w:r>
      <w:r w:rsidRPr="00DA0CC2">
        <w:t xml:space="preserve"> </w:t>
      </w:r>
      <w:r>
        <w:t>Global symptoms</w:t>
      </w:r>
      <w:bookmarkEnd w:id="12"/>
    </w:p>
    <w:p w14:paraId="1D634FE1" w14:textId="77777777" w:rsidR="00423483" w:rsidRPr="00DA0CC2" w:rsidRDefault="00423483" w:rsidP="00423483">
      <w:r w:rsidRPr="00DA0CC2">
        <w:t xml:space="preserve">Results presented in this section are for the subgroup analysis, sensitivity analyses, and analyses to examine the risk </w:t>
      </w:r>
      <w:r>
        <w:t xml:space="preserve">of </w:t>
      </w:r>
      <w:r w:rsidRPr="00DA0CC2">
        <w:t xml:space="preserve">bias due to missing results.  </w:t>
      </w:r>
    </w:p>
    <w:p w14:paraId="33879C82" w14:textId="0EC46ABC" w:rsidR="00423483" w:rsidRPr="00EF1410" w:rsidRDefault="00423483" w:rsidP="00423483">
      <w:r w:rsidRPr="00EF1410">
        <w:t xml:space="preserve">For the outcome global </w:t>
      </w:r>
      <w:r w:rsidRPr="00716126">
        <w:t xml:space="preserve">symptoms, </w:t>
      </w:r>
      <w:r w:rsidR="00EF1410" w:rsidRPr="00716126">
        <w:t>18</w:t>
      </w:r>
      <w:r w:rsidRPr="00716126">
        <w:t xml:space="preserve"> studies were included in the meta-analysis for the comparison of reflexology to an </w:t>
      </w:r>
      <w:r w:rsidR="00EF1410" w:rsidRPr="00716126">
        <w:t>inactive control (usual care, no intervention, sham, co-intervention given in both groups)</w:t>
      </w:r>
      <w:r w:rsidRPr="00716126">
        <w:t>.</w:t>
      </w:r>
    </w:p>
    <w:p w14:paraId="30F82160" w14:textId="77777777" w:rsidR="00691D57" w:rsidRPr="00DA0CC2" w:rsidRDefault="00691D57" w:rsidP="00691D57">
      <w:pPr>
        <w:pStyle w:val="Heading4"/>
      </w:pPr>
      <w:r w:rsidRPr="00DA0CC2">
        <w:t>Results of subgroup analys</w:t>
      </w:r>
      <w:r>
        <w:t>i</w:t>
      </w:r>
      <w:r w:rsidRPr="00DA0CC2">
        <w:t>s</w:t>
      </w:r>
      <w:r>
        <w:t xml:space="preserve"> by population group</w:t>
      </w:r>
    </w:p>
    <w:p w14:paraId="3A2523C3" w14:textId="34104DEE" w:rsidR="00691D57" w:rsidRPr="00DA0CC2" w:rsidRDefault="00691D57" w:rsidP="00691D57">
      <w:r>
        <w:t>A</w:t>
      </w:r>
      <w:r w:rsidRPr="00DA0CC2">
        <w:t xml:space="preserve"> subgroup analys</w:t>
      </w:r>
      <w:r>
        <w:t>i</w:t>
      </w:r>
      <w:r w:rsidRPr="00DA0CC2">
        <w:t>s w</w:t>
      </w:r>
      <w:r>
        <w:t>as</w:t>
      </w:r>
      <w:r w:rsidRPr="00DA0CC2">
        <w:t xml:space="preserve"> performed to investigate whether </w:t>
      </w:r>
      <w:r>
        <w:t xml:space="preserve">there were differences in the effects between population </w:t>
      </w:r>
      <w:r w:rsidRPr="00716126">
        <w:t xml:space="preserve">groups (i.e. </w:t>
      </w:r>
      <w:r w:rsidR="00716126" w:rsidRPr="00716126">
        <w:t>cancer and advanced disease, other chronic conditions, chronic respiratory conditions</w:t>
      </w:r>
      <w:r w:rsidRPr="00716126">
        <w:t>). Primarily, these</w:t>
      </w:r>
      <w:r>
        <w:t xml:space="preserve"> were planned to explore possible</w:t>
      </w:r>
      <w:r w:rsidRPr="00DA0CC2">
        <w:t xml:space="preserve"> explanation</w:t>
      </w:r>
      <w:r>
        <w:t>s</w:t>
      </w:r>
      <w:r w:rsidRPr="00DA0CC2">
        <w:t xml:space="preserve"> for </w:t>
      </w:r>
      <w:r>
        <w:t>any</w:t>
      </w:r>
      <w:r w:rsidRPr="00DA0CC2">
        <w:t xml:space="preserve"> inconsistent effects </w:t>
      </w:r>
      <w:r>
        <w:t>if</w:t>
      </w:r>
      <w:r w:rsidRPr="00DA0CC2">
        <w:t xml:space="preserve"> observed across studies (statistical heterogeneity). </w:t>
      </w:r>
    </w:p>
    <w:p w14:paraId="2A2E93B0" w14:textId="02D0C6C0" w:rsidR="00716126" w:rsidRPr="00B76ED3" w:rsidRDefault="00691D57" w:rsidP="00716126">
      <w:r w:rsidRPr="00DC7650">
        <w:rPr>
          <w:i/>
        </w:rPr>
        <w:t>Assessment of heterogeneity:</w:t>
      </w:r>
      <w:r w:rsidRPr="00DC7650">
        <w:t xml:space="preserve"> </w:t>
      </w:r>
      <w:r w:rsidR="00716126" w:rsidRPr="00B76ED3">
        <w:t xml:space="preserve">There are differences in the size of the estimated intervention effect across studies for this comparison and outcome that suggest inconsistent effects. </w:t>
      </w:r>
      <w:r w:rsidR="00716126">
        <w:t>E</w:t>
      </w:r>
      <w:r w:rsidR="00716126" w:rsidRPr="00B76ED3">
        <w:t xml:space="preserve">ffect </w:t>
      </w:r>
      <w:proofErr w:type="gramStart"/>
      <w:r w:rsidR="00716126" w:rsidRPr="00B76ED3">
        <w:t>estimate</w:t>
      </w:r>
      <w:proofErr w:type="gramEnd"/>
      <w:r w:rsidR="00716126" w:rsidRPr="00B76ED3">
        <w:t xml:space="preserve"> </w:t>
      </w:r>
      <w:r w:rsidR="00716126">
        <w:t>vary importantly with the majority of</w:t>
      </w:r>
      <w:r w:rsidR="00716126" w:rsidRPr="00B76ED3">
        <w:t xml:space="preserve"> studies </w:t>
      </w:r>
      <w:r w:rsidR="00716126">
        <w:t xml:space="preserve">showing an effect </w:t>
      </w:r>
      <w:r w:rsidR="00716126" w:rsidRPr="00B76ED3">
        <w:t xml:space="preserve">above the threshold for an important improvement in </w:t>
      </w:r>
      <w:r w:rsidR="00716126">
        <w:t>global symptoms</w:t>
      </w:r>
      <w:r w:rsidR="00716126" w:rsidRPr="00B76ED3">
        <w:t xml:space="preserve"> (i.e. an SMD </w:t>
      </w:r>
      <w:r w:rsidR="00716126">
        <w:t>&lt; -</w:t>
      </w:r>
      <w:r w:rsidR="00716126" w:rsidRPr="00B76ED3">
        <w:t xml:space="preserve"> 0.2), </w:t>
      </w:r>
      <w:r w:rsidR="00716126">
        <w:t>while the other</w:t>
      </w:r>
      <w:r w:rsidR="00716126" w:rsidRPr="00B76ED3">
        <w:t xml:space="preserve"> studies in the analysis showed trivial effects (an SMD between -0.2 and 0.2). As such, the observed inconsistency is considered serious for the overall analysis and requires explanation to understand the factors that may influence whether reflexology has a beneficial or trivial effect. </w:t>
      </w:r>
    </w:p>
    <w:p w14:paraId="649CC697" w14:textId="7398481F" w:rsidR="00691D57" w:rsidRPr="00DC7650" w:rsidRDefault="00716126" w:rsidP="00996ABB">
      <w:pPr>
        <w:rPr>
          <w:b/>
          <w:bCs/>
          <w:i/>
          <w:iCs/>
        </w:rPr>
      </w:pPr>
      <w:r w:rsidRPr="00B76ED3">
        <w:t xml:space="preserve">The subgroup analyses </w:t>
      </w:r>
      <w:r>
        <w:t>suggested the population group may explain some of</w:t>
      </w:r>
      <w:r w:rsidRPr="00B76ED3">
        <w:t xml:space="preserve"> the observed differences across studies in the size of the observed effect (see Figure 4.</w:t>
      </w:r>
      <w:r>
        <w:t>8</w:t>
      </w:r>
      <w:r w:rsidRPr="00B76ED3">
        <w:t xml:space="preserve">.1). </w:t>
      </w:r>
      <w:r w:rsidRPr="00DA0CC2">
        <w:t xml:space="preserve">Results for this analysis are </w:t>
      </w:r>
      <w:r w:rsidRPr="00B26717">
        <w:t>presented in the main report (Section 4.</w:t>
      </w:r>
      <w:r>
        <w:t>8</w:t>
      </w:r>
      <w:r w:rsidRPr="00B26717">
        <w:t xml:space="preserve">, </w:t>
      </w:r>
      <w:r w:rsidRPr="00B26717">
        <w:lastRenderedPageBreak/>
        <w:t>Figure 4.</w:t>
      </w:r>
      <w:r>
        <w:t>8</w:t>
      </w:r>
      <w:r w:rsidRPr="00B26717">
        <w:t>.1). The test</w:t>
      </w:r>
      <w:r w:rsidRPr="00B76ED3">
        <w:t xml:space="preserve"> for subgroup differences was statistically significant (P = 0.</w:t>
      </w:r>
      <w:r>
        <w:t>014</w:t>
      </w:r>
      <w:r w:rsidRPr="00B76ED3">
        <w:t>)</w:t>
      </w:r>
      <w:r>
        <w:t xml:space="preserve"> which was most likely due to the very large effects observed in the ‘other chronic conditions’ subgroup.  However,</w:t>
      </w:r>
      <w:r w:rsidRPr="00B76ED3">
        <w:t xml:space="preserve"> </w:t>
      </w:r>
      <w:r w:rsidRPr="00F65DCF">
        <w:t xml:space="preserve">there was inconsistency in the effects observed across studies within </w:t>
      </w:r>
      <w:r>
        <w:t xml:space="preserve">the </w:t>
      </w:r>
      <w:r w:rsidRPr="00F65DCF">
        <w:t>population groups</w:t>
      </w:r>
      <w:r w:rsidR="00996ABB">
        <w:t xml:space="preserve"> (although not rated as serious)</w:t>
      </w:r>
      <w:r w:rsidRPr="00F65DCF">
        <w:t xml:space="preserve">. </w:t>
      </w:r>
    </w:p>
    <w:p w14:paraId="6D7B88C3" w14:textId="77777777" w:rsidR="00691D57" w:rsidRPr="00DA0CC2" w:rsidRDefault="00691D57" w:rsidP="00691D57">
      <w:pPr>
        <w:pStyle w:val="Heading4"/>
      </w:pPr>
      <w:r w:rsidRPr="00DA0CC2">
        <w:t>Results of sensitivity analyses</w:t>
      </w:r>
    </w:p>
    <w:p w14:paraId="373A8EFC" w14:textId="08F4A667" w:rsidR="00691D57" w:rsidRPr="00DA0CC2" w:rsidRDefault="00691D57" w:rsidP="00691D57">
      <w:r w:rsidRPr="00DF3635">
        <w:rPr>
          <w:b/>
        </w:rPr>
        <w:t>Table D</w:t>
      </w:r>
      <w:r w:rsidR="00205771" w:rsidRPr="00DF3635">
        <w:rPr>
          <w:b/>
        </w:rPr>
        <w:t>7</w:t>
      </w:r>
      <w:r w:rsidRPr="00DF3635">
        <w:rPr>
          <w:b/>
        </w:rPr>
        <w:t>.1</w:t>
      </w:r>
      <w:r w:rsidRPr="00DF3635">
        <w:t xml:space="preserve"> presents results for the original analysis (all studies, random effects model) and two sensitivity analyses. These sensitivity analyses investigate:</w:t>
      </w:r>
      <w:r w:rsidRPr="00DA0CC2">
        <w:t xml:space="preserve"> </w:t>
      </w:r>
    </w:p>
    <w:p w14:paraId="5C8C33FC" w14:textId="77777777" w:rsidR="00691D57" w:rsidRPr="00DA0CC2" w:rsidRDefault="00691D57" w:rsidP="002B5A15">
      <w:pPr>
        <w:pStyle w:val="ListParagraph"/>
        <w:numPr>
          <w:ilvl w:val="0"/>
          <w:numId w:val="59"/>
        </w:numPr>
      </w:pPr>
      <w:r w:rsidRPr="00DA0CC2">
        <w:t>whether the combined estimate is sensitive to the assumptions that were made to enable inclusion of results in the meta-analysis, specifically</w:t>
      </w:r>
      <w:r>
        <w:t xml:space="preserve"> </w:t>
      </w:r>
      <w:r w:rsidRPr="00DA0CC2">
        <w:t>transforming or imputing statistics, and including change scores (change from baseline) when post-intervention (final) values (and their standard deviations) were unavailable; and</w:t>
      </w:r>
    </w:p>
    <w:p w14:paraId="09B32D9B" w14:textId="77777777" w:rsidR="00691D57" w:rsidRPr="00DA0CC2" w:rsidRDefault="00691D57" w:rsidP="002B5A15">
      <w:pPr>
        <w:pStyle w:val="ListParagraph"/>
        <w:numPr>
          <w:ilvl w:val="0"/>
          <w:numId w:val="59"/>
        </w:numPr>
      </w:pPr>
      <w:r w:rsidRPr="00DA0CC2">
        <w:t>whether the combined effect differs when estimated from a fixed effect model, providing evidence of small study effects (which may be due to true differences in the effects in small studies or may suggest non-reporting bias).</w:t>
      </w:r>
      <w:r w:rsidRPr="00DA0CC2">
        <w:br/>
      </w:r>
    </w:p>
    <w:p w14:paraId="7CE26EFE" w14:textId="286C6376" w:rsidR="00423483" w:rsidRPr="00DF3635" w:rsidRDefault="00423483" w:rsidP="00423483">
      <w:r w:rsidRPr="00DF3635">
        <w:t xml:space="preserve">The combined estimate of effect was similar in the original analysis and the sensitivity analyses removing studies for which transforming </w:t>
      </w:r>
      <w:r w:rsidR="00DF3635" w:rsidRPr="00DF3635">
        <w:t>/</w:t>
      </w:r>
      <w:r w:rsidRPr="00DF3635">
        <w:t xml:space="preserve"> imputing statistics </w:t>
      </w:r>
      <w:r w:rsidR="00DF3635" w:rsidRPr="00DF3635">
        <w:t xml:space="preserve">or using change scores </w:t>
      </w:r>
      <w:r w:rsidRPr="00DF3635">
        <w:t xml:space="preserve">was necessary. This indicates that the result was robust to the assumptions required to include these results. </w:t>
      </w:r>
    </w:p>
    <w:p w14:paraId="15C90701" w14:textId="23AD20A1" w:rsidR="00423483" w:rsidRPr="00DA0CC2" w:rsidRDefault="00423483" w:rsidP="00423483">
      <w:pPr>
        <w:rPr>
          <w:b/>
          <w:color w:val="000000" w:themeColor="text1"/>
        </w:rPr>
      </w:pPr>
      <w:r w:rsidRPr="00DF3635">
        <w:rPr>
          <w:b/>
          <w:color w:val="000000" w:themeColor="text1"/>
        </w:rPr>
        <w:t>Table D</w:t>
      </w:r>
      <w:r w:rsidR="00205771" w:rsidRPr="00DF3635">
        <w:rPr>
          <w:b/>
          <w:color w:val="000000" w:themeColor="text1"/>
        </w:rPr>
        <w:t>7</w:t>
      </w:r>
      <w:r w:rsidRPr="00DF3635">
        <w:rPr>
          <w:b/>
          <w:color w:val="000000" w:themeColor="text1"/>
        </w:rPr>
        <w:t>.1. Sensitivity analyses for global symptoms outcome</w:t>
      </w:r>
    </w:p>
    <w:tbl>
      <w:tblPr>
        <w:tblStyle w:val="TableGrid"/>
        <w:tblW w:w="5000" w:type="pct"/>
        <w:tblLook w:val="04A0" w:firstRow="1" w:lastRow="0" w:firstColumn="1" w:lastColumn="0" w:noHBand="0" w:noVBand="1"/>
      </w:tblPr>
      <w:tblGrid>
        <w:gridCol w:w="1730"/>
        <w:gridCol w:w="2732"/>
        <w:gridCol w:w="653"/>
        <w:gridCol w:w="2155"/>
        <w:gridCol w:w="653"/>
        <w:gridCol w:w="2538"/>
      </w:tblGrid>
      <w:tr w:rsidR="00423483" w:rsidRPr="00DA0CC2" w14:paraId="15D52566" w14:textId="77777777" w:rsidTr="00393CE7">
        <w:tc>
          <w:tcPr>
            <w:tcW w:w="827" w:type="pct"/>
            <w:tcBorders>
              <w:top w:val="single" w:sz="4" w:space="0" w:color="auto"/>
              <w:bottom w:val="single" w:sz="4" w:space="0" w:color="auto"/>
            </w:tcBorders>
          </w:tcPr>
          <w:p w14:paraId="5C1E7E2A"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w:t>
            </w:r>
          </w:p>
        </w:tc>
        <w:tc>
          <w:tcPr>
            <w:tcW w:w="1306" w:type="pct"/>
            <w:tcBorders>
              <w:top w:val="single" w:sz="4" w:space="0" w:color="auto"/>
              <w:bottom w:val="single" w:sz="4" w:space="0" w:color="auto"/>
              <w:right w:val="single" w:sz="4" w:space="0" w:color="auto"/>
            </w:tcBorders>
          </w:tcPr>
          <w:p w14:paraId="18DAF211"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Purpose of sensitivity analysis</w:t>
            </w:r>
          </w:p>
        </w:tc>
        <w:tc>
          <w:tcPr>
            <w:tcW w:w="312" w:type="pct"/>
            <w:tcBorders>
              <w:top w:val="single" w:sz="4" w:space="0" w:color="auto"/>
              <w:left w:val="single" w:sz="4" w:space="0" w:color="auto"/>
              <w:bottom w:val="single" w:sz="4" w:space="0" w:color="auto"/>
            </w:tcBorders>
          </w:tcPr>
          <w:p w14:paraId="228543BB"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030" w:type="pct"/>
            <w:tcBorders>
              <w:top w:val="single" w:sz="4" w:space="0" w:color="auto"/>
              <w:left w:val="nil"/>
              <w:bottom w:val="single" w:sz="4" w:space="0" w:color="auto"/>
              <w:right w:val="single" w:sz="4" w:space="0" w:color="auto"/>
            </w:tcBorders>
          </w:tcPr>
          <w:p w14:paraId="6D841055"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Original effect (95% CI)</w:t>
            </w:r>
          </w:p>
        </w:tc>
        <w:tc>
          <w:tcPr>
            <w:tcW w:w="312" w:type="pct"/>
            <w:tcBorders>
              <w:top w:val="single" w:sz="4" w:space="0" w:color="auto"/>
              <w:left w:val="single" w:sz="4" w:space="0" w:color="auto"/>
              <w:bottom w:val="single" w:sz="4" w:space="0" w:color="auto"/>
            </w:tcBorders>
          </w:tcPr>
          <w:p w14:paraId="7E737DF1"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No trials</w:t>
            </w:r>
          </w:p>
        </w:tc>
        <w:tc>
          <w:tcPr>
            <w:tcW w:w="1213" w:type="pct"/>
            <w:tcBorders>
              <w:top w:val="single" w:sz="4" w:space="0" w:color="auto"/>
              <w:left w:val="nil"/>
              <w:bottom w:val="single" w:sz="4" w:space="0" w:color="auto"/>
              <w:right w:val="nil"/>
            </w:tcBorders>
          </w:tcPr>
          <w:p w14:paraId="2FB38A80"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Sensitivity analysis effect</w:t>
            </w:r>
          </w:p>
        </w:tc>
      </w:tr>
      <w:tr w:rsidR="00423483" w:rsidRPr="00DA0CC2" w14:paraId="1B395483" w14:textId="77777777" w:rsidTr="00393CE7">
        <w:tc>
          <w:tcPr>
            <w:tcW w:w="827" w:type="pct"/>
            <w:tcBorders>
              <w:top w:val="single" w:sz="4" w:space="0" w:color="D9D9D9" w:themeColor="background1" w:themeShade="D9"/>
              <w:bottom w:val="single" w:sz="4" w:space="0" w:color="D9D9D9" w:themeColor="background1" w:themeShade="D9"/>
            </w:tcBorders>
          </w:tcPr>
          <w:p w14:paraId="2D0865D0" w14:textId="18EE5EFA" w:rsidR="00423483" w:rsidRPr="00DA0CC2" w:rsidRDefault="00756ABE"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 xml:space="preserve">No imputation, transformations or change scores </w:t>
            </w:r>
            <w:r w:rsidR="00DF3635">
              <w:rPr>
                <w:rFonts w:asciiTheme="minorHAnsi" w:hAnsiTheme="minorHAnsi" w:cstheme="minorHAnsi"/>
                <w:color w:val="000000" w:themeColor="text1"/>
                <w:sz w:val="18"/>
                <w:szCs w:val="18"/>
                <w:vertAlign w:val="superscript"/>
              </w:rPr>
              <w:t>1</w:t>
            </w:r>
            <w:r w:rsidR="00423483" w:rsidRPr="00DA0CC2">
              <w:rPr>
                <w:rFonts w:asciiTheme="minorHAnsi" w:hAnsiTheme="minorHAnsi" w:cstheme="minorHAnsi"/>
                <w:color w:val="000000" w:themeColor="text1"/>
                <w:sz w:val="18"/>
                <w:szCs w:val="18"/>
              </w:rPr>
              <w:t xml:space="preserve"> </w:t>
            </w:r>
          </w:p>
        </w:tc>
        <w:tc>
          <w:tcPr>
            <w:tcW w:w="1306" w:type="pct"/>
            <w:tcBorders>
              <w:top w:val="single" w:sz="4" w:space="0" w:color="D9D9D9" w:themeColor="background1" w:themeShade="D9"/>
              <w:bottom w:val="single" w:sz="4" w:space="0" w:color="D9D9D9" w:themeColor="background1" w:themeShade="D9"/>
            </w:tcBorders>
          </w:tcPr>
          <w:p w14:paraId="3636B966"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robustness of MA effect</w:t>
            </w:r>
          </w:p>
        </w:tc>
        <w:tc>
          <w:tcPr>
            <w:tcW w:w="312" w:type="pct"/>
            <w:tcBorders>
              <w:top w:val="single" w:sz="4" w:space="0" w:color="D9D9D9" w:themeColor="background1" w:themeShade="D9"/>
              <w:bottom w:val="single" w:sz="4" w:space="0" w:color="D9D9D9" w:themeColor="background1" w:themeShade="D9"/>
            </w:tcBorders>
          </w:tcPr>
          <w:p w14:paraId="6C7359EA" w14:textId="52E30935" w:rsidR="00423483" w:rsidRPr="00DA0CC2" w:rsidRDefault="00522B6D" w:rsidP="00393CE7">
            <w:pPr>
              <w:spacing w:after="60"/>
              <w:rPr>
                <w:rFonts w:asciiTheme="minorHAnsi" w:hAnsiTheme="minorHAnsi" w:cstheme="minorHAnsi"/>
                <w:sz w:val="18"/>
                <w:szCs w:val="18"/>
              </w:rPr>
            </w:pPr>
            <w:r>
              <w:rPr>
                <w:rFonts w:asciiTheme="minorHAnsi" w:hAnsiTheme="minorHAnsi" w:cstheme="minorHAnsi"/>
                <w:sz w:val="18"/>
                <w:szCs w:val="18"/>
              </w:rPr>
              <w:t>18</w:t>
            </w:r>
          </w:p>
        </w:tc>
        <w:tc>
          <w:tcPr>
            <w:tcW w:w="1030" w:type="pct"/>
            <w:tcBorders>
              <w:top w:val="single" w:sz="4" w:space="0" w:color="D9D9D9" w:themeColor="background1" w:themeShade="D9"/>
              <w:bottom w:val="single" w:sz="4" w:space="0" w:color="D9D9D9" w:themeColor="background1" w:themeShade="D9"/>
            </w:tcBorders>
          </w:tcPr>
          <w:p w14:paraId="204D5A60" w14:textId="4B6E6373" w:rsidR="00423483" w:rsidRPr="00DA0CC2" w:rsidRDefault="00423483"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522B6D">
              <w:rPr>
                <w:rFonts w:asciiTheme="minorHAnsi" w:hAnsiTheme="minorHAnsi" w:cstheme="minorHAnsi"/>
                <w:sz w:val="18"/>
                <w:szCs w:val="18"/>
              </w:rPr>
              <w:t>-0.</w:t>
            </w:r>
            <w:r w:rsidR="000C4948">
              <w:rPr>
                <w:rFonts w:asciiTheme="minorHAnsi" w:hAnsiTheme="minorHAnsi" w:cstheme="minorHAnsi"/>
                <w:sz w:val="18"/>
                <w:szCs w:val="18"/>
              </w:rPr>
              <w:t>96</w:t>
            </w:r>
            <w:r w:rsidR="00522B6D">
              <w:rPr>
                <w:rFonts w:asciiTheme="minorHAnsi" w:hAnsiTheme="minorHAnsi" w:cstheme="minorHAnsi"/>
                <w:sz w:val="18"/>
                <w:szCs w:val="18"/>
              </w:rPr>
              <w:t xml:space="preserve"> </w:t>
            </w:r>
            <w:r w:rsidRPr="00DA0CC2">
              <w:rPr>
                <w:rFonts w:asciiTheme="minorHAnsi" w:hAnsiTheme="minorHAnsi" w:cstheme="minorHAnsi"/>
                <w:sz w:val="18"/>
                <w:szCs w:val="18"/>
              </w:rPr>
              <w:t>(</w:t>
            </w:r>
            <w:r w:rsidR="00522B6D">
              <w:rPr>
                <w:rFonts w:asciiTheme="minorHAnsi" w:hAnsiTheme="minorHAnsi" w:cstheme="minorHAnsi"/>
                <w:sz w:val="18"/>
                <w:szCs w:val="18"/>
              </w:rPr>
              <w:t>-</w:t>
            </w:r>
            <w:r w:rsidR="000C4948">
              <w:rPr>
                <w:rFonts w:asciiTheme="minorHAnsi" w:hAnsiTheme="minorHAnsi" w:cstheme="minorHAnsi"/>
                <w:sz w:val="18"/>
                <w:szCs w:val="18"/>
              </w:rPr>
              <w:t>1.37</w:t>
            </w:r>
            <w:r w:rsidR="00522B6D">
              <w:rPr>
                <w:rFonts w:asciiTheme="minorHAnsi" w:hAnsiTheme="minorHAnsi" w:cstheme="minorHAnsi"/>
                <w:sz w:val="18"/>
                <w:szCs w:val="18"/>
              </w:rPr>
              <w:t xml:space="preserve"> </w:t>
            </w:r>
            <w:r w:rsidRPr="00DA0CC2">
              <w:rPr>
                <w:rFonts w:asciiTheme="minorHAnsi" w:hAnsiTheme="minorHAnsi" w:cstheme="minorHAnsi"/>
                <w:sz w:val="18"/>
                <w:szCs w:val="18"/>
              </w:rPr>
              <w:t xml:space="preserve">to </w:t>
            </w:r>
            <w:r w:rsidRPr="00DA0CC2">
              <w:rPr>
                <w:rFonts w:asciiTheme="minorHAnsi" w:hAnsiTheme="minorHAnsi" w:cstheme="minorHAnsi"/>
                <w:sz w:val="18"/>
                <w:szCs w:val="18"/>
              </w:rPr>
              <w:br/>
            </w:r>
            <w:r w:rsidR="00522B6D">
              <w:rPr>
                <w:rFonts w:asciiTheme="minorHAnsi" w:hAnsiTheme="minorHAnsi" w:cstheme="minorHAnsi"/>
                <w:sz w:val="18"/>
                <w:szCs w:val="18"/>
              </w:rPr>
              <w:t>-0.</w:t>
            </w:r>
            <w:r w:rsidR="000C4948">
              <w:rPr>
                <w:rFonts w:asciiTheme="minorHAnsi" w:hAnsiTheme="minorHAnsi" w:cstheme="minorHAnsi"/>
                <w:sz w:val="18"/>
                <w:szCs w:val="18"/>
              </w:rPr>
              <w:t>55</w:t>
            </w:r>
            <w:r w:rsidRPr="00DA0CC2">
              <w:rPr>
                <w:rFonts w:asciiTheme="minorHAnsi" w:hAnsiTheme="minorHAnsi" w:cstheme="minorHAnsi"/>
                <w:sz w:val="18"/>
                <w:szCs w:val="18"/>
              </w:rPr>
              <w:t xml:space="preserve">); I2 = </w:t>
            </w:r>
            <w:r w:rsidR="000C4948">
              <w:rPr>
                <w:rFonts w:asciiTheme="minorHAnsi" w:hAnsiTheme="minorHAnsi" w:cstheme="minorHAnsi"/>
                <w:sz w:val="18"/>
                <w:szCs w:val="18"/>
              </w:rPr>
              <w:t>89</w:t>
            </w:r>
            <w:r w:rsidRPr="00DA0CC2">
              <w:rPr>
                <w:rFonts w:asciiTheme="minorHAnsi" w:hAnsiTheme="minorHAnsi" w:cstheme="minorHAnsi"/>
                <w:sz w:val="18"/>
                <w:szCs w:val="18"/>
              </w:rPr>
              <w:t>%</w:t>
            </w:r>
          </w:p>
        </w:tc>
        <w:tc>
          <w:tcPr>
            <w:tcW w:w="312" w:type="pct"/>
            <w:tcBorders>
              <w:top w:val="single" w:sz="4" w:space="0" w:color="D9D9D9" w:themeColor="background1" w:themeShade="D9"/>
              <w:bottom w:val="single" w:sz="4" w:space="0" w:color="D9D9D9" w:themeColor="background1" w:themeShade="D9"/>
            </w:tcBorders>
          </w:tcPr>
          <w:p w14:paraId="5290CBCC" w14:textId="28DBA053" w:rsidR="00423483" w:rsidRPr="00DA0CC2" w:rsidRDefault="00522B6D" w:rsidP="00393CE7">
            <w:pPr>
              <w:spacing w:after="60"/>
              <w:rPr>
                <w:rFonts w:asciiTheme="minorHAnsi" w:hAnsiTheme="minorHAnsi" w:cstheme="minorHAnsi"/>
                <w:sz w:val="18"/>
                <w:szCs w:val="18"/>
              </w:rPr>
            </w:pPr>
            <w:r>
              <w:rPr>
                <w:rFonts w:asciiTheme="minorHAnsi" w:hAnsiTheme="minorHAnsi" w:cstheme="minorHAnsi"/>
                <w:sz w:val="18"/>
                <w:szCs w:val="18"/>
              </w:rPr>
              <w:t>15</w:t>
            </w:r>
          </w:p>
        </w:tc>
        <w:tc>
          <w:tcPr>
            <w:tcW w:w="1213" w:type="pct"/>
            <w:tcBorders>
              <w:top w:val="single" w:sz="4" w:space="0" w:color="auto"/>
              <w:bottom w:val="single" w:sz="4" w:space="0" w:color="D9D9D9" w:themeColor="background1" w:themeShade="D9"/>
              <w:right w:val="nil"/>
            </w:tcBorders>
          </w:tcPr>
          <w:p w14:paraId="17E7306C" w14:textId="539827DA" w:rsidR="00423483" w:rsidRPr="00DA0CC2" w:rsidRDefault="00423483"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522B6D">
              <w:rPr>
                <w:rFonts w:asciiTheme="minorHAnsi" w:hAnsiTheme="minorHAnsi" w:cstheme="minorHAnsi"/>
                <w:sz w:val="18"/>
                <w:szCs w:val="18"/>
              </w:rPr>
              <w:t>-1.02</w:t>
            </w:r>
            <w:r w:rsidRPr="00DA0CC2">
              <w:rPr>
                <w:rFonts w:asciiTheme="minorHAnsi" w:hAnsiTheme="minorHAnsi" w:cstheme="minorHAnsi"/>
                <w:sz w:val="18"/>
                <w:szCs w:val="18"/>
              </w:rPr>
              <w:t xml:space="preserve"> (</w:t>
            </w:r>
            <w:r w:rsidR="00522B6D">
              <w:rPr>
                <w:rFonts w:asciiTheme="minorHAnsi" w:hAnsiTheme="minorHAnsi" w:cstheme="minorHAnsi"/>
                <w:sz w:val="18"/>
                <w:szCs w:val="18"/>
              </w:rPr>
              <w:t xml:space="preserve">-1.49 </w:t>
            </w:r>
            <w:r w:rsidRPr="00DA0CC2">
              <w:rPr>
                <w:rFonts w:asciiTheme="minorHAnsi" w:hAnsiTheme="minorHAnsi" w:cstheme="minorHAnsi"/>
                <w:sz w:val="18"/>
                <w:szCs w:val="18"/>
              </w:rPr>
              <w:t>to</w:t>
            </w:r>
            <w:r w:rsidR="00522B6D">
              <w:rPr>
                <w:rFonts w:asciiTheme="minorHAnsi" w:hAnsiTheme="minorHAnsi" w:cstheme="minorHAnsi"/>
                <w:sz w:val="18"/>
                <w:szCs w:val="18"/>
              </w:rPr>
              <w:t xml:space="preserve"> -0.55</w:t>
            </w:r>
            <w:r w:rsidRPr="00DA0CC2">
              <w:rPr>
                <w:rFonts w:asciiTheme="minorHAnsi" w:hAnsiTheme="minorHAnsi" w:cstheme="minorHAnsi"/>
                <w:sz w:val="18"/>
                <w:szCs w:val="18"/>
              </w:rPr>
              <w:t xml:space="preserve">); I2 = </w:t>
            </w:r>
            <w:r w:rsidR="00522B6D">
              <w:rPr>
                <w:rFonts w:asciiTheme="minorHAnsi" w:hAnsiTheme="minorHAnsi" w:cstheme="minorHAnsi"/>
                <w:sz w:val="18"/>
                <w:szCs w:val="18"/>
              </w:rPr>
              <w:t>89</w:t>
            </w:r>
            <w:r w:rsidRPr="00DA0CC2">
              <w:rPr>
                <w:rFonts w:asciiTheme="minorHAnsi" w:hAnsiTheme="minorHAnsi" w:cstheme="minorHAnsi"/>
                <w:sz w:val="18"/>
                <w:szCs w:val="18"/>
              </w:rPr>
              <w:t>%</w:t>
            </w:r>
          </w:p>
        </w:tc>
      </w:tr>
      <w:tr w:rsidR="00423483" w:rsidRPr="00DA0CC2" w14:paraId="628B37A3" w14:textId="77777777" w:rsidTr="00393CE7">
        <w:tc>
          <w:tcPr>
            <w:tcW w:w="827" w:type="pct"/>
            <w:tcBorders>
              <w:top w:val="single" w:sz="4" w:space="0" w:color="D9D9D9" w:themeColor="background1" w:themeShade="D9"/>
              <w:bottom w:val="single" w:sz="4" w:space="0" w:color="auto"/>
            </w:tcBorders>
          </w:tcPr>
          <w:p w14:paraId="412AD23B"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Fixed effect analysis</w:t>
            </w:r>
          </w:p>
        </w:tc>
        <w:tc>
          <w:tcPr>
            <w:tcW w:w="1306" w:type="pct"/>
            <w:tcBorders>
              <w:top w:val="single" w:sz="4" w:space="0" w:color="D9D9D9" w:themeColor="background1" w:themeShade="D9"/>
              <w:bottom w:val="single" w:sz="4" w:space="0" w:color="auto"/>
            </w:tcBorders>
          </w:tcPr>
          <w:p w14:paraId="22CFE8FE" w14:textId="77777777" w:rsidR="00423483" w:rsidRPr="00DA0CC2" w:rsidRDefault="00423483" w:rsidP="00393CE7">
            <w:pPr>
              <w:spacing w:after="60"/>
              <w:rPr>
                <w:rFonts w:asciiTheme="minorHAnsi" w:hAnsiTheme="minorHAnsi" w:cstheme="minorHAnsi"/>
                <w:color w:val="000000" w:themeColor="text1"/>
                <w:sz w:val="18"/>
                <w:szCs w:val="18"/>
              </w:rPr>
            </w:pPr>
            <w:r w:rsidRPr="00DA0CC2">
              <w:rPr>
                <w:rFonts w:asciiTheme="minorHAnsi" w:hAnsiTheme="minorHAnsi" w:cstheme="minorHAnsi"/>
                <w:color w:val="000000" w:themeColor="text1"/>
                <w:sz w:val="18"/>
                <w:szCs w:val="18"/>
              </w:rPr>
              <w:t>Investigate small study effects (bias due to missing results)</w:t>
            </w:r>
          </w:p>
        </w:tc>
        <w:tc>
          <w:tcPr>
            <w:tcW w:w="312" w:type="pct"/>
            <w:tcBorders>
              <w:top w:val="single" w:sz="4" w:space="0" w:color="D9D9D9" w:themeColor="background1" w:themeShade="D9"/>
              <w:bottom w:val="single" w:sz="4" w:space="0" w:color="auto"/>
            </w:tcBorders>
            <w:shd w:val="clear" w:color="auto" w:fill="F2F2F2" w:themeFill="background1" w:themeFillShade="F2"/>
          </w:tcPr>
          <w:p w14:paraId="1D2A1DA9" w14:textId="77777777" w:rsidR="00423483" w:rsidRPr="00DA0CC2" w:rsidRDefault="00423483" w:rsidP="00393CE7">
            <w:pPr>
              <w:spacing w:after="60"/>
              <w:rPr>
                <w:rFonts w:asciiTheme="minorHAnsi" w:hAnsiTheme="minorHAnsi" w:cstheme="minorHAnsi"/>
                <w:sz w:val="18"/>
                <w:szCs w:val="18"/>
              </w:rPr>
            </w:pPr>
          </w:p>
        </w:tc>
        <w:tc>
          <w:tcPr>
            <w:tcW w:w="1030" w:type="pct"/>
            <w:tcBorders>
              <w:top w:val="single" w:sz="4" w:space="0" w:color="D9D9D9" w:themeColor="background1" w:themeShade="D9"/>
              <w:bottom w:val="single" w:sz="4" w:space="0" w:color="auto"/>
            </w:tcBorders>
            <w:shd w:val="clear" w:color="auto" w:fill="F2F2F2" w:themeFill="background1" w:themeFillShade="F2"/>
          </w:tcPr>
          <w:p w14:paraId="73C09783" w14:textId="77777777" w:rsidR="00423483" w:rsidRPr="00DA0CC2" w:rsidRDefault="00423483" w:rsidP="00393CE7">
            <w:pPr>
              <w:spacing w:after="60"/>
              <w:rPr>
                <w:rFonts w:asciiTheme="minorHAnsi" w:hAnsiTheme="minorHAnsi" w:cstheme="minorHAnsi"/>
                <w:sz w:val="18"/>
                <w:szCs w:val="18"/>
              </w:rPr>
            </w:pPr>
          </w:p>
        </w:tc>
        <w:tc>
          <w:tcPr>
            <w:tcW w:w="312" w:type="pct"/>
            <w:tcBorders>
              <w:top w:val="single" w:sz="4" w:space="0" w:color="D9D9D9" w:themeColor="background1" w:themeShade="D9"/>
              <w:bottom w:val="single" w:sz="4" w:space="0" w:color="auto"/>
            </w:tcBorders>
          </w:tcPr>
          <w:p w14:paraId="3E81627E" w14:textId="77777777" w:rsidR="00423483" w:rsidRPr="00DA0CC2" w:rsidRDefault="00423483" w:rsidP="00393CE7">
            <w:pPr>
              <w:spacing w:after="60"/>
              <w:rPr>
                <w:rFonts w:asciiTheme="minorHAnsi" w:hAnsiTheme="minorHAnsi" w:cstheme="minorHAnsi"/>
                <w:sz w:val="18"/>
                <w:szCs w:val="18"/>
              </w:rPr>
            </w:pPr>
          </w:p>
        </w:tc>
        <w:tc>
          <w:tcPr>
            <w:tcW w:w="1213" w:type="pct"/>
            <w:tcBorders>
              <w:top w:val="single" w:sz="4" w:space="0" w:color="D9D9D9" w:themeColor="background1" w:themeShade="D9"/>
              <w:bottom w:val="single" w:sz="4" w:space="0" w:color="auto"/>
              <w:right w:val="nil"/>
            </w:tcBorders>
          </w:tcPr>
          <w:p w14:paraId="04AC56D1" w14:textId="418F3A65" w:rsidR="00423483" w:rsidRPr="00DA0CC2" w:rsidRDefault="00423483" w:rsidP="00393CE7">
            <w:pPr>
              <w:spacing w:after="60"/>
              <w:rPr>
                <w:rFonts w:asciiTheme="minorHAnsi" w:hAnsiTheme="minorHAnsi" w:cstheme="minorHAnsi"/>
                <w:sz w:val="18"/>
                <w:szCs w:val="18"/>
              </w:rPr>
            </w:pPr>
            <w:r w:rsidRPr="00DA0CC2">
              <w:rPr>
                <w:rFonts w:asciiTheme="minorHAnsi" w:hAnsiTheme="minorHAnsi" w:cstheme="minorHAnsi"/>
                <w:sz w:val="18"/>
                <w:szCs w:val="18"/>
              </w:rPr>
              <w:t xml:space="preserve">SMD </w:t>
            </w:r>
            <w:r w:rsidR="000C4948">
              <w:rPr>
                <w:rFonts w:asciiTheme="minorHAnsi" w:hAnsiTheme="minorHAnsi" w:cstheme="minorHAnsi"/>
                <w:sz w:val="18"/>
                <w:szCs w:val="18"/>
              </w:rPr>
              <w:t xml:space="preserve">-0.73 </w:t>
            </w:r>
            <w:r w:rsidRPr="00DA0CC2">
              <w:rPr>
                <w:rFonts w:asciiTheme="minorHAnsi" w:hAnsiTheme="minorHAnsi" w:cstheme="minorHAnsi"/>
                <w:sz w:val="18"/>
                <w:szCs w:val="18"/>
              </w:rPr>
              <w:t>(</w:t>
            </w:r>
            <w:r w:rsidR="000C4948">
              <w:rPr>
                <w:rFonts w:asciiTheme="minorHAnsi" w:hAnsiTheme="minorHAnsi" w:cstheme="minorHAnsi"/>
                <w:sz w:val="18"/>
                <w:szCs w:val="18"/>
              </w:rPr>
              <w:t>-0.86</w:t>
            </w:r>
            <w:r>
              <w:rPr>
                <w:rFonts w:asciiTheme="minorHAnsi" w:hAnsiTheme="minorHAnsi" w:cstheme="minorHAnsi"/>
                <w:sz w:val="18"/>
                <w:szCs w:val="18"/>
              </w:rPr>
              <w:t xml:space="preserve"> </w:t>
            </w:r>
            <w:r w:rsidRPr="00DA0CC2">
              <w:rPr>
                <w:rFonts w:asciiTheme="minorHAnsi" w:hAnsiTheme="minorHAnsi" w:cstheme="minorHAnsi"/>
                <w:sz w:val="18"/>
                <w:szCs w:val="18"/>
              </w:rPr>
              <w:t>to</w:t>
            </w:r>
            <w:r w:rsidR="000C4948">
              <w:rPr>
                <w:rFonts w:asciiTheme="minorHAnsi" w:hAnsiTheme="minorHAnsi" w:cstheme="minorHAnsi"/>
                <w:sz w:val="18"/>
                <w:szCs w:val="18"/>
              </w:rPr>
              <w:t xml:space="preserve"> -0.61</w:t>
            </w:r>
            <w:r w:rsidRPr="00DA0CC2">
              <w:rPr>
                <w:rFonts w:asciiTheme="minorHAnsi" w:hAnsiTheme="minorHAnsi" w:cstheme="minorHAnsi"/>
                <w:sz w:val="18"/>
                <w:szCs w:val="18"/>
              </w:rPr>
              <w:t xml:space="preserve">); I2 = </w:t>
            </w:r>
            <w:r w:rsidR="000C4948">
              <w:rPr>
                <w:rFonts w:asciiTheme="minorHAnsi" w:hAnsiTheme="minorHAnsi" w:cstheme="minorHAnsi"/>
                <w:sz w:val="18"/>
                <w:szCs w:val="18"/>
              </w:rPr>
              <w:t>88</w:t>
            </w:r>
            <w:r w:rsidRPr="00DA0CC2">
              <w:rPr>
                <w:rFonts w:asciiTheme="minorHAnsi" w:hAnsiTheme="minorHAnsi" w:cstheme="minorHAnsi"/>
                <w:sz w:val="18"/>
                <w:szCs w:val="18"/>
              </w:rPr>
              <w:t>%</w:t>
            </w:r>
          </w:p>
        </w:tc>
      </w:tr>
    </w:tbl>
    <w:p w14:paraId="319992E9" w14:textId="2BA51F5B" w:rsidR="00423483" w:rsidRPr="00DF3635" w:rsidRDefault="00423483" w:rsidP="00423483">
      <w:pPr>
        <w:spacing w:after="60"/>
        <w:rPr>
          <w:sz w:val="18"/>
        </w:rPr>
      </w:pPr>
      <w:r>
        <w:rPr>
          <w:sz w:val="22"/>
          <w:vertAlign w:val="superscript"/>
        </w:rPr>
        <w:t>1</w:t>
      </w:r>
      <w:r w:rsidRPr="00DA0CC2">
        <w:rPr>
          <w:sz w:val="18"/>
        </w:rPr>
        <w:t xml:space="preserve"> This analysis was limited to trials that (a) reported </w:t>
      </w:r>
      <w:proofErr w:type="spellStart"/>
      <w:r w:rsidRPr="00DA0CC2">
        <w:rPr>
          <w:sz w:val="18"/>
        </w:rPr>
        <w:t>i</w:t>
      </w:r>
      <w:proofErr w:type="spellEnd"/>
      <w:r w:rsidRPr="00DA0CC2">
        <w:rPr>
          <w:sz w:val="18"/>
        </w:rPr>
        <w:t xml:space="preserve">) means and standard deviations, ii) means and standard errors, or iii) mean differences and their confidence intervals, </w:t>
      </w:r>
      <w:r w:rsidRPr="00DA0CC2">
        <w:rPr>
          <w:sz w:val="18"/>
          <w:szCs w:val="18"/>
        </w:rPr>
        <w:t>and (b) had post-intervention (final) values available.</w:t>
      </w:r>
    </w:p>
    <w:p w14:paraId="6BA5D4C6" w14:textId="77777777" w:rsidR="00423483" w:rsidRPr="00DA0CC2" w:rsidRDefault="00423483" w:rsidP="00423483">
      <w:pPr>
        <w:spacing w:after="60"/>
        <w:rPr>
          <w:sz w:val="18"/>
          <w:szCs w:val="18"/>
        </w:rPr>
      </w:pPr>
      <w:r w:rsidRPr="00DA0CC2">
        <w:rPr>
          <w:i/>
          <w:sz w:val="18"/>
          <w:szCs w:val="18"/>
        </w:rPr>
        <w:t>Abbreviations</w:t>
      </w:r>
      <w:r w:rsidRPr="00DA0CC2">
        <w:rPr>
          <w:sz w:val="18"/>
          <w:szCs w:val="18"/>
        </w:rPr>
        <w:t>. MA = meta-analysis; SMD = standardised mean difference; CI = confidence interval</w:t>
      </w:r>
    </w:p>
    <w:p w14:paraId="53E0B1DB" w14:textId="77777777" w:rsidR="00423483" w:rsidRPr="00DA0CC2" w:rsidRDefault="00423483" w:rsidP="00423483">
      <w:pPr>
        <w:pStyle w:val="Heading4"/>
      </w:pPr>
      <w:r w:rsidRPr="00DA0CC2">
        <w:br/>
        <w:t>Bias due to missing results from the meta-analysis</w:t>
      </w:r>
    </w:p>
    <w:p w14:paraId="6E13F732" w14:textId="2314D4D7" w:rsidR="00F215B3" w:rsidRPr="00F215B3" w:rsidRDefault="00F215B3" w:rsidP="00423483">
      <w:r w:rsidRPr="00F215B3">
        <w:t>T</w:t>
      </w:r>
      <w:r w:rsidR="00423483" w:rsidRPr="00F215B3">
        <w:t xml:space="preserve">he combined effect estimated from the fixed effect model (SMD </w:t>
      </w:r>
      <w:r w:rsidRPr="00F215B3">
        <w:t>-</w:t>
      </w:r>
      <w:r w:rsidR="00423483" w:rsidRPr="00F215B3">
        <w:t>0.</w:t>
      </w:r>
      <w:r w:rsidRPr="00F215B3">
        <w:t>73</w:t>
      </w:r>
      <w:r w:rsidR="00423483" w:rsidRPr="00F215B3">
        <w:t xml:space="preserve">) was smaller than from the random effects model (SMD </w:t>
      </w:r>
      <w:r w:rsidRPr="00F215B3">
        <w:t>-0.96</w:t>
      </w:r>
      <w:r w:rsidR="00423483" w:rsidRPr="00F215B3">
        <w:t xml:space="preserve">) (Table D7.1), </w:t>
      </w:r>
      <w:r w:rsidR="00DC29CA">
        <w:t xml:space="preserve">which </w:t>
      </w:r>
      <w:r w:rsidR="00DC29CA" w:rsidRPr="00E06532">
        <w:t>may suggest small study effects arising from selective non-reporting of unfavourable results</w:t>
      </w:r>
      <w:r w:rsidR="00423483" w:rsidRPr="00F215B3">
        <w:t>. The contour-enhanced funnel plot in Figure D7.</w:t>
      </w:r>
      <w:r w:rsidRPr="00F215B3">
        <w:t>1</w:t>
      </w:r>
      <w:r w:rsidR="00423483" w:rsidRPr="00F215B3">
        <w:t xml:space="preserve"> suggests that there could be missing studies which show effects favouring the control (i.e. the plot is asymmetric, missing studies to the left of the line of no effect (SMD 0) where we would expect results for some small studies, most notably in the darker grey shaded areas where nonsignificant results appear). </w:t>
      </w:r>
    </w:p>
    <w:p w14:paraId="5671FD76" w14:textId="77777777" w:rsidR="00F215B3" w:rsidRPr="00F215B3" w:rsidRDefault="00F215B3">
      <w:pPr>
        <w:spacing w:after="0"/>
      </w:pPr>
      <w:r w:rsidRPr="00F215B3">
        <w:br w:type="page"/>
      </w:r>
    </w:p>
    <w:p w14:paraId="10D3AC8F" w14:textId="77777777" w:rsidR="00423483" w:rsidRPr="00423483" w:rsidRDefault="00423483" w:rsidP="00423483">
      <w:pPr>
        <w:rPr>
          <w:color w:val="4472C4" w:themeColor="accent5"/>
        </w:rPr>
      </w:pPr>
    </w:p>
    <w:p w14:paraId="0EFF34CD" w14:textId="734B6728" w:rsidR="00423483" w:rsidRDefault="00423483" w:rsidP="00423483">
      <w:pPr>
        <w:rPr>
          <w:noProof/>
        </w:rPr>
      </w:pPr>
      <w:r w:rsidRPr="00DA0CC2">
        <w:rPr>
          <w:noProof/>
        </w:rPr>
        <w:drawing>
          <wp:inline distT="0" distB="0" distL="0" distR="0" wp14:anchorId="49D28200" wp14:editId="5BEF476C">
            <wp:extent cx="3856382" cy="4449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ta_funnel_dom_4_comp_1_contour_no_funnel.png"/>
                    <pic:cNvPicPr/>
                  </pic:nvPicPr>
                  <pic:blipFill rotWithShape="1">
                    <a:blip r:embed="rId17"/>
                    <a:srcRect t="79670" b="4467"/>
                    <a:stretch/>
                  </pic:blipFill>
                  <pic:spPr bwMode="auto">
                    <a:xfrm>
                      <a:off x="0" y="0"/>
                      <a:ext cx="3978554" cy="459069"/>
                    </a:xfrm>
                    <a:prstGeom prst="rect">
                      <a:avLst/>
                    </a:prstGeom>
                    <a:ln>
                      <a:noFill/>
                    </a:ln>
                    <a:extLst>
                      <a:ext uri="{53640926-AAD7-44D8-BBD7-CCE9431645EC}">
                        <a14:shadowObscured xmlns:a14="http://schemas.microsoft.com/office/drawing/2010/main"/>
                      </a:ext>
                    </a:extLst>
                  </pic:spPr>
                </pic:pic>
              </a:graphicData>
            </a:graphic>
          </wp:inline>
        </w:drawing>
      </w:r>
    </w:p>
    <w:p w14:paraId="5208518B" w14:textId="2EC16025" w:rsidR="009A45C2" w:rsidRPr="00DA0CC2" w:rsidRDefault="00C34722" w:rsidP="00423483">
      <w:pPr>
        <w:rPr>
          <w:rFonts w:eastAsia="MS Mincho"/>
          <w:b/>
          <w:bCs/>
        </w:rPr>
      </w:pPr>
      <w:r>
        <w:rPr>
          <w:noProof/>
          <w:color w:val="0070C0"/>
        </w:rPr>
        <mc:AlternateContent>
          <mc:Choice Requires="wps">
            <w:drawing>
              <wp:anchor distT="0" distB="0" distL="114300" distR="114300" simplePos="0" relativeHeight="251658246" behindDoc="0" locked="0" layoutInCell="1" allowOverlap="1" wp14:anchorId="4257C1FE" wp14:editId="029840A5">
                <wp:simplePos x="0" y="0"/>
                <wp:positionH relativeFrom="column">
                  <wp:posOffset>2157984</wp:posOffset>
                </wp:positionH>
                <wp:positionV relativeFrom="paragraph">
                  <wp:posOffset>342265</wp:posOffset>
                </wp:positionV>
                <wp:extent cx="2809037" cy="146304"/>
                <wp:effectExtent l="0" t="0" r="0" b="6350"/>
                <wp:wrapNone/>
                <wp:docPr id="22" name="Rectangle 22"/>
                <wp:cNvGraphicFramePr/>
                <a:graphic xmlns:a="http://schemas.openxmlformats.org/drawingml/2006/main">
                  <a:graphicData uri="http://schemas.microsoft.com/office/word/2010/wordprocessingShape">
                    <wps:wsp>
                      <wps:cNvSpPr/>
                      <wps:spPr>
                        <a:xfrm>
                          <a:off x="0" y="0"/>
                          <a:ext cx="2809037" cy="146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90E6D" id="Rectangle 22" o:spid="_x0000_s1026" style="position:absolute;margin-left:169.9pt;margin-top:26.95pt;width:221.2pt;height:1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" fillcolor="white [3212]" stroked="f" strokeweight="1pt"/>
            </w:pict>
          </mc:Fallback>
        </mc:AlternateContent>
      </w:r>
      <w:r w:rsidR="008E6F10">
        <w:rPr>
          <w:b/>
          <w:bCs/>
          <w:noProof/>
        </w:rPr>
        <w:drawing>
          <wp:inline distT="0" distB="0" distL="0" distR="0" wp14:anchorId="26F2451C" wp14:editId="1C599930">
            <wp:extent cx="6645910" cy="37782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ta_funnel_dom_2_comp_1_contour_no_funnel.png"/>
                    <pic:cNvPicPr/>
                  </pic:nvPicPr>
                  <pic:blipFill rotWithShape="1">
                    <a:blip r:embed="rId23"/>
                    <a:srcRect b="21875"/>
                    <a:stretch/>
                  </pic:blipFill>
                  <pic:spPr bwMode="auto">
                    <a:xfrm>
                      <a:off x="0" y="0"/>
                      <a:ext cx="6645910" cy="3778250"/>
                    </a:xfrm>
                    <a:prstGeom prst="rect">
                      <a:avLst/>
                    </a:prstGeom>
                    <a:ln>
                      <a:noFill/>
                    </a:ln>
                    <a:extLst>
                      <a:ext uri="{53640926-AAD7-44D8-BBD7-CCE9431645EC}">
                        <a14:shadowObscured xmlns:a14="http://schemas.microsoft.com/office/drawing/2010/main"/>
                      </a:ext>
                    </a:extLst>
                  </pic:spPr>
                </pic:pic>
              </a:graphicData>
            </a:graphic>
          </wp:inline>
        </w:drawing>
      </w:r>
      <w:r w:rsidR="00423483" w:rsidRPr="00DA0CC2">
        <w:rPr>
          <w:b/>
          <w:bCs/>
        </w:rPr>
        <w:t xml:space="preserve">Fig </w:t>
      </w:r>
      <w:r w:rsidR="00423483">
        <w:rPr>
          <w:b/>
          <w:bCs/>
        </w:rPr>
        <w:t>D</w:t>
      </w:r>
      <w:r w:rsidR="00423483" w:rsidRPr="00DA0CC2">
        <w:rPr>
          <w:b/>
          <w:bCs/>
        </w:rPr>
        <w:t>7.</w:t>
      </w:r>
      <w:r w:rsidR="00C02455">
        <w:rPr>
          <w:b/>
          <w:bCs/>
        </w:rPr>
        <w:t>1</w:t>
      </w:r>
      <w:r w:rsidR="00423483" w:rsidRPr="00DA0CC2">
        <w:t xml:space="preserve"> | Contour enhanced funnel plot of estimates of SMD versus their standard errors for </w:t>
      </w:r>
      <w:r w:rsidR="00C02455">
        <w:t>c</w:t>
      </w:r>
      <w:r w:rsidR="00423483" w:rsidRPr="00DA0CC2">
        <w:t xml:space="preserve">omparison </w:t>
      </w:r>
      <w:r w:rsidR="00C02455">
        <w:t>of</w:t>
      </w:r>
      <w:r w:rsidR="00423483" w:rsidRPr="00DA0CC2">
        <w:t xml:space="preserve"> the effect of </w:t>
      </w:r>
      <w:r w:rsidR="00C02455" w:rsidRPr="00716126">
        <w:t xml:space="preserve">reflexology </w:t>
      </w:r>
      <w:r w:rsidR="00C02455">
        <w:t>versus</w:t>
      </w:r>
      <w:r w:rsidR="00C02455" w:rsidRPr="00716126">
        <w:t xml:space="preserve"> an inactive control (usual care, no intervention, sham, co-intervention given in both groups)</w:t>
      </w:r>
      <w:r w:rsidR="00423483" w:rsidRPr="00DA0CC2">
        <w:t xml:space="preserve"> on physical function. Shaded regions represent different categories of conventional milestone levels of statistical significance. SMD = standardised mean difference. Blue line shows the combined estimate from random effects model.</w:t>
      </w:r>
    </w:p>
    <w:p w14:paraId="592E7A9B" w14:textId="77777777" w:rsidR="00540424" w:rsidRPr="00DA0CC2" w:rsidRDefault="00540424" w:rsidP="009A45C2">
      <w:pPr>
        <w:sectPr w:rsidR="00540424" w:rsidRPr="00DA0CC2" w:rsidSect="006F1F3C">
          <w:headerReference w:type="default" r:id="rId24"/>
          <w:pgSz w:w="11906" w:h="16838" w:code="9"/>
          <w:pgMar w:top="720" w:right="720" w:bottom="720" w:left="720" w:header="283" w:footer="624" w:gutter="0"/>
          <w:cols w:space="708"/>
          <w:docGrid w:linePitch="360"/>
        </w:sectPr>
      </w:pPr>
    </w:p>
    <w:p w14:paraId="67225F8D" w14:textId="75377C56" w:rsidR="00540424" w:rsidRPr="00DA0CC2" w:rsidRDefault="0029188C" w:rsidP="00540424">
      <w:pPr>
        <w:pStyle w:val="Heading2"/>
      </w:pPr>
      <w:bookmarkStart w:id="13" w:name="_Toc171044318"/>
      <w:r>
        <w:lastRenderedPageBreak/>
        <w:t>D</w:t>
      </w:r>
      <w:r w:rsidR="00540424" w:rsidRPr="00DA0CC2">
        <w:t>8 References to included studies</w:t>
      </w:r>
      <w:bookmarkEnd w:id="13"/>
    </w:p>
    <w:p w14:paraId="65699F12" w14:textId="5C77953F" w:rsidR="00540424" w:rsidRDefault="00540424" w:rsidP="00423483">
      <w:pPr>
        <w:rPr>
          <w:b/>
          <w:color w:val="002D64"/>
        </w:rPr>
      </w:pPr>
      <w:r w:rsidRPr="00DA0CC2">
        <w:t>If multiple reports, the first citation is the index paper</w:t>
      </w:r>
    </w:p>
    <w:tbl>
      <w:tblPr>
        <w:tblW w:w="9527" w:type="dxa"/>
        <w:tblLook w:val="04A0" w:firstRow="1" w:lastRow="0" w:firstColumn="1" w:lastColumn="0" w:noHBand="0" w:noVBand="1"/>
      </w:tblPr>
      <w:tblGrid>
        <w:gridCol w:w="2156"/>
        <w:gridCol w:w="7371"/>
      </w:tblGrid>
      <w:tr w:rsidR="00C37F09" w:rsidRPr="00A52C6D" w14:paraId="2DABEC58" w14:textId="77777777" w:rsidTr="00B76ED3">
        <w:trPr>
          <w:trHeight w:val="1200"/>
        </w:trPr>
        <w:tc>
          <w:tcPr>
            <w:tcW w:w="2156" w:type="dxa"/>
            <w:shd w:val="clear" w:color="auto" w:fill="auto"/>
            <w:noWrap/>
            <w:hideMark/>
          </w:tcPr>
          <w:p w14:paraId="58B8348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Abedini 2022</w:t>
            </w:r>
          </w:p>
        </w:tc>
        <w:tc>
          <w:tcPr>
            <w:tcW w:w="7371" w:type="dxa"/>
            <w:shd w:val="clear" w:color="auto" w:fill="auto"/>
            <w:hideMark/>
          </w:tcPr>
          <w:p w14:paraId="2DC30537" w14:textId="0111F731"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Abedini, B.; </w:t>
            </w:r>
            <w:proofErr w:type="spellStart"/>
            <w:r w:rsidRPr="00A52C6D">
              <w:rPr>
                <w:rFonts w:eastAsia="Times New Roman" w:cs="Calibri"/>
                <w:color w:val="000000"/>
                <w:sz w:val="20"/>
                <w:szCs w:val="20"/>
                <w:lang w:val="en-AU" w:eastAsia="en-AU"/>
              </w:rPr>
              <w:t>Ilkhani</w:t>
            </w:r>
            <w:proofErr w:type="spellEnd"/>
            <w:r w:rsidRPr="00A52C6D">
              <w:rPr>
                <w:rFonts w:eastAsia="Times New Roman" w:cs="Calibri"/>
                <w:color w:val="000000"/>
                <w:sz w:val="20"/>
                <w:szCs w:val="20"/>
                <w:lang w:val="en-AU" w:eastAsia="en-AU"/>
              </w:rPr>
              <w:t>, M.; Gholamzadeh, H.; Ameri, A.; Shakeri, N.; Abadi, A. M. Effect of Reflexology on the Quality of Sleep in Colorectal Cancer Patients: A Clinical Trial Study. Evidence Based Care Journal. 2022; 12(1) 31-39. https://dx.doi.org/10.22038/EBCJ.2022.61896.2607</w:t>
            </w:r>
          </w:p>
        </w:tc>
      </w:tr>
      <w:tr w:rsidR="00C37F09" w:rsidRPr="00A52C6D" w14:paraId="6085913B" w14:textId="77777777" w:rsidTr="00B76ED3">
        <w:trPr>
          <w:trHeight w:val="1200"/>
        </w:trPr>
        <w:tc>
          <w:tcPr>
            <w:tcW w:w="2156" w:type="dxa"/>
            <w:shd w:val="clear" w:color="auto" w:fill="auto"/>
            <w:noWrap/>
            <w:hideMark/>
          </w:tcPr>
          <w:p w14:paraId="3796ABE2"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 xml:space="preserve">Akkoz </w:t>
            </w:r>
            <w:proofErr w:type="spellStart"/>
            <w:r w:rsidRPr="00A52C6D">
              <w:rPr>
                <w:rFonts w:eastAsia="Times New Roman" w:cs="Calibri"/>
                <w:b/>
                <w:color w:val="002060"/>
                <w:sz w:val="20"/>
                <w:szCs w:val="20"/>
                <w:lang w:val="en-AU" w:eastAsia="en-AU"/>
              </w:rPr>
              <w:t>Cevik</w:t>
            </w:r>
            <w:proofErr w:type="spellEnd"/>
            <w:r w:rsidRPr="00A52C6D">
              <w:rPr>
                <w:rFonts w:eastAsia="Times New Roman" w:cs="Calibri"/>
                <w:b/>
                <w:color w:val="002060"/>
                <w:sz w:val="20"/>
                <w:szCs w:val="20"/>
                <w:lang w:val="en-AU" w:eastAsia="en-AU"/>
              </w:rPr>
              <w:t xml:space="preserve"> 2021</w:t>
            </w:r>
          </w:p>
        </w:tc>
        <w:tc>
          <w:tcPr>
            <w:tcW w:w="7371" w:type="dxa"/>
            <w:shd w:val="clear" w:color="auto" w:fill="auto"/>
            <w:hideMark/>
          </w:tcPr>
          <w:p w14:paraId="2A4CD49F" w14:textId="5BB4B893"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Akkoz </w:t>
            </w:r>
            <w:proofErr w:type="spellStart"/>
            <w:r w:rsidRPr="00A52C6D">
              <w:rPr>
                <w:rFonts w:eastAsia="Times New Roman" w:cs="Calibri"/>
                <w:color w:val="000000"/>
                <w:sz w:val="20"/>
                <w:szCs w:val="20"/>
                <w:lang w:val="en-AU" w:eastAsia="en-AU"/>
              </w:rPr>
              <w:t>Cevik</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Incedal</w:t>
            </w:r>
            <w:proofErr w:type="spellEnd"/>
            <w:r w:rsidRPr="00A52C6D">
              <w:rPr>
                <w:rFonts w:eastAsia="Times New Roman" w:cs="Calibri"/>
                <w:color w:val="000000"/>
                <w:sz w:val="20"/>
                <w:szCs w:val="20"/>
                <w:lang w:val="en-AU" w:eastAsia="en-AU"/>
              </w:rPr>
              <w:t xml:space="preserve">, I. The effect of reflexology on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pain, anxiety,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duration, and birth satisfaction in primiparous pregnant women: a randomized controlled trial. Health Care for Women International. 2021; 42(45081) 710-725. https://dx.doi.org/10.1080/07399332.2020.1800014</w:t>
            </w:r>
          </w:p>
        </w:tc>
      </w:tr>
      <w:tr w:rsidR="00C37F09" w:rsidRPr="00A52C6D" w14:paraId="34B0AC17" w14:textId="77777777" w:rsidTr="00B76ED3">
        <w:trPr>
          <w:trHeight w:val="1200"/>
        </w:trPr>
        <w:tc>
          <w:tcPr>
            <w:tcW w:w="2156" w:type="dxa"/>
            <w:shd w:val="clear" w:color="auto" w:fill="auto"/>
            <w:noWrap/>
            <w:hideMark/>
          </w:tcPr>
          <w:p w14:paraId="7F216A7B"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Aliashraf</w:t>
            </w:r>
            <w:proofErr w:type="spellEnd"/>
            <w:r w:rsidRPr="00A52C6D">
              <w:rPr>
                <w:rFonts w:eastAsia="Times New Roman" w:cs="Calibri"/>
                <w:b/>
                <w:color w:val="002060"/>
                <w:sz w:val="20"/>
                <w:szCs w:val="20"/>
                <w:lang w:val="en-AU" w:eastAsia="en-AU"/>
              </w:rPr>
              <w:t xml:space="preserve"> </w:t>
            </w:r>
            <w:proofErr w:type="spellStart"/>
            <w:r w:rsidRPr="00A52C6D">
              <w:rPr>
                <w:rFonts w:eastAsia="Times New Roman" w:cs="Calibri"/>
                <w:b/>
                <w:color w:val="002060"/>
                <w:sz w:val="20"/>
                <w:szCs w:val="20"/>
                <w:lang w:val="en-AU" w:eastAsia="en-AU"/>
              </w:rPr>
              <w:t>Jodat</w:t>
            </w:r>
            <w:proofErr w:type="spellEnd"/>
            <w:r w:rsidRPr="00A52C6D">
              <w:rPr>
                <w:rFonts w:eastAsia="Times New Roman" w:cs="Calibri"/>
                <w:b/>
                <w:color w:val="002060"/>
                <w:sz w:val="20"/>
                <w:szCs w:val="20"/>
                <w:lang w:val="en-AU" w:eastAsia="en-AU"/>
              </w:rPr>
              <w:t xml:space="preserve"> 2021</w:t>
            </w:r>
          </w:p>
        </w:tc>
        <w:tc>
          <w:tcPr>
            <w:tcW w:w="7371" w:type="dxa"/>
            <w:shd w:val="clear" w:color="auto" w:fill="auto"/>
            <w:hideMark/>
          </w:tcPr>
          <w:p w14:paraId="3FFF0006"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Aliashraf</w:t>
            </w:r>
            <w:proofErr w:type="spell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Jodat</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Alilu</w:t>
            </w:r>
            <w:proofErr w:type="spellEnd"/>
            <w:r w:rsidRPr="00A52C6D">
              <w:rPr>
                <w:rFonts w:eastAsia="Times New Roman" w:cs="Calibri"/>
                <w:color w:val="000000"/>
                <w:sz w:val="20"/>
                <w:szCs w:val="20"/>
                <w:lang w:val="en-AU" w:eastAsia="en-AU"/>
              </w:rPr>
              <w:t xml:space="preserve">, L.; </w:t>
            </w:r>
            <w:proofErr w:type="spellStart"/>
            <w:r w:rsidRPr="00A52C6D">
              <w:rPr>
                <w:rFonts w:eastAsia="Times New Roman" w:cs="Calibri"/>
                <w:color w:val="000000"/>
                <w:sz w:val="20"/>
                <w:szCs w:val="20"/>
                <w:lang w:val="en-AU" w:eastAsia="en-AU"/>
              </w:rPr>
              <w:t>Ahangarzadeh</w:t>
            </w:r>
            <w:proofErr w:type="spell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Rezayee</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Gharaaghaji</w:t>
            </w:r>
            <w:proofErr w:type="spellEnd"/>
            <w:r w:rsidRPr="00A52C6D">
              <w:rPr>
                <w:rFonts w:eastAsia="Times New Roman" w:cs="Calibri"/>
                <w:color w:val="000000"/>
                <w:sz w:val="20"/>
                <w:szCs w:val="20"/>
                <w:lang w:val="en-AU" w:eastAsia="en-AU"/>
              </w:rPr>
              <w:t xml:space="preserve"> Asl, R. Effects of Reflexology on the Pain Intensity among Patients with Depression after Receiving Electroconvulsive Therapy: A Randomized Clinical Trial. J Caring Sci. 2021; 10(3) 129-136.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10.34172/jcs.2021.007</w:t>
            </w:r>
          </w:p>
        </w:tc>
      </w:tr>
      <w:tr w:rsidR="00C37F09" w:rsidRPr="00A52C6D" w14:paraId="06788DD7" w14:textId="77777777" w:rsidTr="00B76ED3">
        <w:trPr>
          <w:trHeight w:val="1200"/>
        </w:trPr>
        <w:tc>
          <w:tcPr>
            <w:tcW w:w="2156" w:type="dxa"/>
            <w:shd w:val="clear" w:color="auto" w:fill="auto"/>
            <w:noWrap/>
            <w:hideMark/>
          </w:tcPr>
          <w:p w14:paraId="78C6B3E3"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Alinia-najjar</w:t>
            </w:r>
            <w:proofErr w:type="spellEnd"/>
            <w:r w:rsidRPr="00A52C6D">
              <w:rPr>
                <w:rFonts w:eastAsia="Times New Roman" w:cs="Calibri"/>
                <w:b/>
                <w:color w:val="002060"/>
                <w:sz w:val="20"/>
                <w:szCs w:val="20"/>
                <w:lang w:val="en-AU" w:eastAsia="en-AU"/>
              </w:rPr>
              <w:t xml:space="preserve"> 2020</w:t>
            </w:r>
          </w:p>
        </w:tc>
        <w:tc>
          <w:tcPr>
            <w:tcW w:w="7371" w:type="dxa"/>
            <w:shd w:val="clear" w:color="auto" w:fill="auto"/>
            <w:hideMark/>
          </w:tcPr>
          <w:p w14:paraId="79EFFAE1"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Alinia-najjar</w:t>
            </w:r>
            <w:proofErr w:type="spellEnd"/>
            <w:r w:rsidRPr="00A52C6D">
              <w:rPr>
                <w:rFonts w:eastAsia="Times New Roman" w:cs="Calibri"/>
                <w:color w:val="000000"/>
                <w:sz w:val="20"/>
                <w:szCs w:val="20"/>
                <w:lang w:val="en-AU" w:eastAsia="en-AU"/>
              </w:rPr>
              <w:t>, R.; Bagheri-</w:t>
            </w:r>
            <w:proofErr w:type="spellStart"/>
            <w:r w:rsidRPr="00A52C6D">
              <w:rPr>
                <w:rFonts w:eastAsia="Times New Roman" w:cs="Calibri"/>
                <w:color w:val="000000"/>
                <w:sz w:val="20"/>
                <w:szCs w:val="20"/>
                <w:lang w:val="en-AU" w:eastAsia="en-AU"/>
              </w:rPr>
              <w:t>Nesami</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Shorofi</w:t>
            </w:r>
            <w:proofErr w:type="spellEnd"/>
            <w:r w:rsidRPr="00A52C6D">
              <w:rPr>
                <w:rFonts w:eastAsia="Times New Roman" w:cs="Calibri"/>
                <w:color w:val="000000"/>
                <w:sz w:val="20"/>
                <w:szCs w:val="20"/>
                <w:lang w:val="en-AU" w:eastAsia="en-AU"/>
              </w:rPr>
              <w:t xml:space="preserve">, S. A.; </w:t>
            </w:r>
            <w:proofErr w:type="spellStart"/>
            <w:r w:rsidRPr="00A52C6D">
              <w:rPr>
                <w:rFonts w:eastAsia="Times New Roman" w:cs="Calibri"/>
                <w:color w:val="000000"/>
                <w:sz w:val="20"/>
                <w:szCs w:val="20"/>
                <w:lang w:val="en-AU" w:eastAsia="en-AU"/>
              </w:rPr>
              <w:t>Mousavinasab</w:t>
            </w:r>
            <w:proofErr w:type="spellEnd"/>
            <w:r w:rsidRPr="00A52C6D">
              <w:rPr>
                <w:rFonts w:eastAsia="Times New Roman" w:cs="Calibri"/>
                <w:color w:val="000000"/>
                <w:sz w:val="20"/>
                <w:szCs w:val="20"/>
                <w:lang w:val="en-AU" w:eastAsia="en-AU"/>
              </w:rPr>
              <w:t xml:space="preserve">, S. N.; Saatchi, K. The effect of foot reflexology massage on burn-specific pain anxiety and sleep quality and quantity of patients hospitalized in the burn intensive care unit (ICU). Burns. 2020; 46(8) 1942-1951.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10.1016/j.burns.2020.04.035</w:t>
            </w:r>
          </w:p>
        </w:tc>
      </w:tr>
      <w:tr w:rsidR="00C37F09" w:rsidRPr="00A52C6D" w14:paraId="39B5E9BE" w14:textId="77777777" w:rsidTr="00B76ED3">
        <w:trPr>
          <w:trHeight w:val="1200"/>
        </w:trPr>
        <w:tc>
          <w:tcPr>
            <w:tcW w:w="2156" w:type="dxa"/>
            <w:shd w:val="clear" w:color="auto" w:fill="auto"/>
            <w:noWrap/>
            <w:hideMark/>
          </w:tcPr>
          <w:p w14:paraId="59E62D92"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Alsharaway</w:t>
            </w:r>
            <w:proofErr w:type="spellEnd"/>
            <w:r w:rsidRPr="00A52C6D">
              <w:rPr>
                <w:rFonts w:eastAsia="Times New Roman" w:cs="Calibri"/>
                <w:b/>
                <w:color w:val="002060"/>
                <w:sz w:val="20"/>
                <w:szCs w:val="20"/>
                <w:lang w:val="en-AU" w:eastAsia="en-AU"/>
              </w:rPr>
              <w:t xml:space="preserve"> 2021</w:t>
            </w:r>
          </w:p>
        </w:tc>
        <w:tc>
          <w:tcPr>
            <w:tcW w:w="7371" w:type="dxa"/>
            <w:shd w:val="clear" w:color="auto" w:fill="auto"/>
            <w:hideMark/>
          </w:tcPr>
          <w:p w14:paraId="6E6F2A47" w14:textId="35FDB30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Alsharaway</w:t>
            </w:r>
            <w:proofErr w:type="spellEnd"/>
            <w:r w:rsidRPr="00A52C6D">
              <w:rPr>
                <w:rFonts w:eastAsia="Times New Roman" w:cs="Calibri"/>
                <w:color w:val="000000"/>
                <w:sz w:val="20"/>
                <w:szCs w:val="20"/>
                <w:lang w:val="en-AU" w:eastAsia="en-AU"/>
              </w:rPr>
              <w:t xml:space="preserve">, L. A.; </w:t>
            </w:r>
            <w:proofErr w:type="spellStart"/>
            <w:r w:rsidRPr="00A52C6D">
              <w:rPr>
                <w:rFonts w:eastAsia="Times New Roman" w:cs="Calibri"/>
                <w:color w:val="000000"/>
                <w:sz w:val="20"/>
                <w:szCs w:val="20"/>
                <w:lang w:val="en-AU" w:eastAsia="en-AU"/>
              </w:rPr>
              <w:t>Elyazed</w:t>
            </w:r>
            <w:proofErr w:type="spellEnd"/>
            <w:r w:rsidRPr="00A52C6D">
              <w:rPr>
                <w:rFonts w:eastAsia="Times New Roman" w:cs="Calibri"/>
                <w:color w:val="000000"/>
                <w:sz w:val="20"/>
                <w:szCs w:val="20"/>
                <w:lang w:val="en-AU" w:eastAsia="en-AU"/>
              </w:rPr>
              <w:t xml:space="preserve">, T. I. A.; Helmy, N. A. Effect of new reflexology </w:t>
            </w:r>
            <w:proofErr w:type="spellStart"/>
            <w:r w:rsidRPr="00A52C6D">
              <w:rPr>
                <w:rFonts w:eastAsia="Times New Roman" w:cs="Calibri"/>
                <w:color w:val="000000"/>
                <w:sz w:val="20"/>
                <w:szCs w:val="20"/>
                <w:lang w:val="en-AU" w:eastAsia="en-AU"/>
              </w:rPr>
              <w:t>maneuver</w:t>
            </w:r>
            <w:proofErr w:type="spellEnd"/>
            <w:r w:rsidRPr="00A52C6D">
              <w:rPr>
                <w:rFonts w:eastAsia="Times New Roman" w:cs="Calibri"/>
                <w:color w:val="000000"/>
                <w:sz w:val="20"/>
                <w:szCs w:val="20"/>
                <w:lang w:val="en-AU" w:eastAsia="en-AU"/>
              </w:rPr>
              <w:t xml:space="preserve"> on lung function and functional ability of chronic obstructive pulmonary disease patients in pulmonary rehabilitation program: A randomized control trial. </w:t>
            </w:r>
            <w:proofErr w:type="spellStart"/>
            <w:r w:rsidRPr="00A52C6D">
              <w:rPr>
                <w:rFonts w:eastAsia="Times New Roman" w:cs="Calibri"/>
                <w:color w:val="000000"/>
                <w:sz w:val="20"/>
                <w:szCs w:val="20"/>
                <w:lang w:val="en-AU" w:eastAsia="en-AU"/>
              </w:rPr>
              <w:t>Fizjoterapia</w:t>
            </w:r>
            <w:proofErr w:type="spellEnd"/>
            <w:r w:rsidRPr="00A52C6D">
              <w:rPr>
                <w:rFonts w:eastAsia="Times New Roman" w:cs="Calibri"/>
                <w:color w:val="000000"/>
                <w:sz w:val="20"/>
                <w:szCs w:val="20"/>
                <w:lang w:val="en-AU" w:eastAsia="en-AU"/>
              </w:rPr>
              <w:t xml:space="preserve"> Polska. 2021; 21(5) 160-165.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r w:rsidR="00C76D72">
              <w:t xml:space="preserve"> </w:t>
            </w:r>
            <w:r w:rsidR="00C76D72" w:rsidRPr="00C76D72">
              <w:rPr>
                <w:rFonts w:eastAsia="Times New Roman" w:cs="Calibri"/>
                <w:color w:val="000000"/>
                <w:sz w:val="20"/>
                <w:szCs w:val="20"/>
                <w:lang w:val="en-AU" w:eastAsia="en-AU"/>
              </w:rPr>
              <w:t>https://doi.org/10.56984/8ZG209F33</w:t>
            </w:r>
          </w:p>
        </w:tc>
      </w:tr>
      <w:tr w:rsidR="00C37F09" w:rsidRPr="00A52C6D" w14:paraId="2AC5059C" w14:textId="77777777" w:rsidTr="00B76ED3">
        <w:trPr>
          <w:trHeight w:val="900"/>
        </w:trPr>
        <w:tc>
          <w:tcPr>
            <w:tcW w:w="2156" w:type="dxa"/>
            <w:shd w:val="clear" w:color="auto" w:fill="auto"/>
            <w:noWrap/>
            <w:hideMark/>
          </w:tcPr>
          <w:p w14:paraId="12D4F2EC"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Anderson 2021</w:t>
            </w:r>
          </w:p>
        </w:tc>
        <w:tc>
          <w:tcPr>
            <w:tcW w:w="7371" w:type="dxa"/>
            <w:shd w:val="clear" w:color="auto" w:fill="auto"/>
            <w:hideMark/>
          </w:tcPr>
          <w:p w14:paraId="0E77F37F"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Anderson, H. K. D.; Downey, M. Foot reflexology an intervention for pain and nausea among inpatients with cancer. Clinical Journal of Oncology Nursing. 2021; 25(5) 539-545.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10.1188/21.CJON.539-545</w:t>
            </w:r>
          </w:p>
        </w:tc>
      </w:tr>
      <w:tr w:rsidR="00C37F09" w:rsidRPr="00A52C6D" w14:paraId="1D6478C8" w14:textId="77777777" w:rsidTr="00B76ED3">
        <w:trPr>
          <w:trHeight w:val="900"/>
        </w:trPr>
        <w:tc>
          <w:tcPr>
            <w:tcW w:w="2156" w:type="dxa"/>
            <w:shd w:val="clear" w:color="auto" w:fill="auto"/>
            <w:noWrap/>
            <w:hideMark/>
          </w:tcPr>
          <w:p w14:paraId="63750D88"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Aslan 2022</w:t>
            </w:r>
          </w:p>
        </w:tc>
        <w:tc>
          <w:tcPr>
            <w:tcW w:w="7371" w:type="dxa"/>
            <w:shd w:val="clear" w:color="auto" w:fill="auto"/>
            <w:hideMark/>
          </w:tcPr>
          <w:p w14:paraId="1C950EC6"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Aslan, G.; Kilic, D. The Effect of Reflexology based on Watson's Caring Model on </w:t>
            </w:r>
            <w:proofErr w:type="spellStart"/>
            <w:r w:rsidRPr="00A52C6D">
              <w:rPr>
                <w:rFonts w:eastAsia="Times New Roman" w:cs="Calibri"/>
                <w:color w:val="000000"/>
                <w:sz w:val="20"/>
                <w:szCs w:val="20"/>
                <w:lang w:val="en-AU" w:eastAsia="en-AU"/>
              </w:rPr>
              <w:t>Lombalgia</w:t>
            </w:r>
            <w:proofErr w:type="spellEnd"/>
            <w:r w:rsidRPr="00A52C6D">
              <w:rPr>
                <w:rFonts w:eastAsia="Times New Roman" w:cs="Calibri"/>
                <w:color w:val="000000"/>
                <w:sz w:val="20"/>
                <w:szCs w:val="20"/>
                <w:lang w:val="en-AU" w:eastAsia="en-AU"/>
              </w:rPr>
              <w:t xml:space="preserve"> and Quality of Life in Older Adults. Ageing International. 2022; 47() 596-616.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10.1007/s12126-021-09480-4</w:t>
            </w:r>
          </w:p>
        </w:tc>
      </w:tr>
      <w:tr w:rsidR="00C37F09" w:rsidRPr="00A52C6D" w14:paraId="1DFEDFC2" w14:textId="77777777" w:rsidTr="00B76ED3">
        <w:trPr>
          <w:trHeight w:val="1500"/>
        </w:trPr>
        <w:tc>
          <w:tcPr>
            <w:tcW w:w="2156" w:type="dxa"/>
            <w:shd w:val="clear" w:color="auto" w:fill="auto"/>
            <w:noWrap/>
            <w:hideMark/>
          </w:tcPr>
          <w:p w14:paraId="327A42A2"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Attias 2016</w:t>
            </w:r>
          </w:p>
        </w:tc>
        <w:tc>
          <w:tcPr>
            <w:tcW w:w="7371" w:type="dxa"/>
            <w:shd w:val="clear" w:color="auto" w:fill="auto"/>
            <w:hideMark/>
          </w:tcPr>
          <w:p w14:paraId="175B209D"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Attias, S.; Keinan Boker, L.; Arnon, Z.; Ben-Arye, E.; </w:t>
            </w:r>
            <w:proofErr w:type="spellStart"/>
            <w:r w:rsidRPr="00A52C6D">
              <w:rPr>
                <w:rFonts w:eastAsia="Times New Roman" w:cs="Calibri"/>
                <w:color w:val="000000"/>
                <w:sz w:val="20"/>
                <w:szCs w:val="20"/>
                <w:lang w:val="en-AU" w:eastAsia="en-AU"/>
              </w:rPr>
              <w:t>Bar'Am</w:t>
            </w:r>
            <w:proofErr w:type="spellEnd"/>
            <w:r w:rsidRPr="00A52C6D">
              <w:rPr>
                <w:rFonts w:eastAsia="Times New Roman" w:cs="Calibri"/>
                <w:color w:val="000000"/>
                <w:sz w:val="20"/>
                <w:szCs w:val="20"/>
                <w:lang w:val="en-AU" w:eastAsia="en-AU"/>
              </w:rPr>
              <w:t xml:space="preserve">, A.; Sroka, G.; Matter, I.; </w:t>
            </w:r>
            <w:proofErr w:type="spellStart"/>
            <w:r w:rsidRPr="00A52C6D">
              <w:rPr>
                <w:rFonts w:eastAsia="Times New Roman" w:cs="Calibri"/>
                <w:color w:val="000000"/>
                <w:sz w:val="20"/>
                <w:szCs w:val="20"/>
                <w:lang w:val="en-AU" w:eastAsia="en-AU"/>
              </w:rPr>
              <w:t>Somri</w:t>
            </w:r>
            <w:proofErr w:type="spellEnd"/>
            <w:r w:rsidRPr="00A52C6D">
              <w:rPr>
                <w:rFonts w:eastAsia="Times New Roman" w:cs="Calibri"/>
                <w:color w:val="000000"/>
                <w:sz w:val="20"/>
                <w:szCs w:val="20"/>
                <w:lang w:val="en-AU" w:eastAsia="en-AU"/>
              </w:rPr>
              <w:t xml:space="preserve">, M.; Schiff, E. Effectiveness of integrating individualized and generic complementary medicine treatments with standard care versus standard care alone for reducing preoperative anxiety. Journal of Clinical </w:t>
            </w:r>
            <w:proofErr w:type="spellStart"/>
            <w:r w:rsidRPr="00A52C6D">
              <w:rPr>
                <w:rFonts w:eastAsia="Times New Roman" w:cs="Calibri"/>
                <w:color w:val="000000"/>
                <w:sz w:val="20"/>
                <w:szCs w:val="20"/>
                <w:lang w:val="en-AU" w:eastAsia="en-AU"/>
              </w:rPr>
              <w:t>Anesthesia</w:t>
            </w:r>
            <w:proofErr w:type="spellEnd"/>
            <w:r w:rsidRPr="00A52C6D">
              <w:rPr>
                <w:rFonts w:eastAsia="Times New Roman" w:cs="Calibri"/>
                <w:color w:val="000000"/>
                <w:sz w:val="20"/>
                <w:szCs w:val="20"/>
                <w:lang w:val="en-AU" w:eastAsia="en-AU"/>
              </w:rPr>
              <w:t xml:space="preserve">. 2016; 29() 54-64.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10.1016/j.jclinane.2015.10.017</w:t>
            </w:r>
          </w:p>
        </w:tc>
      </w:tr>
      <w:tr w:rsidR="00C37F09" w:rsidRPr="00A52C6D" w14:paraId="2BB4C65B" w14:textId="77777777" w:rsidTr="00B76ED3">
        <w:trPr>
          <w:trHeight w:val="3180"/>
        </w:trPr>
        <w:tc>
          <w:tcPr>
            <w:tcW w:w="2156" w:type="dxa"/>
            <w:shd w:val="clear" w:color="auto" w:fill="auto"/>
            <w:noWrap/>
            <w:hideMark/>
          </w:tcPr>
          <w:p w14:paraId="55DADC35"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Attias 2018</w:t>
            </w:r>
          </w:p>
        </w:tc>
        <w:tc>
          <w:tcPr>
            <w:tcW w:w="7371" w:type="dxa"/>
            <w:shd w:val="clear" w:color="auto" w:fill="auto"/>
            <w:hideMark/>
          </w:tcPr>
          <w:p w14:paraId="483EC913" w14:textId="77777777" w:rsidR="00C37F09" w:rsidRPr="00A52C6D" w:rsidRDefault="00C37F09" w:rsidP="00B76ED3">
            <w:pPr>
              <w:spacing w:after="24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Attias, S.; Sivan, K.; </w:t>
            </w:r>
            <w:proofErr w:type="spellStart"/>
            <w:r w:rsidRPr="00A52C6D">
              <w:rPr>
                <w:rFonts w:eastAsia="Times New Roman" w:cs="Calibri"/>
                <w:color w:val="000000"/>
                <w:sz w:val="20"/>
                <w:szCs w:val="20"/>
                <w:lang w:val="en-AU" w:eastAsia="en-AU"/>
              </w:rPr>
              <w:t>Avneri</w:t>
            </w:r>
            <w:proofErr w:type="spellEnd"/>
            <w:r w:rsidRPr="00A52C6D">
              <w:rPr>
                <w:rFonts w:eastAsia="Times New Roman" w:cs="Calibri"/>
                <w:color w:val="000000"/>
                <w:sz w:val="20"/>
                <w:szCs w:val="20"/>
                <w:lang w:val="en-AU" w:eastAsia="en-AU"/>
              </w:rPr>
              <w:t xml:space="preserve">, O.; </w:t>
            </w:r>
            <w:proofErr w:type="spellStart"/>
            <w:r w:rsidRPr="00A52C6D">
              <w:rPr>
                <w:rFonts w:eastAsia="Times New Roman" w:cs="Calibri"/>
                <w:color w:val="000000"/>
                <w:sz w:val="20"/>
                <w:szCs w:val="20"/>
                <w:lang w:val="en-AU" w:eastAsia="en-AU"/>
              </w:rPr>
              <w:t>Sagee</w:t>
            </w:r>
            <w:proofErr w:type="spellEnd"/>
            <w:r w:rsidRPr="00A52C6D">
              <w:rPr>
                <w:rFonts w:eastAsia="Times New Roman" w:cs="Calibri"/>
                <w:color w:val="000000"/>
                <w:sz w:val="20"/>
                <w:szCs w:val="20"/>
                <w:lang w:val="en-AU" w:eastAsia="en-AU"/>
              </w:rPr>
              <w:t xml:space="preserve">, A.; Ben-Arye, E.; Grinberg, O.; Sroka, G.; Matter, I.; Schiff, E. Analgesic effects of reflexology in patients undergoing surgical procedures: A randomized controlled trial. Journal of Alternative and Complementary Medicine. 2018; 24(8) 809-815.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10.1089/acm.2017.0167</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Attias, S.; Keinan-Boker, L.; Sroka, G.; Matter, I.; Arnon, Z.; Schiff, E. The effectiveness of a generic guided imagery CD compared with individualized complementary therapies and standard of care for reducing preoperative anxiety: preliminary results. Journal of alternative and complementary medicine (New York, N.Y.). 2014; 20(5) A137.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10.1089/acm.2014.5368</w:t>
            </w:r>
          </w:p>
        </w:tc>
      </w:tr>
      <w:tr w:rsidR="00C37F09" w:rsidRPr="00A52C6D" w14:paraId="3CFC59DA" w14:textId="77777777" w:rsidTr="00B76ED3">
        <w:trPr>
          <w:trHeight w:val="900"/>
        </w:trPr>
        <w:tc>
          <w:tcPr>
            <w:tcW w:w="2156" w:type="dxa"/>
            <w:shd w:val="clear" w:color="auto" w:fill="auto"/>
            <w:noWrap/>
            <w:hideMark/>
          </w:tcPr>
          <w:p w14:paraId="512A4C7A"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Aydin 2021</w:t>
            </w:r>
          </w:p>
        </w:tc>
        <w:tc>
          <w:tcPr>
            <w:tcW w:w="7371" w:type="dxa"/>
            <w:shd w:val="clear" w:color="auto" w:fill="auto"/>
            <w:hideMark/>
          </w:tcPr>
          <w:p w14:paraId="5EC4BFBB"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Aydin, L. Z.; </w:t>
            </w:r>
            <w:proofErr w:type="spellStart"/>
            <w:r w:rsidRPr="00A52C6D">
              <w:rPr>
                <w:rFonts w:eastAsia="Times New Roman" w:cs="Calibri"/>
                <w:color w:val="000000"/>
                <w:sz w:val="20"/>
                <w:szCs w:val="20"/>
                <w:lang w:val="en-AU" w:eastAsia="en-AU"/>
              </w:rPr>
              <w:t>Yigitalp</w:t>
            </w:r>
            <w:proofErr w:type="spellEnd"/>
            <w:r w:rsidRPr="00A52C6D">
              <w:rPr>
                <w:rFonts w:eastAsia="Times New Roman" w:cs="Calibri"/>
                <w:color w:val="000000"/>
                <w:sz w:val="20"/>
                <w:szCs w:val="20"/>
                <w:lang w:val="en-AU" w:eastAsia="en-AU"/>
              </w:rPr>
              <w:t xml:space="preserve">, G. The effect of reflexology on sleep quality and fatigue in postmenopausal women: a randomized control trial. European Journal of Integrative Medicine. 2021; 43() 101281.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10.1016/j.eujim.2020.101281</w:t>
            </w:r>
          </w:p>
        </w:tc>
      </w:tr>
      <w:tr w:rsidR="00C37F09" w:rsidRPr="00A52C6D" w14:paraId="6447B7EB" w14:textId="77777777" w:rsidTr="00B76ED3">
        <w:trPr>
          <w:trHeight w:val="900"/>
        </w:trPr>
        <w:tc>
          <w:tcPr>
            <w:tcW w:w="2156" w:type="dxa"/>
            <w:shd w:val="clear" w:color="auto" w:fill="auto"/>
            <w:noWrap/>
            <w:hideMark/>
          </w:tcPr>
          <w:p w14:paraId="380FCFC5"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lastRenderedPageBreak/>
              <w:t>Azima 2015</w:t>
            </w:r>
          </w:p>
        </w:tc>
        <w:tc>
          <w:tcPr>
            <w:tcW w:w="7371" w:type="dxa"/>
            <w:shd w:val="clear" w:color="auto" w:fill="auto"/>
            <w:hideMark/>
          </w:tcPr>
          <w:p w14:paraId="51A28EA9"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Azima, S.; </w:t>
            </w:r>
            <w:proofErr w:type="spellStart"/>
            <w:r w:rsidRPr="00A52C6D">
              <w:rPr>
                <w:rFonts w:eastAsia="Times New Roman" w:cs="Calibri"/>
                <w:color w:val="000000"/>
                <w:sz w:val="20"/>
                <w:szCs w:val="20"/>
                <w:lang w:val="en-AU" w:eastAsia="en-AU"/>
              </w:rPr>
              <w:t>Bakhshayesh</w:t>
            </w:r>
            <w:proofErr w:type="spellEnd"/>
            <w:r w:rsidRPr="00A52C6D">
              <w:rPr>
                <w:rFonts w:eastAsia="Times New Roman" w:cs="Calibri"/>
                <w:color w:val="000000"/>
                <w:sz w:val="20"/>
                <w:szCs w:val="20"/>
                <w:lang w:val="en-AU" w:eastAsia="en-AU"/>
              </w:rPr>
              <w:t xml:space="preserve">, H. R.; Mousavi, S.; </w:t>
            </w:r>
            <w:proofErr w:type="spellStart"/>
            <w:r w:rsidRPr="00A52C6D">
              <w:rPr>
                <w:rFonts w:eastAsia="Times New Roman" w:cs="Calibri"/>
                <w:color w:val="000000"/>
                <w:sz w:val="20"/>
                <w:szCs w:val="20"/>
                <w:lang w:val="en-AU" w:eastAsia="en-AU"/>
              </w:rPr>
              <w:t>Ashrafizaveh</w:t>
            </w:r>
            <w:proofErr w:type="spellEnd"/>
            <w:r w:rsidRPr="00A52C6D">
              <w:rPr>
                <w:rFonts w:eastAsia="Times New Roman" w:cs="Calibri"/>
                <w:color w:val="000000"/>
                <w:sz w:val="20"/>
                <w:szCs w:val="20"/>
                <w:lang w:val="en-AU" w:eastAsia="en-AU"/>
              </w:rPr>
              <w:t>, A. Comparison of the effects of reflexology and massage therapy on primary dysmenorrhea. Biomedical research (</w:t>
            </w:r>
            <w:proofErr w:type="spellStart"/>
            <w:r w:rsidRPr="00A52C6D">
              <w:rPr>
                <w:rFonts w:eastAsia="Times New Roman" w:cs="Calibri"/>
                <w:color w:val="000000"/>
                <w:sz w:val="20"/>
                <w:szCs w:val="20"/>
                <w:lang w:val="en-AU" w:eastAsia="en-AU"/>
              </w:rPr>
              <w:t>india</w:t>
            </w:r>
            <w:proofErr w:type="spellEnd"/>
            <w:r w:rsidRPr="00A52C6D">
              <w:rPr>
                <w:rFonts w:eastAsia="Times New Roman" w:cs="Calibri"/>
                <w:color w:val="000000"/>
                <w:sz w:val="20"/>
                <w:szCs w:val="20"/>
                <w:lang w:val="en-AU" w:eastAsia="en-AU"/>
              </w:rPr>
              <w:t xml:space="preserve">). 2015; 26(3) 471-476.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248B9D28" w14:textId="77777777" w:rsidTr="00B76ED3">
        <w:trPr>
          <w:trHeight w:val="1200"/>
        </w:trPr>
        <w:tc>
          <w:tcPr>
            <w:tcW w:w="2156" w:type="dxa"/>
            <w:shd w:val="clear" w:color="auto" w:fill="auto"/>
            <w:noWrap/>
            <w:hideMark/>
          </w:tcPr>
          <w:p w14:paraId="2E679A0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Babazadeh 2020</w:t>
            </w:r>
          </w:p>
        </w:tc>
        <w:tc>
          <w:tcPr>
            <w:tcW w:w="7371" w:type="dxa"/>
            <w:shd w:val="clear" w:color="auto" w:fill="auto"/>
            <w:hideMark/>
          </w:tcPr>
          <w:p w14:paraId="578BAD7E"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Babazadeh, R.; Asadollahi, F.; Abdi, H.; </w:t>
            </w:r>
            <w:proofErr w:type="spellStart"/>
            <w:r w:rsidRPr="00A52C6D">
              <w:rPr>
                <w:rFonts w:eastAsia="Times New Roman" w:cs="Calibri"/>
                <w:color w:val="000000"/>
                <w:sz w:val="20"/>
                <w:szCs w:val="20"/>
                <w:lang w:val="en-AU" w:eastAsia="en-AU"/>
              </w:rPr>
              <w:t>Esmaily</w:t>
            </w:r>
            <w:proofErr w:type="spellEnd"/>
            <w:r w:rsidRPr="00A52C6D">
              <w:rPr>
                <w:rFonts w:eastAsia="Times New Roman" w:cs="Calibri"/>
                <w:color w:val="000000"/>
                <w:sz w:val="20"/>
                <w:szCs w:val="20"/>
                <w:lang w:val="en-AU" w:eastAsia="en-AU"/>
              </w:rPr>
              <w:t xml:space="preserve">, H. The Effect of foot sole reflexology on the fatigue in the first half of pregnancy: a randomized clinical trial. Journal of midwifery &amp; reproductive health. 2020; 8(2) 2164-2176.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10.22038/jmrh.2020.39757.1443</w:t>
            </w:r>
          </w:p>
        </w:tc>
      </w:tr>
      <w:tr w:rsidR="00C37F09" w:rsidRPr="00A52C6D" w14:paraId="6A6481C8" w14:textId="77777777" w:rsidTr="00B76ED3">
        <w:trPr>
          <w:trHeight w:val="2700"/>
        </w:trPr>
        <w:tc>
          <w:tcPr>
            <w:tcW w:w="2156" w:type="dxa"/>
            <w:shd w:val="clear" w:color="auto" w:fill="auto"/>
            <w:noWrap/>
            <w:hideMark/>
          </w:tcPr>
          <w:p w14:paraId="1B18CDF7"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Bagheri-</w:t>
            </w:r>
            <w:proofErr w:type="spellStart"/>
            <w:r w:rsidRPr="00A52C6D">
              <w:rPr>
                <w:rFonts w:eastAsia="Times New Roman" w:cs="Calibri"/>
                <w:b/>
                <w:color w:val="002060"/>
                <w:sz w:val="20"/>
                <w:szCs w:val="20"/>
                <w:lang w:val="en-AU" w:eastAsia="en-AU"/>
              </w:rPr>
              <w:t>Nesami</w:t>
            </w:r>
            <w:proofErr w:type="spellEnd"/>
            <w:r w:rsidRPr="00A52C6D">
              <w:rPr>
                <w:rFonts w:eastAsia="Times New Roman" w:cs="Calibri"/>
                <w:b/>
                <w:color w:val="002060"/>
                <w:sz w:val="20"/>
                <w:szCs w:val="20"/>
                <w:lang w:val="en-AU" w:eastAsia="en-AU"/>
              </w:rPr>
              <w:t xml:space="preserve"> 2014</w:t>
            </w:r>
          </w:p>
        </w:tc>
        <w:tc>
          <w:tcPr>
            <w:tcW w:w="7371" w:type="dxa"/>
            <w:shd w:val="clear" w:color="auto" w:fill="auto"/>
            <w:hideMark/>
          </w:tcPr>
          <w:p w14:paraId="21A24CAE"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Bagheri-</w:t>
            </w:r>
            <w:proofErr w:type="spellStart"/>
            <w:r w:rsidRPr="00A52C6D">
              <w:rPr>
                <w:rFonts w:eastAsia="Times New Roman" w:cs="Calibri"/>
                <w:color w:val="000000"/>
                <w:sz w:val="20"/>
                <w:szCs w:val="20"/>
                <w:lang w:val="en-AU" w:eastAsia="en-AU"/>
              </w:rPr>
              <w:t>Nesami</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Shorofi</w:t>
            </w:r>
            <w:proofErr w:type="spellEnd"/>
            <w:r w:rsidRPr="00A52C6D">
              <w:rPr>
                <w:rFonts w:eastAsia="Times New Roman" w:cs="Calibri"/>
                <w:color w:val="000000"/>
                <w:sz w:val="20"/>
                <w:szCs w:val="20"/>
                <w:lang w:val="en-AU" w:eastAsia="en-AU"/>
              </w:rPr>
              <w:t xml:space="preserve">, S. A.; Zargar, N.; Sohrabi, M.; Gholipour-Baradari, A.; </w:t>
            </w:r>
            <w:proofErr w:type="spellStart"/>
            <w:r w:rsidRPr="00A52C6D">
              <w:rPr>
                <w:rFonts w:eastAsia="Times New Roman" w:cs="Calibri"/>
                <w:color w:val="000000"/>
                <w:sz w:val="20"/>
                <w:szCs w:val="20"/>
                <w:lang w:val="en-AU" w:eastAsia="en-AU"/>
              </w:rPr>
              <w:t>Khalilian</w:t>
            </w:r>
            <w:proofErr w:type="spellEnd"/>
            <w:r w:rsidRPr="00A52C6D">
              <w:rPr>
                <w:rFonts w:eastAsia="Times New Roman" w:cs="Calibri"/>
                <w:color w:val="000000"/>
                <w:sz w:val="20"/>
                <w:szCs w:val="20"/>
                <w:lang w:val="en-AU" w:eastAsia="en-AU"/>
              </w:rPr>
              <w:t xml:space="preserve">, A. The effects of foot reflexology massage on anxiety in patients following coronary artery bypass graft surgery: A randomized controlled trial. Complementary Therapies in Clinical Practice. 2014; 20(1) 42-47.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http://dx.doi.org/10.1016/j.ctcp.2013.10.006</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Bagheri-</w:t>
            </w:r>
            <w:proofErr w:type="spellStart"/>
            <w:r w:rsidRPr="00A52C6D">
              <w:rPr>
                <w:rFonts w:eastAsia="Times New Roman" w:cs="Calibri"/>
                <w:color w:val="000000"/>
                <w:sz w:val="20"/>
                <w:szCs w:val="20"/>
                <w:lang w:val="en-AU" w:eastAsia="en-AU"/>
              </w:rPr>
              <w:t>Nesami</w:t>
            </w:r>
            <w:proofErr w:type="spellEnd"/>
            <w:r w:rsidRPr="00A52C6D">
              <w:rPr>
                <w:rFonts w:eastAsia="Times New Roman" w:cs="Calibri"/>
                <w:color w:val="000000"/>
                <w:sz w:val="20"/>
                <w:szCs w:val="20"/>
                <w:lang w:val="en-AU" w:eastAsia="en-AU"/>
              </w:rPr>
              <w:t xml:space="preserve">, M.; Zargar, N.; Gholipour-Baradari, A.; </w:t>
            </w:r>
            <w:proofErr w:type="spellStart"/>
            <w:r w:rsidRPr="00A52C6D">
              <w:rPr>
                <w:rFonts w:eastAsia="Times New Roman" w:cs="Calibri"/>
                <w:color w:val="000000"/>
                <w:sz w:val="20"/>
                <w:szCs w:val="20"/>
                <w:lang w:val="en-AU" w:eastAsia="en-AU"/>
              </w:rPr>
              <w:t>Khalilian</w:t>
            </w:r>
            <w:proofErr w:type="spellEnd"/>
            <w:r w:rsidRPr="00A52C6D">
              <w:rPr>
                <w:rFonts w:eastAsia="Times New Roman" w:cs="Calibri"/>
                <w:color w:val="000000"/>
                <w:sz w:val="20"/>
                <w:szCs w:val="20"/>
                <w:lang w:val="en-AU" w:eastAsia="en-AU"/>
              </w:rPr>
              <w:t>, A. The effects of foot reflexology massage on pain and fatigue of patients after coronary artery bypass graft. Journal of Mazandaran University of Medical Sciences. 2012; 22(92) 51-62.</w:t>
            </w:r>
          </w:p>
        </w:tc>
      </w:tr>
      <w:tr w:rsidR="00C37F09" w:rsidRPr="00A52C6D" w14:paraId="4702AD30" w14:textId="77777777" w:rsidTr="00B76ED3">
        <w:trPr>
          <w:trHeight w:val="900"/>
        </w:trPr>
        <w:tc>
          <w:tcPr>
            <w:tcW w:w="2156" w:type="dxa"/>
            <w:shd w:val="clear" w:color="auto" w:fill="auto"/>
            <w:noWrap/>
            <w:hideMark/>
          </w:tcPr>
          <w:p w14:paraId="2CD3B5F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Baglama 2019</w:t>
            </w:r>
          </w:p>
        </w:tc>
        <w:tc>
          <w:tcPr>
            <w:tcW w:w="7371" w:type="dxa"/>
            <w:shd w:val="clear" w:color="auto" w:fill="auto"/>
            <w:hideMark/>
          </w:tcPr>
          <w:p w14:paraId="50F7A1B0"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Baglama, S. S.; Bakir, E. Caregiver-Delivered Foot Reflexology: Effects on Patients and Caregivers. Holistic Nursing Practice. 2019; 33(6) 338-345.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10.1097/HNP.0000000000000351</w:t>
            </w:r>
          </w:p>
        </w:tc>
      </w:tr>
      <w:tr w:rsidR="00C37F09" w:rsidRPr="00A52C6D" w14:paraId="2BE32B89" w14:textId="77777777" w:rsidTr="00B76ED3">
        <w:trPr>
          <w:trHeight w:val="4943"/>
        </w:trPr>
        <w:tc>
          <w:tcPr>
            <w:tcW w:w="2156" w:type="dxa"/>
            <w:shd w:val="clear" w:color="auto" w:fill="auto"/>
            <w:noWrap/>
            <w:hideMark/>
          </w:tcPr>
          <w:p w14:paraId="4CBAD285"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Bahrami 2018</w:t>
            </w:r>
          </w:p>
        </w:tc>
        <w:tc>
          <w:tcPr>
            <w:tcW w:w="7371" w:type="dxa"/>
            <w:shd w:val="clear" w:color="auto" w:fill="auto"/>
            <w:hideMark/>
          </w:tcPr>
          <w:p w14:paraId="362B081E"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Bahrami, T.; </w:t>
            </w:r>
            <w:proofErr w:type="spellStart"/>
            <w:r w:rsidRPr="00A52C6D">
              <w:rPr>
                <w:rFonts w:eastAsia="Times New Roman" w:cs="Calibri"/>
                <w:color w:val="000000"/>
                <w:sz w:val="20"/>
                <w:szCs w:val="20"/>
                <w:lang w:val="en-AU" w:eastAsia="en-AU"/>
              </w:rPr>
              <w:t>Rejeh</w:t>
            </w:r>
            <w:proofErr w:type="spellEnd"/>
            <w:r w:rsidRPr="00A52C6D">
              <w:rPr>
                <w:rFonts w:eastAsia="Times New Roman" w:cs="Calibri"/>
                <w:color w:val="000000"/>
                <w:sz w:val="20"/>
                <w:szCs w:val="20"/>
                <w:lang w:val="en-AU" w:eastAsia="en-AU"/>
              </w:rPr>
              <w:t xml:space="preserve">, N.; Heravi-Karimooi, M.; </w:t>
            </w:r>
            <w:proofErr w:type="spellStart"/>
            <w:r w:rsidRPr="00A52C6D">
              <w:rPr>
                <w:rFonts w:eastAsia="Times New Roman" w:cs="Calibri"/>
                <w:color w:val="000000"/>
                <w:sz w:val="20"/>
                <w:szCs w:val="20"/>
                <w:lang w:val="en-AU" w:eastAsia="en-AU"/>
              </w:rPr>
              <w:t>Vaismoradi</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Tadrisi</w:t>
            </w:r>
            <w:proofErr w:type="spellEnd"/>
            <w:r w:rsidRPr="00A52C6D">
              <w:rPr>
                <w:rFonts w:eastAsia="Times New Roman" w:cs="Calibri"/>
                <w:color w:val="000000"/>
                <w:sz w:val="20"/>
                <w:szCs w:val="20"/>
                <w:lang w:val="en-AU" w:eastAsia="en-AU"/>
              </w:rPr>
              <w:t xml:space="preserve">, S. D.; Sieloff, C. L. Aromatherapy massage versus reflexology on female elderly with acute coronary syndrome. Nursing in Critical Care. 2018; 23(5) 229-236.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10.1111/nicc.12302</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Bahrami, T.; </w:t>
            </w:r>
            <w:proofErr w:type="spellStart"/>
            <w:r w:rsidRPr="00A52C6D">
              <w:rPr>
                <w:rFonts w:eastAsia="Times New Roman" w:cs="Calibri"/>
                <w:color w:val="000000"/>
                <w:sz w:val="20"/>
                <w:szCs w:val="20"/>
                <w:lang w:val="en-AU" w:eastAsia="en-AU"/>
              </w:rPr>
              <w:t>Rejeh</w:t>
            </w:r>
            <w:proofErr w:type="spellEnd"/>
            <w:r w:rsidRPr="00A52C6D">
              <w:rPr>
                <w:rFonts w:eastAsia="Times New Roman" w:cs="Calibri"/>
                <w:color w:val="000000"/>
                <w:sz w:val="20"/>
                <w:szCs w:val="20"/>
                <w:lang w:val="en-AU" w:eastAsia="en-AU"/>
              </w:rPr>
              <w:t xml:space="preserve">, N.; Heravi- </w:t>
            </w:r>
            <w:proofErr w:type="spellStart"/>
            <w:r w:rsidRPr="00A52C6D">
              <w:rPr>
                <w:rFonts w:eastAsia="Times New Roman" w:cs="Calibri"/>
                <w:color w:val="000000"/>
                <w:sz w:val="20"/>
                <w:szCs w:val="20"/>
                <w:lang w:val="en-AU" w:eastAsia="en-AU"/>
              </w:rPr>
              <w:t>Karimooi</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Vaismoradi</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Tadrisi</w:t>
            </w:r>
            <w:proofErr w:type="spellEnd"/>
            <w:r w:rsidRPr="00A52C6D">
              <w:rPr>
                <w:rFonts w:eastAsia="Times New Roman" w:cs="Calibri"/>
                <w:color w:val="000000"/>
                <w:sz w:val="20"/>
                <w:szCs w:val="20"/>
                <w:lang w:val="en-AU" w:eastAsia="en-AU"/>
              </w:rPr>
              <w:t xml:space="preserve">, S. D.; Sieloff, C. Effect of aromatherapy massage on anxiety, depression, and physiologic parameters in older patients with the acute coronary syndrome: A randomized clinical trial. International Journal of Nursing Practice. 2017; 23(6) e12601.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https://dx.doi.org/10.1111/ijn.12601</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Bahrami, T.; </w:t>
            </w:r>
            <w:proofErr w:type="spellStart"/>
            <w:r w:rsidRPr="00A52C6D">
              <w:rPr>
                <w:rFonts w:eastAsia="Times New Roman" w:cs="Calibri"/>
                <w:color w:val="000000"/>
                <w:sz w:val="20"/>
                <w:szCs w:val="20"/>
                <w:lang w:val="en-AU" w:eastAsia="en-AU"/>
              </w:rPr>
              <w:t>Rejeh</w:t>
            </w:r>
            <w:proofErr w:type="spellEnd"/>
            <w:r w:rsidRPr="00A52C6D">
              <w:rPr>
                <w:rFonts w:eastAsia="Times New Roman" w:cs="Calibri"/>
                <w:color w:val="000000"/>
                <w:sz w:val="20"/>
                <w:szCs w:val="20"/>
                <w:lang w:val="en-AU" w:eastAsia="en-AU"/>
              </w:rPr>
              <w:t xml:space="preserve">, N.; Heravi-Karimooi, M.; Davood </w:t>
            </w:r>
            <w:proofErr w:type="spellStart"/>
            <w:r w:rsidRPr="00A52C6D">
              <w:rPr>
                <w:rFonts w:eastAsia="Times New Roman" w:cs="Calibri"/>
                <w:color w:val="000000"/>
                <w:sz w:val="20"/>
                <w:szCs w:val="20"/>
                <w:lang w:val="en-AU" w:eastAsia="en-AU"/>
              </w:rPr>
              <w:t>Tadrisi</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Vaismoradi</w:t>
            </w:r>
            <w:proofErr w:type="spellEnd"/>
            <w:r w:rsidRPr="00A52C6D">
              <w:rPr>
                <w:rFonts w:eastAsia="Times New Roman" w:cs="Calibri"/>
                <w:color w:val="000000"/>
                <w:sz w:val="20"/>
                <w:szCs w:val="20"/>
                <w:lang w:val="en-AU" w:eastAsia="en-AU"/>
              </w:rPr>
              <w:t xml:space="preserve">, M. The Effect of Foot Reflexology on Hospital Anxiety and Depression in Female Older Adults: </w:t>
            </w:r>
            <w:proofErr w:type="gramStart"/>
            <w:r w:rsidRPr="00A52C6D">
              <w:rPr>
                <w:rFonts w:eastAsia="Times New Roman" w:cs="Calibri"/>
                <w:color w:val="000000"/>
                <w:sz w:val="20"/>
                <w:szCs w:val="20"/>
                <w:lang w:val="en-AU" w:eastAsia="en-AU"/>
              </w:rPr>
              <w:t>a</w:t>
            </w:r>
            <w:proofErr w:type="gramEnd"/>
            <w:r w:rsidRPr="00A52C6D">
              <w:rPr>
                <w:rFonts w:eastAsia="Times New Roman" w:cs="Calibri"/>
                <w:color w:val="000000"/>
                <w:sz w:val="20"/>
                <w:szCs w:val="20"/>
                <w:lang w:val="en-AU" w:eastAsia="en-AU"/>
              </w:rPr>
              <w:t xml:space="preserve"> Randomized Controlled Trial. International Journal of Therapeutic Massage &amp; Bodywork. 2019; 12(3) 16-21.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10.3822/</w:t>
            </w:r>
            <w:proofErr w:type="gramStart"/>
            <w:r w:rsidRPr="00A52C6D">
              <w:rPr>
                <w:rFonts w:eastAsia="Times New Roman" w:cs="Calibri"/>
                <w:color w:val="000000"/>
                <w:sz w:val="20"/>
                <w:szCs w:val="20"/>
                <w:lang w:val="en-AU" w:eastAsia="en-AU"/>
              </w:rPr>
              <w:t>ijtmb.v</w:t>
            </w:r>
            <w:proofErr w:type="gramEnd"/>
            <w:r w:rsidRPr="00A52C6D">
              <w:rPr>
                <w:rFonts w:eastAsia="Times New Roman" w:cs="Calibri"/>
                <w:color w:val="000000"/>
                <w:sz w:val="20"/>
                <w:szCs w:val="20"/>
                <w:lang w:val="en-AU" w:eastAsia="en-AU"/>
              </w:rPr>
              <w:t>12i3.429</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Bahrami, T.; </w:t>
            </w:r>
            <w:proofErr w:type="spellStart"/>
            <w:r w:rsidRPr="00A52C6D">
              <w:rPr>
                <w:rFonts w:eastAsia="Times New Roman" w:cs="Calibri"/>
                <w:color w:val="000000"/>
                <w:sz w:val="20"/>
                <w:szCs w:val="20"/>
                <w:lang w:val="en-AU" w:eastAsia="en-AU"/>
              </w:rPr>
              <w:t>Rejeh</w:t>
            </w:r>
            <w:proofErr w:type="spellEnd"/>
            <w:r w:rsidRPr="00A52C6D">
              <w:rPr>
                <w:rFonts w:eastAsia="Times New Roman" w:cs="Calibri"/>
                <w:color w:val="000000"/>
                <w:sz w:val="20"/>
                <w:szCs w:val="20"/>
                <w:lang w:val="en-AU" w:eastAsia="en-AU"/>
              </w:rPr>
              <w:t xml:space="preserve">, N.; Heravi-Karimooi, M.; Davood </w:t>
            </w:r>
            <w:proofErr w:type="spellStart"/>
            <w:r w:rsidRPr="00A52C6D">
              <w:rPr>
                <w:rFonts w:eastAsia="Times New Roman" w:cs="Calibri"/>
                <w:color w:val="000000"/>
                <w:sz w:val="20"/>
                <w:szCs w:val="20"/>
                <w:lang w:val="en-AU" w:eastAsia="en-AU"/>
              </w:rPr>
              <w:t>Tadrisi</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Vaismoradi</w:t>
            </w:r>
            <w:proofErr w:type="spellEnd"/>
            <w:r w:rsidRPr="00A52C6D">
              <w:rPr>
                <w:rFonts w:eastAsia="Times New Roman" w:cs="Calibri"/>
                <w:color w:val="000000"/>
                <w:sz w:val="20"/>
                <w:szCs w:val="20"/>
                <w:lang w:val="en-AU" w:eastAsia="en-AU"/>
              </w:rPr>
              <w:t>, M. Reflexology versus Aromatherapy Massage for Relieving Anxiety and Depression in Hospitalized Older Women: a Randomized Clinical Trial. International Journal of Caring Sciences. 2020; 13(1) 610-618</w:t>
            </w:r>
          </w:p>
        </w:tc>
      </w:tr>
      <w:tr w:rsidR="00C37F09" w:rsidRPr="00A52C6D" w14:paraId="4E9B7DE8" w14:textId="77777777" w:rsidTr="00B76ED3">
        <w:trPr>
          <w:trHeight w:val="1500"/>
        </w:trPr>
        <w:tc>
          <w:tcPr>
            <w:tcW w:w="2156" w:type="dxa"/>
            <w:shd w:val="clear" w:color="auto" w:fill="auto"/>
            <w:noWrap/>
            <w:hideMark/>
          </w:tcPr>
          <w:p w14:paraId="4509E8EE"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Bakhshi 2022</w:t>
            </w:r>
          </w:p>
        </w:tc>
        <w:tc>
          <w:tcPr>
            <w:tcW w:w="7371" w:type="dxa"/>
            <w:shd w:val="clear" w:color="auto" w:fill="auto"/>
            <w:hideMark/>
          </w:tcPr>
          <w:p w14:paraId="2839DB36"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Bakhshi, Mahmoud; Ranjbar, Hossein; Rostami, </w:t>
            </w:r>
            <w:proofErr w:type="spellStart"/>
            <w:r w:rsidRPr="00A52C6D">
              <w:rPr>
                <w:rFonts w:eastAsia="Times New Roman" w:cs="Calibri"/>
                <w:color w:val="000000"/>
                <w:sz w:val="20"/>
                <w:szCs w:val="20"/>
                <w:lang w:val="en-AU" w:eastAsia="en-AU"/>
              </w:rPr>
              <w:t>Ommolbanin</w:t>
            </w:r>
            <w:proofErr w:type="spell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Chamanzari</w:t>
            </w:r>
            <w:proofErr w:type="spellEnd"/>
            <w:r w:rsidRPr="00A52C6D">
              <w:rPr>
                <w:rFonts w:eastAsia="Times New Roman" w:cs="Calibri"/>
                <w:color w:val="000000"/>
                <w:sz w:val="20"/>
                <w:szCs w:val="20"/>
                <w:lang w:val="en-AU" w:eastAsia="en-AU"/>
              </w:rPr>
              <w:t>, Hamid; Bahrami-</w:t>
            </w:r>
            <w:proofErr w:type="spellStart"/>
            <w:r w:rsidRPr="00A52C6D">
              <w:rPr>
                <w:rFonts w:eastAsia="Times New Roman" w:cs="Calibri"/>
                <w:color w:val="000000"/>
                <w:sz w:val="20"/>
                <w:szCs w:val="20"/>
                <w:lang w:val="en-AU" w:eastAsia="en-AU"/>
              </w:rPr>
              <w:t>Taghanaki</w:t>
            </w:r>
            <w:proofErr w:type="spellEnd"/>
            <w:r w:rsidRPr="00A52C6D">
              <w:rPr>
                <w:rFonts w:eastAsia="Times New Roman" w:cs="Calibri"/>
                <w:color w:val="000000"/>
                <w:sz w:val="20"/>
                <w:szCs w:val="20"/>
                <w:lang w:val="en-AU" w:eastAsia="en-AU"/>
              </w:rPr>
              <w:t xml:space="preserve">, Hamidreza Effect of Foot Reflexology and Gentle Stretching Exercises on Pain Intensity in Patients after Spine Surgery: A Randomized Controlled Trial. Journal of Evidence-based Care. 2022; 12(2) 32-40.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10.22038/EBCJ.2022.61714.2602</w:t>
            </w:r>
          </w:p>
        </w:tc>
      </w:tr>
      <w:tr w:rsidR="00C37F09" w:rsidRPr="00A52C6D" w14:paraId="47DE7EFE" w14:textId="77777777" w:rsidTr="00B76ED3">
        <w:trPr>
          <w:trHeight w:val="1200"/>
        </w:trPr>
        <w:tc>
          <w:tcPr>
            <w:tcW w:w="2156" w:type="dxa"/>
            <w:shd w:val="clear" w:color="auto" w:fill="auto"/>
            <w:noWrap/>
            <w:hideMark/>
          </w:tcPr>
          <w:p w14:paraId="3E3A1E93"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Bakir 2018</w:t>
            </w:r>
          </w:p>
        </w:tc>
        <w:tc>
          <w:tcPr>
            <w:tcW w:w="7371" w:type="dxa"/>
            <w:shd w:val="clear" w:color="auto" w:fill="auto"/>
            <w:hideMark/>
          </w:tcPr>
          <w:p w14:paraId="56B3B974"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Bakir, E.; Baglama, S. S.; Gursoy, S. The effects of reflexology on pain and sleep deprivation in patients with rheumatoid arthritis: A randomized controlled trial. Complementary Therapies in Clinical Practice. 2018; 31() 315-319.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https://dx.doi.org/10.1016/j.ctcp.2018.02.017</w:t>
            </w:r>
          </w:p>
        </w:tc>
      </w:tr>
      <w:tr w:rsidR="00C37F09" w:rsidRPr="00A52C6D" w14:paraId="51691E6B" w14:textId="77777777" w:rsidTr="00B76ED3">
        <w:trPr>
          <w:trHeight w:val="2100"/>
        </w:trPr>
        <w:tc>
          <w:tcPr>
            <w:tcW w:w="2156" w:type="dxa"/>
            <w:shd w:val="clear" w:color="auto" w:fill="auto"/>
            <w:noWrap/>
            <w:hideMark/>
          </w:tcPr>
          <w:p w14:paraId="3DBAA6AC"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lastRenderedPageBreak/>
              <w:t>Brygge 2001</w:t>
            </w:r>
          </w:p>
        </w:tc>
        <w:tc>
          <w:tcPr>
            <w:tcW w:w="7371" w:type="dxa"/>
            <w:shd w:val="clear" w:color="auto" w:fill="auto"/>
            <w:hideMark/>
          </w:tcPr>
          <w:p w14:paraId="3C98EA81"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Brygge, T.; Heinig, J. H.; Collins, P.; </w:t>
            </w:r>
            <w:proofErr w:type="spellStart"/>
            <w:r w:rsidRPr="00A52C6D">
              <w:rPr>
                <w:rFonts w:eastAsia="Times New Roman" w:cs="Calibri"/>
                <w:color w:val="000000"/>
                <w:sz w:val="20"/>
                <w:szCs w:val="20"/>
                <w:lang w:val="en-AU" w:eastAsia="en-AU"/>
              </w:rPr>
              <w:t>Ronborg</w:t>
            </w:r>
            <w:proofErr w:type="spellEnd"/>
            <w:r w:rsidRPr="00A52C6D">
              <w:rPr>
                <w:rFonts w:eastAsia="Times New Roman" w:cs="Calibri"/>
                <w:color w:val="000000"/>
                <w:sz w:val="20"/>
                <w:szCs w:val="20"/>
                <w:lang w:val="en-AU" w:eastAsia="en-AU"/>
              </w:rPr>
              <w:t xml:space="preserve">, S.; Gehrchen, P. M.; Hilden, J.; Heegaard, S.; Poulsen, L. K. Reflexology and bronchial asthma. Respiratory Medicine. 2001; 95(3) 173-179.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10.1053/rmed.2000.0975</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Brygge, T.; Heinig, J. H.; Collins, P.; Rønborg, S. M.; Gehrchen, P. M.; Hilden, J.; Heegaard, S.; Poulsen, L. K. Zone therapy and asthma. </w:t>
            </w:r>
            <w:proofErr w:type="spellStart"/>
            <w:r w:rsidRPr="00A52C6D">
              <w:rPr>
                <w:rFonts w:eastAsia="Times New Roman" w:cs="Calibri"/>
                <w:color w:val="000000"/>
                <w:sz w:val="20"/>
                <w:szCs w:val="20"/>
                <w:lang w:val="en-AU" w:eastAsia="en-AU"/>
              </w:rPr>
              <w:t>Ugeskrift</w:t>
            </w:r>
            <w:proofErr w:type="spellEnd"/>
            <w:r w:rsidRPr="00A52C6D">
              <w:rPr>
                <w:rFonts w:eastAsia="Times New Roman" w:cs="Calibri"/>
                <w:color w:val="000000"/>
                <w:sz w:val="20"/>
                <w:szCs w:val="20"/>
                <w:lang w:val="en-AU" w:eastAsia="en-AU"/>
              </w:rPr>
              <w:t xml:space="preserve"> for </w:t>
            </w:r>
            <w:proofErr w:type="spellStart"/>
            <w:r w:rsidRPr="00A52C6D">
              <w:rPr>
                <w:rFonts w:eastAsia="Times New Roman" w:cs="Calibri"/>
                <w:color w:val="000000"/>
                <w:sz w:val="20"/>
                <w:szCs w:val="20"/>
                <w:lang w:val="en-AU" w:eastAsia="en-AU"/>
              </w:rPr>
              <w:t>laeger</w:t>
            </w:r>
            <w:proofErr w:type="spellEnd"/>
            <w:r w:rsidRPr="00A52C6D">
              <w:rPr>
                <w:rFonts w:eastAsia="Times New Roman" w:cs="Calibri"/>
                <w:color w:val="000000"/>
                <w:sz w:val="20"/>
                <w:szCs w:val="20"/>
                <w:lang w:val="en-AU" w:eastAsia="en-AU"/>
              </w:rPr>
              <w:t>. 2002; 164(18) 2405-2410</w:t>
            </w:r>
          </w:p>
        </w:tc>
      </w:tr>
      <w:tr w:rsidR="00C37F09" w:rsidRPr="00A52C6D" w14:paraId="0AE75DA5" w14:textId="77777777" w:rsidTr="00B76ED3">
        <w:trPr>
          <w:trHeight w:val="1200"/>
        </w:trPr>
        <w:tc>
          <w:tcPr>
            <w:tcW w:w="2156" w:type="dxa"/>
            <w:shd w:val="clear" w:color="auto" w:fill="auto"/>
            <w:noWrap/>
            <w:hideMark/>
          </w:tcPr>
          <w:p w14:paraId="48C0DA9E"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Chen 2011</w:t>
            </w:r>
          </w:p>
        </w:tc>
        <w:tc>
          <w:tcPr>
            <w:tcW w:w="7371" w:type="dxa"/>
            <w:shd w:val="clear" w:color="auto" w:fill="auto"/>
            <w:hideMark/>
          </w:tcPr>
          <w:p w14:paraId="298FC0E2"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Chen, S. C.; Li, C. Y.; Gau, M. L.; Huang, C. M. Randomised controlled trial of the effectiveness of using foot reflexology to improve quality of sleep amongst Taiwanese postpartum women. Midwifery. 2011; 27(2) 181-186.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10.1016/j.midw.2009.04.005</w:t>
            </w:r>
          </w:p>
        </w:tc>
      </w:tr>
      <w:tr w:rsidR="00C37F09" w:rsidRPr="00A52C6D" w14:paraId="0467E424" w14:textId="77777777" w:rsidTr="00B76ED3">
        <w:trPr>
          <w:trHeight w:val="1200"/>
        </w:trPr>
        <w:tc>
          <w:tcPr>
            <w:tcW w:w="2156" w:type="dxa"/>
            <w:shd w:val="clear" w:color="auto" w:fill="auto"/>
            <w:noWrap/>
            <w:hideMark/>
          </w:tcPr>
          <w:p w14:paraId="6900379D"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Cicek 2021</w:t>
            </w:r>
          </w:p>
        </w:tc>
        <w:tc>
          <w:tcPr>
            <w:tcW w:w="7371" w:type="dxa"/>
            <w:shd w:val="clear" w:color="auto" w:fill="auto"/>
            <w:hideMark/>
          </w:tcPr>
          <w:p w14:paraId="48627679"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Cicek, S. C.; Demir, S.; Yilmaz, D.; Yildiz, S. Effect of reflexology on ankle brachial index, diabetic peripheral neuropathy, and </w:t>
            </w:r>
            <w:proofErr w:type="spellStart"/>
            <w:r w:rsidRPr="00A52C6D">
              <w:rPr>
                <w:rFonts w:eastAsia="Times New Roman" w:cs="Calibri"/>
                <w:color w:val="000000"/>
                <w:sz w:val="20"/>
                <w:szCs w:val="20"/>
                <w:lang w:val="en-AU" w:eastAsia="en-AU"/>
              </w:rPr>
              <w:t>glycemic</w:t>
            </w:r>
            <w:proofErr w:type="spellEnd"/>
            <w:r w:rsidRPr="00A52C6D">
              <w:rPr>
                <w:rFonts w:eastAsia="Times New Roman" w:cs="Calibri"/>
                <w:color w:val="000000"/>
                <w:sz w:val="20"/>
                <w:szCs w:val="20"/>
                <w:lang w:val="en-AU" w:eastAsia="en-AU"/>
              </w:rPr>
              <w:t xml:space="preserve"> control in older adults with diabetes: A randomized controlled trial. Complementary Therapies in Clinical Practice. 2021; 44() 101437-.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10.1016/j.ctcp.2021.101437</w:t>
            </w:r>
          </w:p>
        </w:tc>
      </w:tr>
      <w:tr w:rsidR="00C37F09" w:rsidRPr="00A52C6D" w14:paraId="68A31890" w14:textId="77777777" w:rsidTr="00B76ED3">
        <w:trPr>
          <w:trHeight w:val="4433"/>
        </w:trPr>
        <w:tc>
          <w:tcPr>
            <w:tcW w:w="2156" w:type="dxa"/>
            <w:shd w:val="clear" w:color="auto" w:fill="auto"/>
            <w:noWrap/>
            <w:hideMark/>
          </w:tcPr>
          <w:p w14:paraId="20A7E6F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Close 2016.1</w:t>
            </w:r>
          </w:p>
        </w:tc>
        <w:tc>
          <w:tcPr>
            <w:tcW w:w="7371" w:type="dxa"/>
            <w:shd w:val="clear" w:color="auto" w:fill="auto"/>
            <w:hideMark/>
          </w:tcPr>
          <w:p w14:paraId="64533EF5"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Close, C.; Sinclair, M.; Cullough, J. M.; Liddle, D.; Hughes, C. A pilot randomised controlled trial (RCT) investigating the effectiveness of reflexology for managing pregnancy low back and/or pelvic pain. Complementary Therapies in Clinical Practice. 2016; 23() 117-124.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10.1016/j.ctcp.2015.05.002</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McCullough, J. E. M.; Liddle, S. D.; Close, C.; Sinclair, M.; Hughes, C. M. Reflexology: A randomised controlled trial investigating the effects on beta-endorphin, cortisol and pregnancy related stress. Complementary Therapies in Clinical Practice. 2018; 31() 76-84.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https://dx.doi.org/10.1016/j.ctcp.2018.01.018</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McCullough, J. E.; Close, C.; Liddle, S. D.; Sinclair, M.; Hughes, C. M. A pilot randomised controlled trial exploring the effects of antenatal reflexology on labour outcomes. Midwifery. 2017; 55() 137-144.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https://dx.doi.org/10.1016/j.midw.2017.09.006</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Close, C.; Sinclair, M.; Liddle, D.; Cullough, J. M.; Hughes, C. Women's experience of low back and/or pelvic pain (LBPP) during pregnancy. Midwifery. 2016; 37() 45139.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10.1016/j.midw.2016.03.013</w:t>
            </w:r>
          </w:p>
        </w:tc>
      </w:tr>
      <w:tr w:rsidR="00C37F09" w:rsidRPr="00A52C6D" w14:paraId="0B18A27C" w14:textId="77777777" w:rsidTr="00B76ED3">
        <w:trPr>
          <w:trHeight w:val="900"/>
        </w:trPr>
        <w:tc>
          <w:tcPr>
            <w:tcW w:w="2156" w:type="dxa"/>
            <w:shd w:val="clear" w:color="auto" w:fill="auto"/>
            <w:noWrap/>
            <w:hideMark/>
          </w:tcPr>
          <w:p w14:paraId="53F24B2A"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Dashti 2016</w:t>
            </w:r>
          </w:p>
        </w:tc>
        <w:tc>
          <w:tcPr>
            <w:tcW w:w="7371" w:type="dxa"/>
            <w:shd w:val="clear" w:color="auto" w:fill="auto"/>
            <w:hideMark/>
          </w:tcPr>
          <w:p w14:paraId="113A77F5"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Dashti, S.; </w:t>
            </w:r>
            <w:proofErr w:type="spellStart"/>
            <w:r w:rsidRPr="00A52C6D">
              <w:rPr>
                <w:rFonts w:eastAsia="Times New Roman" w:cs="Calibri"/>
                <w:color w:val="000000"/>
                <w:sz w:val="20"/>
                <w:szCs w:val="20"/>
                <w:lang w:val="en-AU" w:eastAsia="en-AU"/>
              </w:rPr>
              <w:t>Shahmari</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Mirzaaghazadeh</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Mirzaaghazadeh</w:t>
            </w:r>
            <w:proofErr w:type="spellEnd"/>
            <w:r w:rsidRPr="00A52C6D">
              <w:rPr>
                <w:rFonts w:eastAsia="Times New Roman" w:cs="Calibri"/>
                <w:color w:val="000000"/>
                <w:sz w:val="20"/>
                <w:szCs w:val="20"/>
                <w:lang w:val="en-AU" w:eastAsia="en-AU"/>
              </w:rPr>
              <w:t xml:space="preserve">, M. Effect of Foot Reflexology and Olive Oil Foot </w:t>
            </w:r>
            <w:proofErr w:type="spellStart"/>
            <w:r w:rsidRPr="00A52C6D">
              <w:rPr>
                <w:rFonts w:eastAsia="Times New Roman" w:cs="Calibri"/>
                <w:color w:val="000000"/>
                <w:sz w:val="20"/>
                <w:szCs w:val="20"/>
                <w:lang w:val="en-AU" w:eastAsia="en-AU"/>
              </w:rPr>
              <w:t>Massageon</w:t>
            </w:r>
            <w:proofErr w:type="spellEnd"/>
            <w:r w:rsidRPr="00A52C6D">
              <w:rPr>
                <w:rFonts w:eastAsia="Times New Roman" w:cs="Calibri"/>
                <w:color w:val="000000"/>
                <w:sz w:val="20"/>
                <w:szCs w:val="20"/>
                <w:lang w:val="en-AU" w:eastAsia="en-AU"/>
              </w:rPr>
              <w:t xml:space="preserve"> Asthma Control. Global journal of health science. 2016; 8(12) 53-59.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10.5539/</w:t>
            </w:r>
            <w:proofErr w:type="gramStart"/>
            <w:r w:rsidRPr="00A52C6D">
              <w:rPr>
                <w:rFonts w:eastAsia="Times New Roman" w:cs="Calibri"/>
                <w:color w:val="000000"/>
                <w:sz w:val="20"/>
                <w:szCs w:val="20"/>
                <w:lang w:val="en-AU" w:eastAsia="en-AU"/>
              </w:rPr>
              <w:t>gjhs.v</w:t>
            </w:r>
            <w:proofErr w:type="gramEnd"/>
            <w:r w:rsidRPr="00A52C6D">
              <w:rPr>
                <w:rFonts w:eastAsia="Times New Roman" w:cs="Calibri"/>
                <w:color w:val="000000"/>
                <w:sz w:val="20"/>
                <w:szCs w:val="20"/>
                <w:lang w:val="en-AU" w:eastAsia="en-AU"/>
              </w:rPr>
              <w:t>8n12p53</w:t>
            </w:r>
          </w:p>
        </w:tc>
      </w:tr>
      <w:tr w:rsidR="00C37F09" w:rsidRPr="00A52C6D" w14:paraId="736506E4" w14:textId="77777777" w:rsidTr="00B76ED3">
        <w:trPr>
          <w:trHeight w:val="1200"/>
        </w:trPr>
        <w:tc>
          <w:tcPr>
            <w:tcW w:w="2156" w:type="dxa"/>
            <w:shd w:val="clear" w:color="auto" w:fill="auto"/>
            <w:noWrap/>
            <w:hideMark/>
          </w:tcPr>
          <w:p w14:paraId="4B1E3687"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Davodabady</w:t>
            </w:r>
            <w:proofErr w:type="spellEnd"/>
            <w:r w:rsidRPr="00A52C6D">
              <w:rPr>
                <w:rFonts w:eastAsia="Times New Roman" w:cs="Calibri"/>
                <w:b/>
                <w:color w:val="002060"/>
                <w:sz w:val="20"/>
                <w:szCs w:val="20"/>
                <w:lang w:val="en-AU" w:eastAsia="en-AU"/>
              </w:rPr>
              <w:t xml:space="preserve"> 2021</w:t>
            </w:r>
          </w:p>
        </w:tc>
        <w:tc>
          <w:tcPr>
            <w:tcW w:w="7371" w:type="dxa"/>
            <w:shd w:val="clear" w:color="auto" w:fill="auto"/>
            <w:hideMark/>
          </w:tcPr>
          <w:p w14:paraId="611EBDD2"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Davodabady</w:t>
            </w:r>
            <w:proofErr w:type="spellEnd"/>
            <w:r w:rsidRPr="00A52C6D">
              <w:rPr>
                <w:rFonts w:eastAsia="Times New Roman" w:cs="Calibri"/>
                <w:color w:val="000000"/>
                <w:sz w:val="20"/>
                <w:szCs w:val="20"/>
                <w:lang w:val="en-AU" w:eastAsia="en-AU"/>
              </w:rPr>
              <w:t>, F.; Naseri-</w:t>
            </w:r>
            <w:proofErr w:type="spellStart"/>
            <w:r w:rsidRPr="00A52C6D">
              <w:rPr>
                <w:rFonts w:eastAsia="Times New Roman" w:cs="Calibri"/>
                <w:color w:val="000000"/>
                <w:sz w:val="20"/>
                <w:szCs w:val="20"/>
                <w:lang w:val="en-AU" w:eastAsia="en-AU"/>
              </w:rPr>
              <w:t>Salahshour</w:t>
            </w:r>
            <w:proofErr w:type="spellEnd"/>
            <w:r w:rsidRPr="00A52C6D">
              <w:rPr>
                <w:rFonts w:eastAsia="Times New Roman" w:cs="Calibri"/>
                <w:color w:val="000000"/>
                <w:sz w:val="20"/>
                <w:szCs w:val="20"/>
                <w:lang w:val="en-AU" w:eastAsia="en-AU"/>
              </w:rPr>
              <w:t xml:space="preserve">, V.; Sajadi, M.; </w:t>
            </w:r>
            <w:proofErr w:type="spellStart"/>
            <w:r w:rsidRPr="00A52C6D">
              <w:rPr>
                <w:rFonts w:eastAsia="Times New Roman" w:cs="Calibri"/>
                <w:color w:val="000000"/>
                <w:sz w:val="20"/>
                <w:szCs w:val="20"/>
                <w:lang w:val="en-AU" w:eastAsia="en-AU"/>
              </w:rPr>
              <w:t>Mohtarami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Rafiei</w:t>
            </w:r>
            <w:proofErr w:type="spellEnd"/>
            <w:r w:rsidRPr="00A52C6D">
              <w:rPr>
                <w:rFonts w:eastAsia="Times New Roman" w:cs="Calibri"/>
                <w:color w:val="000000"/>
                <w:sz w:val="20"/>
                <w:szCs w:val="20"/>
                <w:lang w:val="en-AU" w:eastAsia="en-AU"/>
              </w:rPr>
              <w:t xml:space="preserve">, F. Randomized controlled trial of the foot reflexology on pain and anxiety severity during dressing change in burn patients. Burns. 2021; 47(1) 215-221.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10.1016/j.burns.2020.06.035</w:t>
            </w:r>
          </w:p>
        </w:tc>
      </w:tr>
      <w:tr w:rsidR="00C37F09" w:rsidRPr="00A52C6D" w14:paraId="095AFAF4" w14:textId="77777777" w:rsidTr="00B76ED3">
        <w:trPr>
          <w:trHeight w:val="1500"/>
        </w:trPr>
        <w:tc>
          <w:tcPr>
            <w:tcW w:w="2156" w:type="dxa"/>
            <w:shd w:val="clear" w:color="auto" w:fill="auto"/>
            <w:noWrap/>
            <w:hideMark/>
          </w:tcPr>
          <w:p w14:paraId="05C63E5C"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de Oliveira 2017</w:t>
            </w:r>
          </w:p>
        </w:tc>
        <w:tc>
          <w:tcPr>
            <w:tcW w:w="7371" w:type="dxa"/>
            <w:shd w:val="clear" w:color="auto" w:fill="auto"/>
            <w:hideMark/>
          </w:tcPr>
          <w:p w14:paraId="215307B2"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de Oliveira, B. H.; da Silva, A. Q. A.; Ludtke, D. D.; Madeira, F.; Medeiros, </w:t>
            </w:r>
            <w:proofErr w:type="spellStart"/>
            <w:r w:rsidRPr="00A52C6D">
              <w:rPr>
                <w:rFonts w:eastAsia="Times New Roman" w:cs="Calibri"/>
                <w:color w:val="000000"/>
                <w:sz w:val="20"/>
                <w:szCs w:val="20"/>
                <w:lang w:val="en-AU" w:eastAsia="en-AU"/>
              </w:rPr>
              <w:t>Gmds</w:t>
            </w:r>
            <w:proofErr w:type="spellEnd"/>
            <w:r w:rsidRPr="00A52C6D">
              <w:rPr>
                <w:rFonts w:eastAsia="Times New Roman" w:cs="Calibri"/>
                <w:color w:val="000000"/>
                <w:sz w:val="20"/>
                <w:szCs w:val="20"/>
                <w:lang w:val="en-AU" w:eastAsia="en-AU"/>
              </w:rPr>
              <w:t xml:space="preserve">; Parreira, R. B.; Salgado, A. S. I.; Belmonte, L. A. O.; </w:t>
            </w:r>
            <w:proofErr w:type="spellStart"/>
            <w:r w:rsidRPr="00A52C6D">
              <w:rPr>
                <w:rFonts w:eastAsia="Times New Roman" w:cs="Calibri"/>
                <w:color w:val="000000"/>
                <w:sz w:val="20"/>
                <w:szCs w:val="20"/>
                <w:lang w:val="en-AU" w:eastAsia="en-AU"/>
              </w:rPr>
              <w:t>Cidral</w:t>
            </w:r>
            <w:proofErr w:type="spellEnd"/>
            <w:r w:rsidRPr="00A52C6D">
              <w:rPr>
                <w:rFonts w:eastAsia="Times New Roman" w:cs="Calibri"/>
                <w:color w:val="000000"/>
                <w:sz w:val="20"/>
                <w:szCs w:val="20"/>
                <w:lang w:val="en-AU" w:eastAsia="en-AU"/>
              </w:rPr>
              <w:t xml:space="preserve">-Filho, F. J.; Martins, D. F. Foot </w:t>
            </w:r>
            <w:proofErr w:type="spellStart"/>
            <w:r w:rsidRPr="00A52C6D">
              <w:rPr>
                <w:rFonts w:eastAsia="Times New Roman" w:cs="Calibri"/>
                <w:color w:val="000000"/>
                <w:sz w:val="20"/>
                <w:szCs w:val="20"/>
                <w:lang w:val="en-AU" w:eastAsia="en-AU"/>
              </w:rPr>
              <w:t>Reflexotherapy</w:t>
            </w:r>
            <w:proofErr w:type="spellEnd"/>
            <w:r w:rsidRPr="00A52C6D">
              <w:rPr>
                <w:rFonts w:eastAsia="Times New Roman" w:cs="Calibri"/>
                <w:color w:val="000000"/>
                <w:sz w:val="20"/>
                <w:szCs w:val="20"/>
                <w:lang w:val="en-AU" w:eastAsia="en-AU"/>
              </w:rPr>
              <w:t xml:space="preserve"> Induces Analgesia in Elderly Individuals with Low Back Pain: A Randomized, Double-Blind, Controlled Pilot Study. Evid Based Complement Alternat Med. 2017; 2017() 2378973.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10.1155/2017/2378973</w:t>
            </w:r>
          </w:p>
        </w:tc>
      </w:tr>
      <w:tr w:rsidR="00C37F09" w:rsidRPr="00A52C6D" w14:paraId="433A0E17" w14:textId="77777777" w:rsidTr="00B76ED3">
        <w:trPr>
          <w:trHeight w:val="1200"/>
        </w:trPr>
        <w:tc>
          <w:tcPr>
            <w:tcW w:w="2156" w:type="dxa"/>
            <w:shd w:val="clear" w:color="auto" w:fill="auto"/>
            <w:noWrap/>
            <w:hideMark/>
          </w:tcPr>
          <w:p w14:paraId="025A1A77"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Dehghanmehr</w:t>
            </w:r>
            <w:proofErr w:type="spellEnd"/>
            <w:r w:rsidRPr="00A52C6D">
              <w:rPr>
                <w:rFonts w:eastAsia="Times New Roman" w:cs="Calibri"/>
                <w:b/>
                <w:color w:val="002060"/>
                <w:sz w:val="20"/>
                <w:szCs w:val="20"/>
                <w:lang w:val="en-AU" w:eastAsia="en-AU"/>
              </w:rPr>
              <w:t xml:space="preserve"> 2019</w:t>
            </w:r>
          </w:p>
        </w:tc>
        <w:tc>
          <w:tcPr>
            <w:tcW w:w="7371" w:type="dxa"/>
            <w:shd w:val="clear" w:color="auto" w:fill="auto"/>
            <w:hideMark/>
          </w:tcPr>
          <w:p w14:paraId="55B60712"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Dehghanmehr</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Sargazi</w:t>
            </w:r>
            <w:proofErr w:type="spellEnd"/>
            <w:r w:rsidRPr="00A52C6D">
              <w:rPr>
                <w:rFonts w:eastAsia="Times New Roman" w:cs="Calibri"/>
                <w:color w:val="000000"/>
                <w:sz w:val="20"/>
                <w:szCs w:val="20"/>
                <w:lang w:val="en-AU" w:eastAsia="en-AU"/>
              </w:rPr>
              <w:t xml:space="preserve">, G. H.; </w:t>
            </w:r>
            <w:proofErr w:type="spellStart"/>
            <w:r w:rsidRPr="00A52C6D">
              <w:rPr>
                <w:rFonts w:eastAsia="Times New Roman" w:cs="Calibri"/>
                <w:color w:val="000000"/>
                <w:sz w:val="20"/>
                <w:szCs w:val="20"/>
                <w:lang w:val="en-AU" w:eastAsia="en-AU"/>
              </w:rPr>
              <w:t>Biabani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Nooraein</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Allahyari</w:t>
            </w:r>
            <w:proofErr w:type="spellEnd"/>
            <w:r w:rsidRPr="00A52C6D">
              <w:rPr>
                <w:rFonts w:eastAsia="Times New Roman" w:cs="Calibri"/>
                <w:color w:val="000000"/>
                <w:sz w:val="20"/>
                <w:szCs w:val="20"/>
                <w:lang w:val="en-AU" w:eastAsia="en-AU"/>
              </w:rPr>
              <w:t xml:space="preserve">, J. Comparing the Effect of Acupressure and Foot Reflexology on Anxiety and Depression in </w:t>
            </w:r>
            <w:proofErr w:type="spellStart"/>
            <w:r w:rsidRPr="00A52C6D">
              <w:rPr>
                <w:rFonts w:eastAsia="Times New Roman" w:cs="Calibri"/>
                <w:color w:val="000000"/>
                <w:sz w:val="20"/>
                <w:szCs w:val="20"/>
                <w:lang w:val="en-AU" w:eastAsia="en-AU"/>
              </w:rPr>
              <w:t>Hemodialysis</w:t>
            </w:r>
            <w:proofErr w:type="spellEnd"/>
            <w:r w:rsidRPr="00A52C6D">
              <w:rPr>
                <w:rFonts w:eastAsia="Times New Roman" w:cs="Calibri"/>
                <w:color w:val="000000"/>
                <w:sz w:val="20"/>
                <w:szCs w:val="20"/>
                <w:lang w:val="en-AU" w:eastAsia="en-AU"/>
              </w:rPr>
              <w:t xml:space="preserve"> Patients: </w:t>
            </w:r>
            <w:proofErr w:type="gramStart"/>
            <w:r w:rsidRPr="00A52C6D">
              <w:rPr>
                <w:rFonts w:eastAsia="Times New Roman" w:cs="Calibri"/>
                <w:color w:val="000000"/>
                <w:sz w:val="20"/>
                <w:szCs w:val="20"/>
                <w:lang w:val="en-AU" w:eastAsia="en-AU"/>
              </w:rPr>
              <w:t>a</w:t>
            </w:r>
            <w:proofErr w:type="gramEnd"/>
            <w:r w:rsidRPr="00A52C6D">
              <w:rPr>
                <w:rFonts w:eastAsia="Times New Roman" w:cs="Calibri"/>
                <w:color w:val="000000"/>
                <w:sz w:val="20"/>
                <w:szCs w:val="20"/>
                <w:lang w:val="en-AU" w:eastAsia="en-AU"/>
              </w:rPr>
              <w:t xml:space="preserve"> Clinical Trial. Medical-Surgical Nursing Journal. 2019; 8(4) 45078.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10.5812/msnj.100386</w:t>
            </w:r>
          </w:p>
        </w:tc>
      </w:tr>
      <w:tr w:rsidR="00C37F09" w:rsidRPr="00A52C6D" w14:paraId="7F009BC8" w14:textId="77777777" w:rsidTr="00B76ED3">
        <w:trPr>
          <w:trHeight w:val="1200"/>
        </w:trPr>
        <w:tc>
          <w:tcPr>
            <w:tcW w:w="2156" w:type="dxa"/>
            <w:shd w:val="clear" w:color="auto" w:fill="auto"/>
            <w:noWrap/>
            <w:hideMark/>
          </w:tcPr>
          <w:p w14:paraId="253B5CF4"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lastRenderedPageBreak/>
              <w:t>Dehghanmehr</w:t>
            </w:r>
            <w:proofErr w:type="spellEnd"/>
            <w:r w:rsidRPr="00A52C6D">
              <w:rPr>
                <w:rFonts w:eastAsia="Times New Roman" w:cs="Calibri"/>
                <w:b/>
                <w:color w:val="002060"/>
                <w:sz w:val="20"/>
                <w:szCs w:val="20"/>
                <w:lang w:val="en-AU" w:eastAsia="en-AU"/>
              </w:rPr>
              <w:t xml:space="preserve"> 2018</w:t>
            </w:r>
          </w:p>
        </w:tc>
        <w:tc>
          <w:tcPr>
            <w:tcW w:w="7371" w:type="dxa"/>
            <w:shd w:val="clear" w:color="auto" w:fill="auto"/>
            <w:hideMark/>
          </w:tcPr>
          <w:p w14:paraId="7169B2E3"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Dehghanmehr</w:t>
            </w:r>
            <w:proofErr w:type="spellEnd"/>
            <w:r w:rsidRPr="00A52C6D">
              <w:rPr>
                <w:rFonts w:eastAsia="Times New Roman" w:cs="Calibri"/>
                <w:color w:val="000000"/>
                <w:sz w:val="20"/>
                <w:szCs w:val="20"/>
                <w:lang w:val="en-AU" w:eastAsia="en-AU"/>
              </w:rPr>
              <w:t xml:space="preserve">, S.; Sheikh, G.; </w:t>
            </w:r>
            <w:proofErr w:type="spellStart"/>
            <w:r w:rsidRPr="00A52C6D">
              <w:rPr>
                <w:rFonts w:eastAsia="Times New Roman" w:cs="Calibri"/>
                <w:color w:val="000000"/>
                <w:sz w:val="20"/>
                <w:szCs w:val="20"/>
                <w:lang w:val="en-AU" w:eastAsia="en-AU"/>
              </w:rPr>
              <w:t>Siyasari</w:t>
            </w:r>
            <w:proofErr w:type="spellEnd"/>
            <w:r w:rsidRPr="00A52C6D">
              <w:rPr>
                <w:rFonts w:eastAsia="Times New Roman" w:cs="Calibri"/>
                <w:color w:val="000000"/>
                <w:sz w:val="20"/>
                <w:szCs w:val="20"/>
                <w:lang w:val="en-AU" w:eastAsia="en-AU"/>
              </w:rPr>
              <w:t xml:space="preserve">, A.; Sheikh, A.; </w:t>
            </w:r>
            <w:proofErr w:type="spellStart"/>
            <w:r w:rsidRPr="00A52C6D">
              <w:rPr>
                <w:rFonts w:eastAsia="Times New Roman" w:cs="Calibri"/>
                <w:color w:val="000000"/>
                <w:sz w:val="20"/>
                <w:szCs w:val="20"/>
                <w:lang w:val="en-AU" w:eastAsia="en-AU"/>
              </w:rPr>
              <w:t>Nooraien</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Salarzaei</w:t>
            </w:r>
            <w:proofErr w:type="spellEnd"/>
            <w:r w:rsidRPr="00A52C6D">
              <w:rPr>
                <w:rFonts w:eastAsia="Times New Roman" w:cs="Calibri"/>
                <w:color w:val="000000"/>
                <w:sz w:val="20"/>
                <w:szCs w:val="20"/>
                <w:lang w:val="en-AU" w:eastAsia="en-AU"/>
              </w:rPr>
              <w:t xml:space="preserve">, M. The impact of foot reflexology massage on anxiety caused by blood transfusion in children with thalassemia. International journal of pharmaceutical sciences and research. 2018; 9(5) 2053-2057.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10.13040/IJPSR.0975-8232.9%285%29.2053-57</w:t>
            </w:r>
          </w:p>
        </w:tc>
      </w:tr>
      <w:tr w:rsidR="00C37F09" w:rsidRPr="00A52C6D" w14:paraId="03C1939C" w14:textId="77777777" w:rsidTr="00B76ED3">
        <w:trPr>
          <w:trHeight w:val="900"/>
        </w:trPr>
        <w:tc>
          <w:tcPr>
            <w:tcW w:w="2156" w:type="dxa"/>
            <w:shd w:val="clear" w:color="auto" w:fill="auto"/>
            <w:noWrap/>
            <w:hideMark/>
          </w:tcPr>
          <w:p w14:paraId="55654875"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Deniz 2021</w:t>
            </w:r>
          </w:p>
        </w:tc>
        <w:tc>
          <w:tcPr>
            <w:tcW w:w="7371" w:type="dxa"/>
            <w:shd w:val="clear" w:color="auto" w:fill="auto"/>
            <w:hideMark/>
          </w:tcPr>
          <w:p w14:paraId="299993A3"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Deniz, A. O.; </w:t>
            </w:r>
            <w:proofErr w:type="spellStart"/>
            <w:r w:rsidRPr="00A52C6D">
              <w:rPr>
                <w:rFonts w:eastAsia="Times New Roman" w:cs="Calibri"/>
                <w:color w:val="000000"/>
                <w:sz w:val="20"/>
                <w:szCs w:val="20"/>
                <w:lang w:val="en-AU" w:eastAsia="en-AU"/>
              </w:rPr>
              <w:t>Acikgoz</w:t>
            </w:r>
            <w:proofErr w:type="spellEnd"/>
            <w:r w:rsidRPr="00A52C6D">
              <w:rPr>
                <w:rFonts w:eastAsia="Times New Roman" w:cs="Calibri"/>
                <w:color w:val="000000"/>
                <w:sz w:val="20"/>
                <w:szCs w:val="20"/>
                <w:lang w:val="en-AU" w:eastAsia="en-AU"/>
              </w:rPr>
              <w:t xml:space="preserve">, A. A Randomized Controlled Trial: The Effect of Acupressure and Foot Reflexology on Pain During Heel-Lancing in Neonates. Clinical Nursing Research. 2021; 32(2) 306-312.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https://dx.doi.org/10.1177/10547738211061815</w:t>
            </w:r>
          </w:p>
        </w:tc>
      </w:tr>
      <w:tr w:rsidR="00C37F09" w:rsidRPr="00A52C6D" w14:paraId="4A3FFA4C" w14:textId="77777777" w:rsidTr="00B76ED3">
        <w:trPr>
          <w:trHeight w:val="1200"/>
        </w:trPr>
        <w:tc>
          <w:tcPr>
            <w:tcW w:w="2156" w:type="dxa"/>
            <w:shd w:val="clear" w:color="auto" w:fill="auto"/>
            <w:noWrap/>
            <w:hideMark/>
          </w:tcPr>
          <w:p w14:paraId="34486E69"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Dikmen 2019</w:t>
            </w:r>
          </w:p>
        </w:tc>
        <w:tc>
          <w:tcPr>
            <w:tcW w:w="7371" w:type="dxa"/>
            <w:shd w:val="clear" w:color="auto" w:fill="auto"/>
            <w:hideMark/>
          </w:tcPr>
          <w:p w14:paraId="59C08876"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Dikmen, H. A.; </w:t>
            </w:r>
            <w:proofErr w:type="spellStart"/>
            <w:r w:rsidRPr="00A52C6D">
              <w:rPr>
                <w:rFonts w:eastAsia="Times New Roman" w:cs="Calibri"/>
                <w:color w:val="000000"/>
                <w:sz w:val="20"/>
                <w:szCs w:val="20"/>
                <w:lang w:val="en-AU" w:eastAsia="en-AU"/>
              </w:rPr>
              <w:t>Terzioglu</w:t>
            </w:r>
            <w:proofErr w:type="spellEnd"/>
            <w:r w:rsidRPr="00A52C6D">
              <w:rPr>
                <w:rFonts w:eastAsia="Times New Roman" w:cs="Calibri"/>
                <w:color w:val="000000"/>
                <w:sz w:val="20"/>
                <w:szCs w:val="20"/>
                <w:lang w:val="en-AU" w:eastAsia="en-AU"/>
              </w:rPr>
              <w:t xml:space="preserve">, F. Effects of Reflexology and Progressive Muscle Relaxation on Pain, Fatigue, and Quality of Life during Chemotherapy in </w:t>
            </w:r>
            <w:proofErr w:type="spellStart"/>
            <w:r w:rsidRPr="00A52C6D">
              <w:rPr>
                <w:rFonts w:eastAsia="Times New Roman" w:cs="Calibri"/>
                <w:color w:val="000000"/>
                <w:sz w:val="20"/>
                <w:szCs w:val="20"/>
                <w:lang w:val="en-AU" w:eastAsia="en-AU"/>
              </w:rPr>
              <w:t>Gynecologic</w:t>
            </w:r>
            <w:proofErr w:type="spellEnd"/>
            <w:r w:rsidRPr="00A52C6D">
              <w:rPr>
                <w:rFonts w:eastAsia="Times New Roman" w:cs="Calibri"/>
                <w:color w:val="000000"/>
                <w:sz w:val="20"/>
                <w:szCs w:val="20"/>
                <w:lang w:val="en-AU" w:eastAsia="en-AU"/>
              </w:rPr>
              <w:t xml:space="preserve"> Cancer Patients. Pain Management Nursing. 2019; 20(1) 47-53.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https://dx.doi.org/10.1016/j.pmn.2018.03.001</w:t>
            </w:r>
          </w:p>
        </w:tc>
      </w:tr>
      <w:tr w:rsidR="00C37F09" w:rsidRPr="00A52C6D" w14:paraId="44D17117" w14:textId="77777777" w:rsidTr="00B76ED3">
        <w:trPr>
          <w:trHeight w:val="900"/>
        </w:trPr>
        <w:tc>
          <w:tcPr>
            <w:tcW w:w="2156" w:type="dxa"/>
            <w:shd w:val="clear" w:color="auto" w:fill="auto"/>
            <w:noWrap/>
            <w:hideMark/>
          </w:tcPr>
          <w:p w14:paraId="137210E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Dilek Dogan 2021</w:t>
            </w:r>
          </w:p>
        </w:tc>
        <w:tc>
          <w:tcPr>
            <w:tcW w:w="7371" w:type="dxa"/>
            <w:shd w:val="clear" w:color="auto" w:fill="auto"/>
            <w:hideMark/>
          </w:tcPr>
          <w:p w14:paraId="19FE1DFF"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Dilek Dogan, H.; Tan, M. Effects of Reflexology on Pain, Fatigue, and Quality of Life in Multiple Sclerosis Patients: </w:t>
            </w:r>
            <w:proofErr w:type="gramStart"/>
            <w:r w:rsidRPr="00A52C6D">
              <w:rPr>
                <w:rFonts w:eastAsia="Times New Roman" w:cs="Calibri"/>
                <w:color w:val="000000"/>
                <w:sz w:val="20"/>
                <w:szCs w:val="20"/>
                <w:lang w:val="en-AU" w:eastAsia="en-AU"/>
              </w:rPr>
              <w:t>a</w:t>
            </w:r>
            <w:proofErr w:type="gramEnd"/>
            <w:r w:rsidRPr="00A52C6D">
              <w:rPr>
                <w:rFonts w:eastAsia="Times New Roman" w:cs="Calibri"/>
                <w:color w:val="000000"/>
                <w:sz w:val="20"/>
                <w:szCs w:val="20"/>
                <w:lang w:val="en-AU" w:eastAsia="en-AU"/>
              </w:rPr>
              <w:t xml:space="preserve"> Clinical Study. Alternative Therapies in Health and Medicine. 2021; 27(5) 14-22.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340DADB1" w14:textId="77777777" w:rsidTr="00B76ED3">
        <w:trPr>
          <w:trHeight w:val="1500"/>
        </w:trPr>
        <w:tc>
          <w:tcPr>
            <w:tcW w:w="2156" w:type="dxa"/>
            <w:shd w:val="clear" w:color="auto" w:fill="auto"/>
            <w:noWrap/>
            <w:hideMark/>
          </w:tcPr>
          <w:p w14:paraId="31EC54B3"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Doğru 2021</w:t>
            </w:r>
          </w:p>
        </w:tc>
        <w:tc>
          <w:tcPr>
            <w:tcW w:w="7371" w:type="dxa"/>
            <w:shd w:val="clear" w:color="auto" w:fill="auto"/>
            <w:hideMark/>
          </w:tcPr>
          <w:p w14:paraId="527A2C98"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Doğru, B. V.; </w:t>
            </w:r>
            <w:proofErr w:type="spellStart"/>
            <w:r w:rsidRPr="00A52C6D">
              <w:rPr>
                <w:rFonts w:eastAsia="Times New Roman" w:cs="Calibri"/>
                <w:color w:val="000000"/>
                <w:sz w:val="20"/>
                <w:szCs w:val="20"/>
                <w:lang w:val="en-AU" w:eastAsia="en-AU"/>
              </w:rPr>
              <w:t>ŞenuzunAykar</w:t>
            </w:r>
            <w:proofErr w:type="spellEnd"/>
            <w:r w:rsidRPr="00A52C6D">
              <w:rPr>
                <w:rFonts w:eastAsia="Times New Roman" w:cs="Calibri"/>
                <w:color w:val="000000"/>
                <w:sz w:val="20"/>
                <w:szCs w:val="20"/>
                <w:lang w:val="en-AU" w:eastAsia="en-AU"/>
              </w:rPr>
              <w:t xml:space="preserve">, F.; Yıldırım, Y.; </w:t>
            </w:r>
            <w:proofErr w:type="spellStart"/>
            <w:r w:rsidRPr="00A52C6D">
              <w:rPr>
                <w:rFonts w:eastAsia="Times New Roman" w:cs="Calibri"/>
                <w:color w:val="000000"/>
                <w:sz w:val="20"/>
                <w:szCs w:val="20"/>
                <w:lang w:val="en-AU" w:eastAsia="en-AU"/>
              </w:rPr>
              <w:t>Yavuzgil</w:t>
            </w:r>
            <w:proofErr w:type="spellEnd"/>
            <w:r w:rsidRPr="00A52C6D">
              <w:rPr>
                <w:rFonts w:eastAsia="Times New Roman" w:cs="Calibri"/>
                <w:color w:val="000000"/>
                <w:sz w:val="20"/>
                <w:szCs w:val="20"/>
                <w:lang w:val="en-AU" w:eastAsia="en-AU"/>
              </w:rPr>
              <w:t xml:space="preserve">, O.; </w:t>
            </w:r>
            <w:proofErr w:type="spellStart"/>
            <w:r w:rsidRPr="00A52C6D">
              <w:rPr>
                <w:rFonts w:eastAsia="Times New Roman" w:cs="Calibri"/>
                <w:color w:val="000000"/>
                <w:sz w:val="20"/>
                <w:szCs w:val="20"/>
                <w:lang w:val="en-AU" w:eastAsia="en-AU"/>
              </w:rPr>
              <w:t>Sözmen</w:t>
            </w:r>
            <w:proofErr w:type="spellEnd"/>
            <w:r w:rsidRPr="00A52C6D">
              <w:rPr>
                <w:rFonts w:eastAsia="Times New Roman" w:cs="Calibri"/>
                <w:color w:val="000000"/>
                <w:sz w:val="20"/>
                <w:szCs w:val="20"/>
                <w:lang w:val="en-AU" w:eastAsia="en-AU"/>
              </w:rPr>
              <w:t xml:space="preserve">, E.; Memmedov, H. The Effect of Foot Reflexology Applied Before Coronary Angiography and Percutaneous Transluminal Coronary Angioplasty on Anxiety, Stress, and Cortisol Levels of Individuals: </w:t>
            </w:r>
            <w:proofErr w:type="gramStart"/>
            <w:r w:rsidRPr="00A52C6D">
              <w:rPr>
                <w:rFonts w:eastAsia="Times New Roman" w:cs="Calibri"/>
                <w:color w:val="000000"/>
                <w:sz w:val="20"/>
                <w:szCs w:val="20"/>
                <w:lang w:val="en-AU" w:eastAsia="en-AU"/>
              </w:rPr>
              <w:t>a</w:t>
            </w:r>
            <w:proofErr w:type="gramEnd"/>
            <w:r w:rsidRPr="00A52C6D">
              <w:rPr>
                <w:rFonts w:eastAsia="Times New Roman" w:cs="Calibri"/>
                <w:color w:val="000000"/>
                <w:sz w:val="20"/>
                <w:szCs w:val="20"/>
                <w:lang w:val="en-AU" w:eastAsia="en-AU"/>
              </w:rPr>
              <w:t xml:space="preserve"> Randomized Controlled Trial. Journal of Cardiovascular Nursing. 2021; 36(5) 461-469.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10.1097/JCN.0000000000000700</w:t>
            </w:r>
          </w:p>
        </w:tc>
      </w:tr>
      <w:tr w:rsidR="00C37F09" w:rsidRPr="00A52C6D" w14:paraId="00AF91E9" w14:textId="77777777" w:rsidTr="00B76ED3">
        <w:trPr>
          <w:trHeight w:val="2100"/>
        </w:trPr>
        <w:tc>
          <w:tcPr>
            <w:tcW w:w="2156" w:type="dxa"/>
            <w:shd w:val="clear" w:color="auto" w:fill="auto"/>
            <w:noWrap/>
            <w:hideMark/>
          </w:tcPr>
          <w:p w14:paraId="0BCD3D6A"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Dolatian</w:t>
            </w:r>
            <w:proofErr w:type="spellEnd"/>
            <w:r w:rsidRPr="00A52C6D">
              <w:rPr>
                <w:rFonts w:eastAsia="Times New Roman" w:cs="Calibri"/>
                <w:b/>
                <w:color w:val="002060"/>
                <w:sz w:val="20"/>
                <w:szCs w:val="20"/>
                <w:lang w:val="en-AU" w:eastAsia="en-AU"/>
              </w:rPr>
              <w:t xml:space="preserve"> 2011</w:t>
            </w:r>
          </w:p>
        </w:tc>
        <w:tc>
          <w:tcPr>
            <w:tcW w:w="7371" w:type="dxa"/>
            <w:shd w:val="clear" w:color="auto" w:fill="auto"/>
            <w:hideMark/>
          </w:tcPr>
          <w:p w14:paraId="5BB9C461"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Dolatian</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Hasanpour</w:t>
            </w:r>
            <w:proofErr w:type="spellEnd"/>
            <w:r w:rsidRPr="00A52C6D">
              <w:rPr>
                <w:rFonts w:eastAsia="Times New Roman" w:cs="Calibri"/>
                <w:color w:val="000000"/>
                <w:sz w:val="20"/>
                <w:szCs w:val="20"/>
                <w:lang w:val="en-AU" w:eastAsia="en-AU"/>
              </w:rPr>
              <w:t xml:space="preserve">, A.; Montazeri, </w:t>
            </w:r>
            <w:proofErr w:type="spellStart"/>
            <w:r w:rsidRPr="00A52C6D">
              <w:rPr>
                <w:rFonts w:eastAsia="Times New Roman" w:cs="Calibri"/>
                <w:color w:val="000000"/>
                <w:sz w:val="20"/>
                <w:szCs w:val="20"/>
                <w:lang w:val="en-AU" w:eastAsia="en-AU"/>
              </w:rPr>
              <w:t>Sh</w:t>
            </w:r>
            <w:proofErr w:type="spellEnd"/>
            <w:r w:rsidRPr="00A52C6D">
              <w:rPr>
                <w:rFonts w:eastAsia="Times New Roman" w:cs="Calibri"/>
                <w:color w:val="000000"/>
                <w:sz w:val="20"/>
                <w:szCs w:val="20"/>
                <w:lang w:val="en-AU" w:eastAsia="en-AU"/>
              </w:rPr>
              <w:t xml:space="preserve">; Heshmat, R.; Alavi Majd, H. The effect of reflexology on pain intensity and duration of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on primiparas. Iran Red Crescent Med J. 2011; 13(7) 475-9.</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Dolatian</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Hasanpour</w:t>
            </w:r>
            <w:proofErr w:type="spellEnd"/>
            <w:r w:rsidRPr="00A52C6D">
              <w:rPr>
                <w:rFonts w:eastAsia="Times New Roman" w:cs="Calibri"/>
                <w:color w:val="000000"/>
                <w:sz w:val="20"/>
                <w:szCs w:val="20"/>
                <w:lang w:val="en-AU" w:eastAsia="en-AU"/>
              </w:rPr>
              <w:t xml:space="preserve">, A.; Heshmat, R.; Alavi Majd, H. The effect of reflexology on pain intensity of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Journal of </w:t>
            </w:r>
            <w:proofErr w:type="spellStart"/>
            <w:r w:rsidRPr="00A52C6D">
              <w:rPr>
                <w:rFonts w:eastAsia="Times New Roman" w:cs="Calibri"/>
                <w:color w:val="000000"/>
                <w:sz w:val="20"/>
                <w:szCs w:val="20"/>
                <w:lang w:val="en-AU" w:eastAsia="en-AU"/>
              </w:rPr>
              <w:t>zanjan</w:t>
            </w:r>
            <w:proofErr w:type="spellEnd"/>
            <w:r w:rsidRPr="00A52C6D">
              <w:rPr>
                <w:rFonts w:eastAsia="Times New Roman" w:cs="Calibri"/>
                <w:color w:val="000000"/>
                <w:sz w:val="20"/>
                <w:szCs w:val="20"/>
                <w:lang w:val="en-AU" w:eastAsia="en-AU"/>
              </w:rPr>
              <w:t xml:space="preserve"> university of medical sciences and health services. 2010; 18(72) 52-61. </w:t>
            </w:r>
          </w:p>
        </w:tc>
      </w:tr>
      <w:tr w:rsidR="00C37F09" w:rsidRPr="00A52C6D" w14:paraId="198D3C77" w14:textId="77777777" w:rsidTr="00B76ED3">
        <w:trPr>
          <w:trHeight w:val="900"/>
        </w:trPr>
        <w:tc>
          <w:tcPr>
            <w:tcW w:w="2156" w:type="dxa"/>
            <w:shd w:val="clear" w:color="auto" w:fill="auto"/>
            <w:noWrap/>
            <w:hideMark/>
          </w:tcPr>
          <w:p w14:paraId="6A7D54DC"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Duymaz</w:t>
            </w:r>
            <w:proofErr w:type="spellEnd"/>
            <w:r w:rsidRPr="00A52C6D">
              <w:rPr>
                <w:rFonts w:eastAsia="Times New Roman" w:cs="Calibri"/>
                <w:b/>
                <w:color w:val="002060"/>
                <w:sz w:val="20"/>
                <w:szCs w:val="20"/>
                <w:lang w:val="en-AU" w:eastAsia="en-AU"/>
              </w:rPr>
              <w:t xml:space="preserve"> 2020</w:t>
            </w:r>
          </w:p>
        </w:tc>
        <w:tc>
          <w:tcPr>
            <w:tcW w:w="7371" w:type="dxa"/>
            <w:shd w:val="clear" w:color="auto" w:fill="auto"/>
            <w:hideMark/>
          </w:tcPr>
          <w:p w14:paraId="652D651F"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Duymaz</w:t>
            </w:r>
            <w:proofErr w:type="spellEnd"/>
            <w:r w:rsidRPr="00A52C6D">
              <w:rPr>
                <w:rFonts w:eastAsia="Times New Roman" w:cs="Calibri"/>
                <w:color w:val="000000"/>
                <w:sz w:val="20"/>
                <w:szCs w:val="20"/>
                <w:lang w:val="en-AU" w:eastAsia="en-AU"/>
              </w:rPr>
              <w:t xml:space="preserve">, T. The effectiveness of reflexology in children with cerebral palsy with constipation. Annals of clinical and analytical medicine. 2020; 11(2) 120-124.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10.4328/ACAM.6173</w:t>
            </w:r>
          </w:p>
        </w:tc>
      </w:tr>
      <w:tr w:rsidR="00C37F09" w:rsidRPr="00A52C6D" w14:paraId="21212D91" w14:textId="77777777" w:rsidTr="00B76ED3">
        <w:trPr>
          <w:trHeight w:val="3300"/>
        </w:trPr>
        <w:tc>
          <w:tcPr>
            <w:tcW w:w="2156" w:type="dxa"/>
            <w:shd w:val="clear" w:color="auto" w:fill="auto"/>
            <w:noWrap/>
            <w:hideMark/>
          </w:tcPr>
          <w:p w14:paraId="5A5571C7"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Elbasan 2018</w:t>
            </w:r>
          </w:p>
        </w:tc>
        <w:tc>
          <w:tcPr>
            <w:tcW w:w="7371" w:type="dxa"/>
            <w:shd w:val="clear" w:color="auto" w:fill="auto"/>
            <w:hideMark/>
          </w:tcPr>
          <w:p w14:paraId="1AFAC340"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Elbasan, B.; </w:t>
            </w:r>
            <w:proofErr w:type="spellStart"/>
            <w:r w:rsidRPr="00A52C6D">
              <w:rPr>
                <w:rFonts w:eastAsia="Times New Roman" w:cs="Calibri"/>
                <w:color w:val="000000"/>
                <w:sz w:val="20"/>
                <w:szCs w:val="20"/>
                <w:lang w:val="en-AU" w:eastAsia="en-AU"/>
              </w:rPr>
              <w:t>Bezgin</w:t>
            </w:r>
            <w:proofErr w:type="spellEnd"/>
            <w:r w:rsidRPr="00A52C6D">
              <w:rPr>
                <w:rFonts w:eastAsia="Times New Roman" w:cs="Calibri"/>
                <w:color w:val="000000"/>
                <w:sz w:val="20"/>
                <w:szCs w:val="20"/>
                <w:lang w:val="en-AU" w:eastAsia="en-AU"/>
              </w:rPr>
              <w:t xml:space="preserve">, S. The effects of reflexology on constipation and motor functions in children with cerebral palsy. </w:t>
            </w:r>
            <w:proofErr w:type="spellStart"/>
            <w:r w:rsidRPr="00A52C6D">
              <w:rPr>
                <w:rFonts w:eastAsia="Times New Roman" w:cs="Calibri"/>
                <w:color w:val="000000"/>
                <w:sz w:val="20"/>
                <w:szCs w:val="20"/>
                <w:lang w:val="en-AU" w:eastAsia="en-AU"/>
              </w:rPr>
              <w:t>Pediatrics</w:t>
            </w:r>
            <w:proofErr w:type="spellEnd"/>
            <w:r w:rsidRPr="00A52C6D">
              <w:rPr>
                <w:rFonts w:eastAsia="Times New Roman" w:cs="Calibri"/>
                <w:color w:val="000000"/>
                <w:sz w:val="20"/>
                <w:szCs w:val="20"/>
                <w:lang w:val="en-AU" w:eastAsia="en-AU"/>
              </w:rPr>
              <w:t xml:space="preserve"> and neonatology. 2018; 59(1) 42-47.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10.1016/j.pedneo.2017.01.005</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Elbasan, B.; </w:t>
            </w:r>
            <w:proofErr w:type="spellStart"/>
            <w:r w:rsidRPr="00A52C6D">
              <w:rPr>
                <w:rFonts w:eastAsia="Times New Roman" w:cs="Calibri"/>
                <w:color w:val="000000"/>
                <w:sz w:val="20"/>
                <w:szCs w:val="20"/>
                <w:lang w:val="en-AU" w:eastAsia="en-AU"/>
              </w:rPr>
              <w:t>Bezgin</w:t>
            </w:r>
            <w:proofErr w:type="spellEnd"/>
            <w:r w:rsidRPr="00A52C6D">
              <w:rPr>
                <w:rFonts w:eastAsia="Times New Roman" w:cs="Calibri"/>
                <w:color w:val="000000"/>
                <w:sz w:val="20"/>
                <w:szCs w:val="20"/>
                <w:lang w:val="en-AU" w:eastAsia="en-AU"/>
              </w:rPr>
              <w:t xml:space="preserve">, S. The investigation of the effects of reflexology with neurodevelopmental treatment approach on gross motor function and quality of life children with cerebral palsy. </w:t>
            </w:r>
            <w:proofErr w:type="spellStart"/>
            <w:r w:rsidRPr="00A52C6D">
              <w:rPr>
                <w:rFonts w:eastAsia="Times New Roman" w:cs="Calibri"/>
                <w:color w:val="000000"/>
                <w:sz w:val="20"/>
                <w:szCs w:val="20"/>
                <w:lang w:val="en-AU" w:eastAsia="en-AU"/>
              </w:rPr>
              <w:t>Fizyoterapi</w:t>
            </w:r>
            <w:proofErr w:type="spell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rehabilitasyon</w:t>
            </w:r>
            <w:proofErr w:type="spellEnd"/>
            <w:r w:rsidRPr="00A52C6D">
              <w:rPr>
                <w:rFonts w:eastAsia="Times New Roman" w:cs="Calibri"/>
                <w:color w:val="000000"/>
                <w:sz w:val="20"/>
                <w:szCs w:val="20"/>
                <w:lang w:val="en-AU" w:eastAsia="en-AU"/>
              </w:rPr>
              <w:t>. 2015; 26(2) S24-S25.</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Bezgin</w:t>
            </w:r>
            <w:proofErr w:type="spellEnd"/>
            <w:r w:rsidRPr="00A52C6D">
              <w:rPr>
                <w:rFonts w:eastAsia="Times New Roman" w:cs="Calibri"/>
                <w:color w:val="000000"/>
                <w:sz w:val="20"/>
                <w:szCs w:val="20"/>
                <w:lang w:val="en-AU" w:eastAsia="en-AU"/>
              </w:rPr>
              <w:t xml:space="preserve">, S.; Elbasan, B. The investigation of the effects of reflexology with neurodevelopmental treatment approach on gross motor function and constipation children with cerebral palsy. </w:t>
            </w:r>
            <w:proofErr w:type="spellStart"/>
            <w:r w:rsidRPr="00A52C6D">
              <w:rPr>
                <w:rFonts w:eastAsia="Times New Roman" w:cs="Calibri"/>
                <w:color w:val="000000"/>
                <w:sz w:val="20"/>
                <w:szCs w:val="20"/>
                <w:lang w:val="en-AU" w:eastAsia="en-AU"/>
              </w:rPr>
              <w:t>Fizyoterapi</w:t>
            </w:r>
            <w:proofErr w:type="spell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rehabilitasyon</w:t>
            </w:r>
            <w:proofErr w:type="spellEnd"/>
            <w:r w:rsidRPr="00A52C6D">
              <w:rPr>
                <w:rFonts w:eastAsia="Times New Roman" w:cs="Calibri"/>
                <w:color w:val="000000"/>
                <w:sz w:val="20"/>
                <w:szCs w:val="20"/>
                <w:lang w:val="en-AU" w:eastAsia="en-AU"/>
              </w:rPr>
              <w:t xml:space="preserve">. 2015; 26(3) S15-S16. </w:t>
            </w:r>
          </w:p>
        </w:tc>
      </w:tr>
      <w:tr w:rsidR="00C37F09" w:rsidRPr="00A52C6D" w14:paraId="6B93B445" w14:textId="77777777" w:rsidTr="00B76ED3">
        <w:trPr>
          <w:trHeight w:val="1200"/>
        </w:trPr>
        <w:tc>
          <w:tcPr>
            <w:tcW w:w="2156" w:type="dxa"/>
            <w:shd w:val="clear" w:color="auto" w:fill="auto"/>
            <w:noWrap/>
            <w:hideMark/>
          </w:tcPr>
          <w:p w14:paraId="10DDD9D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Fazlollah 2021</w:t>
            </w:r>
          </w:p>
        </w:tc>
        <w:tc>
          <w:tcPr>
            <w:tcW w:w="7371" w:type="dxa"/>
            <w:shd w:val="clear" w:color="auto" w:fill="auto"/>
            <w:hideMark/>
          </w:tcPr>
          <w:p w14:paraId="29F9B4A4"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Fazlollah, A.; </w:t>
            </w:r>
            <w:proofErr w:type="spellStart"/>
            <w:r w:rsidRPr="00A52C6D">
              <w:rPr>
                <w:rFonts w:eastAsia="Times New Roman" w:cs="Calibri"/>
                <w:color w:val="000000"/>
                <w:sz w:val="20"/>
                <w:szCs w:val="20"/>
                <w:lang w:val="en-AU" w:eastAsia="en-AU"/>
              </w:rPr>
              <w:t>Babatabar</w:t>
            </w:r>
            <w:proofErr w:type="spellEnd"/>
            <w:r w:rsidRPr="00A52C6D">
              <w:rPr>
                <w:rFonts w:eastAsia="Times New Roman" w:cs="Calibri"/>
                <w:color w:val="000000"/>
                <w:sz w:val="20"/>
                <w:szCs w:val="20"/>
                <w:lang w:val="en-AU" w:eastAsia="en-AU"/>
              </w:rPr>
              <w:t xml:space="preserve"> Darzi, H.; </w:t>
            </w:r>
            <w:proofErr w:type="spellStart"/>
            <w:r w:rsidRPr="00A52C6D">
              <w:rPr>
                <w:rFonts w:eastAsia="Times New Roman" w:cs="Calibri"/>
                <w:color w:val="000000"/>
                <w:sz w:val="20"/>
                <w:szCs w:val="20"/>
                <w:lang w:val="en-AU" w:eastAsia="en-AU"/>
              </w:rPr>
              <w:t>Heidaranlu</w:t>
            </w:r>
            <w:proofErr w:type="spellEnd"/>
            <w:r w:rsidRPr="00A52C6D">
              <w:rPr>
                <w:rFonts w:eastAsia="Times New Roman" w:cs="Calibri"/>
                <w:color w:val="000000"/>
                <w:sz w:val="20"/>
                <w:szCs w:val="20"/>
                <w:lang w:val="en-AU" w:eastAsia="en-AU"/>
              </w:rPr>
              <w:t xml:space="preserve">, E.; Moradian, S. T. The effect of foot reflexology massage on delirium and sleep quality following cardiac surgery: A randomized clinical trial. Complementary Therapies in Medicine. 2021; 60() 102738-.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10.1016/j.ctim.2021.102738</w:t>
            </w:r>
          </w:p>
        </w:tc>
      </w:tr>
      <w:tr w:rsidR="00C37F09" w:rsidRPr="00A52C6D" w14:paraId="07E9EBB0" w14:textId="77777777" w:rsidTr="00B76ED3">
        <w:trPr>
          <w:trHeight w:val="1200"/>
        </w:trPr>
        <w:tc>
          <w:tcPr>
            <w:tcW w:w="2156" w:type="dxa"/>
            <w:shd w:val="clear" w:color="auto" w:fill="auto"/>
            <w:noWrap/>
            <w:hideMark/>
          </w:tcPr>
          <w:p w14:paraId="1C7799DA"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Ghaljaei</w:t>
            </w:r>
            <w:proofErr w:type="spellEnd"/>
            <w:r w:rsidRPr="00A52C6D">
              <w:rPr>
                <w:rFonts w:eastAsia="Times New Roman" w:cs="Calibri"/>
                <w:b/>
                <w:color w:val="002060"/>
                <w:sz w:val="20"/>
                <w:szCs w:val="20"/>
                <w:lang w:val="en-AU" w:eastAsia="en-AU"/>
              </w:rPr>
              <w:t xml:space="preserve"> 2021</w:t>
            </w:r>
          </w:p>
        </w:tc>
        <w:tc>
          <w:tcPr>
            <w:tcW w:w="7371" w:type="dxa"/>
            <w:shd w:val="clear" w:color="auto" w:fill="auto"/>
            <w:hideMark/>
          </w:tcPr>
          <w:p w14:paraId="3356117E"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Ghaljaei</w:t>
            </w:r>
            <w:proofErr w:type="spellEnd"/>
            <w:r w:rsidRPr="00A52C6D">
              <w:rPr>
                <w:rFonts w:eastAsia="Times New Roman" w:cs="Calibri"/>
                <w:color w:val="000000"/>
                <w:sz w:val="20"/>
                <w:szCs w:val="20"/>
                <w:lang w:val="en-AU" w:eastAsia="en-AU"/>
              </w:rPr>
              <w:t xml:space="preserve">, F.; </w:t>
            </w:r>
            <w:proofErr w:type="spellStart"/>
            <w:r w:rsidRPr="00A52C6D">
              <w:rPr>
                <w:rFonts w:eastAsia="Times New Roman" w:cs="Calibri"/>
                <w:color w:val="000000"/>
                <w:sz w:val="20"/>
                <w:szCs w:val="20"/>
                <w:lang w:val="en-AU" w:eastAsia="en-AU"/>
              </w:rPr>
              <w:t>Jalalodini</w:t>
            </w:r>
            <w:proofErr w:type="spellEnd"/>
            <w:r w:rsidRPr="00A52C6D">
              <w:rPr>
                <w:rFonts w:eastAsia="Times New Roman" w:cs="Calibri"/>
                <w:color w:val="000000"/>
                <w:sz w:val="20"/>
                <w:szCs w:val="20"/>
                <w:lang w:val="en-AU" w:eastAsia="en-AU"/>
              </w:rPr>
              <w:t xml:space="preserve">, A. The effects of foot reflexology on pain and physiological indicators in children with leukemia under chemotherapy: a clinical trial study. Rep </w:t>
            </w:r>
            <w:proofErr w:type="spellStart"/>
            <w:r w:rsidRPr="00A52C6D">
              <w:rPr>
                <w:rFonts w:eastAsia="Times New Roman" w:cs="Calibri"/>
                <w:color w:val="000000"/>
                <w:sz w:val="20"/>
                <w:szCs w:val="20"/>
                <w:lang w:val="en-AU" w:eastAsia="en-AU"/>
              </w:rPr>
              <w:t>Pract</w:t>
            </w:r>
            <w:proofErr w:type="spellEnd"/>
            <w:r w:rsidRPr="00A52C6D">
              <w:rPr>
                <w:rFonts w:eastAsia="Times New Roman" w:cs="Calibri"/>
                <w:color w:val="000000"/>
                <w:sz w:val="20"/>
                <w:szCs w:val="20"/>
                <w:lang w:val="en-AU" w:eastAsia="en-AU"/>
              </w:rPr>
              <w:t xml:space="preserve"> Oncol </w:t>
            </w:r>
            <w:proofErr w:type="spellStart"/>
            <w:r w:rsidRPr="00A52C6D">
              <w:rPr>
                <w:rFonts w:eastAsia="Times New Roman" w:cs="Calibri"/>
                <w:color w:val="000000"/>
                <w:sz w:val="20"/>
                <w:szCs w:val="20"/>
                <w:lang w:val="en-AU" w:eastAsia="en-AU"/>
              </w:rPr>
              <w:t>Radiother</w:t>
            </w:r>
            <w:proofErr w:type="spellEnd"/>
            <w:r w:rsidRPr="00A52C6D">
              <w:rPr>
                <w:rFonts w:eastAsia="Times New Roman" w:cs="Calibri"/>
                <w:color w:val="000000"/>
                <w:sz w:val="20"/>
                <w:szCs w:val="20"/>
                <w:lang w:val="en-AU" w:eastAsia="en-AU"/>
              </w:rPr>
              <w:t xml:space="preserve">. 2021; 26(6) 955-961.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10.5603/RPOR.a2021.0116</w:t>
            </w:r>
          </w:p>
        </w:tc>
      </w:tr>
      <w:tr w:rsidR="00C37F09" w:rsidRPr="00A52C6D" w14:paraId="581946FB" w14:textId="77777777" w:rsidTr="00B76ED3">
        <w:trPr>
          <w:trHeight w:val="1800"/>
        </w:trPr>
        <w:tc>
          <w:tcPr>
            <w:tcW w:w="2156" w:type="dxa"/>
            <w:shd w:val="clear" w:color="auto" w:fill="auto"/>
            <w:noWrap/>
            <w:hideMark/>
          </w:tcPr>
          <w:p w14:paraId="34037B68"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lastRenderedPageBreak/>
              <w:t>Ghanbari 2022</w:t>
            </w:r>
          </w:p>
        </w:tc>
        <w:tc>
          <w:tcPr>
            <w:tcW w:w="7371" w:type="dxa"/>
            <w:shd w:val="clear" w:color="auto" w:fill="auto"/>
            <w:hideMark/>
          </w:tcPr>
          <w:p w14:paraId="04A20EAA"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Ghanbari, Alireza; </w:t>
            </w:r>
            <w:proofErr w:type="spellStart"/>
            <w:r w:rsidRPr="00A52C6D">
              <w:rPr>
                <w:rFonts w:eastAsia="Times New Roman" w:cs="Calibri"/>
                <w:color w:val="000000"/>
                <w:sz w:val="20"/>
                <w:szCs w:val="20"/>
                <w:lang w:val="en-AU" w:eastAsia="en-AU"/>
              </w:rPr>
              <w:t>Mangolian</w:t>
            </w:r>
            <w:proofErr w:type="spell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Shahrbabaki</w:t>
            </w:r>
            <w:proofErr w:type="spellEnd"/>
            <w:r w:rsidRPr="00A52C6D">
              <w:rPr>
                <w:rFonts w:eastAsia="Times New Roman" w:cs="Calibri"/>
                <w:color w:val="000000"/>
                <w:sz w:val="20"/>
                <w:szCs w:val="20"/>
                <w:lang w:val="en-AU" w:eastAsia="en-AU"/>
              </w:rPr>
              <w:t xml:space="preserve">, Parvin; Dehghan, Mahlagha; </w:t>
            </w:r>
            <w:proofErr w:type="spellStart"/>
            <w:r w:rsidRPr="00A52C6D">
              <w:rPr>
                <w:rFonts w:eastAsia="Times New Roman" w:cs="Calibri"/>
                <w:color w:val="000000"/>
                <w:sz w:val="20"/>
                <w:szCs w:val="20"/>
                <w:lang w:val="en-AU" w:eastAsia="en-AU"/>
              </w:rPr>
              <w:t>Mardanparvar</w:t>
            </w:r>
            <w:proofErr w:type="spellEnd"/>
            <w:r w:rsidRPr="00A52C6D">
              <w:rPr>
                <w:rFonts w:eastAsia="Times New Roman" w:cs="Calibri"/>
                <w:color w:val="000000"/>
                <w:sz w:val="20"/>
                <w:szCs w:val="20"/>
                <w:lang w:val="en-AU" w:eastAsia="en-AU"/>
              </w:rPr>
              <w:t xml:space="preserve">, Hossein; Dowlat Abadi, Esmaeil Kargar; Emami, Asghar; </w:t>
            </w:r>
            <w:proofErr w:type="spellStart"/>
            <w:r w:rsidRPr="00A52C6D">
              <w:rPr>
                <w:rFonts w:eastAsia="Times New Roman" w:cs="Calibri"/>
                <w:color w:val="000000"/>
                <w:sz w:val="20"/>
                <w:szCs w:val="20"/>
                <w:lang w:val="en-AU" w:eastAsia="en-AU"/>
              </w:rPr>
              <w:t>Sarikhani</w:t>
            </w:r>
            <w:proofErr w:type="spellEnd"/>
            <w:r w:rsidRPr="00A52C6D">
              <w:rPr>
                <w:rFonts w:eastAsia="Times New Roman" w:cs="Calibri"/>
                <w:color w:val="000000"/>
                <w:sz w:val="20"/>
                <w:szCs w:val="20"/>
                <w:lang w:val="en-AU" w:eastAsia="en-AU"/>
              </w:rPr>
              <w:t xml:space="preserve">-Khorrami, Esmaeil Comparison of the Effect of Reflexology and Swedish Massage on Restless Legs Syndrome and Sleep Quality in Patients Undergoing </w:t>
            </w:r>
            <w:proofErr w:type="spellStart"/>
            <w:r w:rsidRPr="00A52C6D">
              <w:rPr>
                <w:rFonts w:eastAsia="Times New Roman" w:cs="Calibri"/>
                <w:color w:val="000000"/>
                <w:sz w:val="20"/>
                <w:szCs w:val="20"/>
                <w:lang w:val="en-AU" w:eastAsia="en-AU"/>
              </w:rPr>
              <w:t>Hemodialysis</w:t>
            </w:r>
            <w:proofErr w:type="spellEnd"/>
            <w:r w:rsidRPr="00A52C6D">
              <w:rPr>
                <w:rFonts w:eastAsia="Times New Roman" w:cs="Calibri"/>
                <w:color w:val="000000"/>
                <w:sz w:val="20"/>
                <w:szCs w:val="20"/>
                <w:lang w:val="en-AU" w:eastAsia="en-AU"/>
              </w:rPr>
              <w:t xml:space="preserve">: </w:t>
            </w:r>
            <w:proofErr w:type="gramStart"/>
            <w:r w:rsidRPr="00A52C6D">
              <w:rPr>
                <w:rFonts w:eastAsia="Times New Roman" w:cs="Calibri"/>
                <w:color w:val="000000"/>
                <w:sz w:val="20"/>
                <w:szCs w:val="20"/>
                <w:lang w:val="en-AU" w:eastAsia="en-AU"/>
              </w:rPr>
              <w:t>a</w:t>
            </w:r>
            <w:proofErr w:type="gramEnd"/>
            <w:r w:rsidRPr="00A52C6D">
              <w:rPr>
                <w:rFonts w:eastAsia="Times New Roman" w:cs="Calibri"/>
                <w:color w:val="000000"/>
                <w:sz w:val="20"/>
                <w:szCs w:val="20"/>
                <w:lang w:val="en-AU" w:eastAsia="en-AU"/>
              </w:rPr>
              <w:t xml:space="preserve"> Randomized Clinical Trial. International Journal of Therapeutic Massage &amp; Bodywork. 2022; 15(2) 41275.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10.3822/</w:t>
            </w:r>
            <w:proofErr w:type="gramStart"/>
            <w:r w:rsidRPr="00A52C6D">
              <w:rPr>
                <w:rFonts w:eastAsia="Times New Roman" w:cs="Calibri"/>
                <w:color w:val="000000"/>
                <w:sz w:val="20"/>
                <w:szCs w:val="20"/>
                <w:lang w:val="en-AU" w:eastAsia="en-AU"/>
              </w:rPr>
              <w:t>ijtmb.v</w:t>
            </w:r>
            <w:proofErr w:type="gramEnd"/>
            <w:r w:rsidRPr="00A52C6D">
              <w:rPr>
                <w:rFonts w:eastAsia="Times New Roman" w:cs="Calibri"/>
                <w:color w:val="000000"/>
                <w:sz w:val="20"/>
                <w:szCs w:val="20"/>
                <w:lang w:val="en-AU" w:eastAsia="en-AU"/>
              </w:rPr>
              <w:t>15i2.705</w:t>
            </w:r>
          </w:p>
        </w:tc>
      </w:tr>
      <w:tr w:rsidR="00C37F09" w:rsidRPr="00A52C6D" w14:paraId="2A8E15E9" w14:textId="77777777" w:rsidTr="00B76ED3">
        <w:trPr>
          <w:trHeight w:val="1200"/>
        </w:trPr>
        <w:tc>
          <w:tcPr>
            <w:tcW w:w="2156" w:type="dxa"/>
            <w:shd w:val="clear" w:color="auto" w:fill="auto"/>
            <w:noWrap/>
            <w:hideMark/>
          </w:tcPr>
          <w:p w14:paraId="5CC4E00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Ghasemi 2021</w:t>
            </w:r>
          </w:p>
        </w:tc>
        <w:tc>
          <w:tcPr>
            <w:tcW w:w="7371" w:type="dxa"/>
            <w:shd w:val="clear" w:color="auto" w:fill="auto"/>
            <w:hideMark/>
          </w:tcPr>
          <w:p w14:paraId="07D25185"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Ghasemi, M.; </w:t>
            </w:r>
            <w:proofErr w:type="spellStart"/>
            <w:r w:rsidRPr="00A52C6D">
              <w:rPr>
                <w:rFonts w:eastAsia="Times New Roman" w:cs="Calibri"/>
                <w:color w:val="000000"/>
                <w:sz w:val="20"/>
                <w:szCs w:val="20"/>
                <w:lang w:val="en-AU" w:eastAsia="en-AU"/>
              </w:rPr>
              <w:t>Rejeh</w:t>
            </w:r>
            <w:proofErr w:type="spellEnd"/>
            <w:r w:rsidRPr="00A52C6D">
              <w:rPr>
                <w:rFonts w:eastAsia="Times New Roman" w:cs="Calibri"/>
                <w:color w:val="000000"/>
                <w:sz w:val="20"/>
                <w:szCs w:val="20"/>
                <w:lang w:val="en-AU" w:eastAsia="en-AU"/>
              </w:rPr>
              <w:t xml:space="preserve">, N.; Bahrami, T.; Heravi-Karimooi, M.; </w:t>
            </w:r>
            <w:proofErr w:type="spellStart"/>
            <w:r w:rsidRPr="00A52C6D">
              <w:rPr>
                <w:rFonts w:eastAsia="Times New Roman" w:cs="Calibri"/>
                <w:color w:val="000000"/>
                <w:sz w:val="20"/>
                <w:szCs w:val="20"/>
                <w:lang w:val="en-AU" w:eastAsia="en-AU"/>
              </w:rPr>
              <w:t>Tadrisi</w:t>
            </w:r>
            <w:proofErr w:type="spellEnd"/>
            <w:r w:rsidRPr="00A52C6D">
              <w:rPr>
                <w:rFonts w:eastAsia="Times New Roman" w:cs="Calibri"/>
                <w:color w:val="000000"/>
                <w:sz w:val="20"/>
                <w:szCs w:val="20"/>
                <w:lang w:val="en-AU" w:eastAsia="en-AU"/>
              </w:rPr>
              <w:t xml:space="preserve">, S. D.; </w:t>
            </w:r>
            <w:proofErr w:type="spellStart"/>
            <w:r w:rsidRPr="00A52C6D">
              <w:rPr>
                <w:rFonts w:eastAsia="Times New Roman" w:cs="Calibri"/>
                <w:color w:val="000000"/>
                <w:sz w:val="20"/>
                <w:szCs w:val="20"/>
                <w:lang w:val="en-AU" w:eastAsia="en-AU"/>
              </w:rPr>
              <w:t>Vaismoradi</w:t>
            </w:r>
            <w:proofErr w:type="spellEnd"/>
            <w:r w:rsidRPr="00A52C6D">
              <w:rPr>
                <w:rFonts w:eastAsia="Times New Roman" w:cs="Calibri"/>
                <w:color w:val="000000"/>
                <w:sz w:val="20"/>
                <w:szCs w:val="20"/>
                <w:lang w:val="en-AU" w:eastAsia="en-AU"/>
              </w:rPr>
              <w:t xml:space="preserve">, M. Aromatherapy Massage vs. Foot Reflexology on the Severity of Restless Legs Syndrome in Female Patients Undergoing </w:t>
            </w:r>
            <w:proofErr w:type="spellStart"/>
            <w:r w:rsidRPr="00A52C6D">
              <w:rPr>
                <w:rFonts w:eastAsia="Times New Roman" w:cs="Calibri"/>
                <w:color w:val="000000"/>
                <w:sz w:val="20"/>
                <w:szCs w:val="20"/>
                <w:lang w:val="en-AU" w:eastAsia="en-AU"/>
              </w:rPr>
              <w:t>Hemodialysis</w:t>
            </w:r>
            <w:proofErr w:type="spellEnd"/>
            <w:r w:rsidRPr="00A52C6D">
              <w:rPr>
                <w:rFonts w:eastAsia="Times New Roman" w:cs="Calibri"/>
                <w:color w:val="000000"/>
                <w:sz w:val="20"/>
                <w:szCs w:val="20"/>
                <w:lang w:val="en-AU" w:eastAsia="en-AU"/>
              </w:rPr>
              <w:t>. Geriatrics (Basel). 2021; 6(99</w:t>
            </w:r>
            <w:proofErr w:type="gramStart"/>
            <w:r w:rsidRPr="00A52C6D">
              <w:rPr>
                <w:rFonts w:eastAsia="Times New Roman" w:cs="Calibri"/>
                <w:color w:val="000000"/>
                <w:sz w:val="20"/>
                <w:szCs w:val="20"/>
                <w:lang w:val="en-AU" w:eastAsia="en-AU"/>
              </w:rPr>
              <w:t>) .</w:t>
            </w:r>
            <w:proofErr w:type="gram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10.3390/geriatrics6040099</w:t>
            </w:r>
          </w:p>
        </w:tc>
      </w:tr>
      <w:tr w:rsidR="00C37F09" w:rsidRPr="00A52C6D" w14:paraId="1524E0D5" w14:textId="77777777" w:rsidTr="00B76ED3">
        <w:trPr>
          <w:trHeight w:val="1200"/>
        </w:trPr>
        <w:tc>
          <w:tcPr>
            <w:tcW w:w="2156" w:type="dxa"/>
            <w:shd w:val="clear" w:color="auto" w:fill="auto"/>
            <w:noWrap/>
            <w:hideMark/>
          </w:tcPr>
          <w:p w14:paraId="27EB6722"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Gok Metin 2016</w:t>
            </w:r>
          </w:p>
        </w:tc>
        <w:tc>
          <w:tcPr>
            <w:tcW w:w="7371" w:type="dxa"/>
            <w:shd w:val="clear" w:color="auto" w:fill="auto"/>
            <w:hideMark/>
          </w:tcPr>
          <w:p w14:paraId="0CE054E1"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Gok Metin, Z.; Ozdemir, L. The Effects of Aromatherapy Massage and Reflexology on Pain and Fatigue in Patients with Rheumatoid Arthritis: A Randomized Controlled Trial. Pain Management Nursing. 2016; 17(2) 140-149.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https://dx.doi.org/10.1016/j.pmn.2016.01.004</w:t>
            </w:r>
          </w:p>
        </w:tc>
      </w:tr>
      <w:tr w:rsidR="00C37F09" w:rsidRPr="00A52C6D" w14:paraId="5FE1B8BE" w14:textId="77777777" w:rsidTr="00B76ED3">
        <w:trPr>
          <w:trHeight w:val="1200"/>
        </w:trPr>
        <w:tc>
          <w:tcPr>
            <w:tcW w:w="2156" w:type="dxa"/>
            <w:shd w:val="clear" w:color="auto" w:fill="auto"/>
            <w:noWrap/>
            <w:hideMark/>
          </w:tcPr>
          <w:p w14:paraId="42D1FB7C"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Gol 2021</w:t>
            </w:r>
          </w:p>
        </w:tc>
        <w:tc>
          <w:tcPr>
            <w:tcW w:w="7371" w:type="dxa"/>
            <w:shd w:val="clear" w:color="auto" w:fill="auto"/>
            <w:hideMark/>
          </w:tcPr>
          <w:p w14:paraId="0CA98F0E" w14:textId="0C98E9CD"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Gol, M. K.; </w:t>
            </w:r>
            <w:proofErr w:type="spellStart"/>
            <w:r w:rsidRPr="00A52C6D">
              <w:rPr>
                <w:rFonts w:eastAsia="Times New Roman" w:cs="Calibri"/>
                <w:color w:val="000000"/>
                <w:sz w:val="20"/>
                <w:szCs w:val="20"/>
                <w:lang w:val="en-AU" w:eastAsia="en-AU"/>
              </w:rPr>
              <w:t>Aghamohamadi</w:t>
            </w:r>
            <w:proofErr w:type="spellEnd"/>
            <w:r w:rsidRPr="00A52C6D">
              <w:rPr>
                <w:rFonts w:eastAsia="Times New Roman" w:cs="Calibri"/>
                <w:color w:val="000000"/>
                <w:sz w:val="20"/>
                <w:szCs w:val="20"/>
                <w:lang w:val="en-AU" w:eastAsia="en-AU"/>
              </w:rPr>
              <w:t xml:space="preserve">, D. Effects of foot reflexology on severity of pain and opioid dosage administered to patients undergoing a discectomy: a randomized clinical trial. Crescent journal of medical and biological sciences. 2021; 8(3) 209-214. </w:t>
            </w:r>
          </w:p>
        </w:tc>
      </w:tr>
      <w:tr w:rsidR="00C37F09" w:rsidRPr="00A52C6D" w14:paraId="0ACDF71D" w14:textId="77777777" w:rsidTr="00B76ED3">
        <w:trPr>
          <w:trHeight w:val="1200"/>
        </w:trPr>
        <w:tc>
          <w:tcPr>
            <w:tcW w:w="2156" w:type="dxa"/>
            <w:shd w:val="clear" w:color="auto" w:fill="auto"/>
            <w:noWrap/>
            <w:hideMark/>
          </w:tcPr>
          <w:p w14:paraId="717934C0"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Göral</w:t>
            </w:r>
            <w:proofErr w:type="spellEnd"/>
            <w:r w:rsidRPr="00A52C6D">
              <w:rPr>
                <w:rFonts w:eastAsia="Times New Roman" w:cs="Calibri"/>
                <w:b/>
                <w:color w:val="002060"/>
                <w:sz w:val="20"/>
                <w:szCs w:val="20"/>
                <w:lang w:val="en-AU" w:eastAsia="en-AU"/>
              </w:rPr>
              <w:t xml:space="preserve"> </w:t>
            </w:r>
            <w:proofErr w:type="spellStart"/>
            <w:r w:rsidRPr="00A52C6D">
              <w:rPr>
                <w:rFonts w:eastAsia="Times New Roman" w:cs="Calibri"/>
                <w:b/>
                <w:color w:val="002060"/>
                <w:sz w:val="20"/>
                <w:szCs w:val="20"/>
                <w:lang w:val="en-AU" w:eastAsia="en-AU"/>
              </w:rPr>
              <w:t>Türkcü</w:t>
            </w:r>
            <w:proofErr w:type="spellEnd"/>
            <w:r w:rsidRPr="00A52C6D">
              <w:rPr>
                <w:rFonts w:eastAsia="Times New Roman" w:cs="Calibri"/>
                <w:b/>
                <w:color w:val="002060"/>
                <w:sz w:val="20"/>
                <w:szCs w:val="20"/>
                <w:lang w:val="en-AU" w:eastAsia="en-AU"/>
              </w:rPr>
              <w:t xml:space="preserve"> 2021</w:t>
            </w:r>
          </w:p>
        </w:tc>
        <w:tc>
          <w:tcPr>
            <w:tcW w:w="7371" w:type="dxa"/>
            <w:shd w:val="clear" w:color="auto" w:fill="auto"/>
            <w:hideMark/>
          </w:tcPr>
          <w:p w14:paraId="51E9A0E3"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Goral </w:t>
            </w:r>
            <w:proofErr w:type="spellStart"/>
            <w:r w:rsidRPr="00A52C6D">
              <w:rPr>
                <w:rFonts w:eastAsia="Times New Roman" w:cs="Calibri"/>
                <w:color w:val="000000"/>
                <w:sz w:val="20"/>
                <w:szCs w:val="20"/>
                <w:lang w:val="en-AU" w:eastAsia="en-AU"/>
              </w:rPr>
              <w:t>Turkcu</w:t>
            </w:r>
            <w:proofErr w:type="spellEnd"/>
            <w:r w:rsidRPr="00A52C6D">
              <w:rPr>
                <w:rFonts w:eastAsia="Times New Roman" w:cs="Calibri"/>
                <w:color w:val="000000"/>
                <w:sz w:val="20"/>
                <w:szCs w:val="20"/>
                <w:lang w:val="en-AU" w:eastAsia="en-AU"/>
              </w:rPr>
              <w:t xml:space="preserve">, S.; Ozkan, S. The effects of reflexology on anxiety, depression and quality of life in patients with </w:t>
            </w:r>
            <w:proofErr w:type="spellStart"/>
            <w:r w:rsidRPr="00A52C6D">
              <w:rPr>
                <w:rFonts w:eastAsia="Times New Roman" w:cs="Calibri"/>
                <w:color w:val="000000"/>
                <w:sz w:val="20"/>
                <w:szCs w:val="20"/>
                <w:lang w:val="en-AU" w:eastAsia="en-AU"/>
              </w:rPr>
              <w:t>gynecological</w:t>
            </w:r>
            <w:proofErr w:type="spellEnd"/>
            <w:r w:rsidRPr="00A52C6D">
              <w:rPr>
                <w:rFonts w:eastAsia="Times New Roman" w:cs="Calibri"/>
                <w:color w:val="000000"/>
                <w:sz w:val="20"/>
                <w:szCs w:val="20"/>
                <w:lang w:val="en-AU" w:eastAsia="en-AU"/>
              </w:rPr>
              <w:t xml:space="preserve"> cancers with reference to Watson's theory of human caring. Complementary Therapies in Clinical Practice. 2021; 44() 101428-.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https://dx.doi.org/10.1016/j.ctcp.2021.101428</w:t>
            </w:r>
          </w:p>
        </w:tc>
      </w:tr>
      <w:tr w:rsidR="00C37F09" w:rsidRPr="00A52C6D" w14:paraId="008C0FAA" w14:textId="77777777" w:rsidTr="00B76ED3">
        <w:trPr>
          <w:trHeight w:val="1200"/>
        </w:trPr>
        <w:tc>
          <w:tcPr>
            <w:tcW w:w="2156" w:type="dxa"/>
            <w:shd w:val="clear" w:color="auto" w:fill="auto"/>
            <w:noWrap/>
            <w:hideMark/>
          </w:tcPr>
          <w:p w14:paraId="1A8DD46D"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Hashemzadeh 2019</w:t>
            </w:r>
          </w:p>
        </w:tc>
        <w:tc>
          <w:tcPr>
            <w:tcW w:w="7371" w:type="dxa"/>
            <w:shd w:val="clear" w:color="auto" w:fill="auto"/>
            <w:hideMark/>
          </w:tcPr>
          <w:p w14:paraId="4E1B189D"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Hashemzadeh, K.; </w:t>
            </w:r>
            <w:proofErr w:type="spellStart"/>
            <w:r w:rsidRPr="00A52C6D">
              <w:rPr>
                <w:rFonts w:eastAsia="Times New Roman" w:cs="Calibri"/>
                <w:color w:val="000000"/>
                <w:sz w:val="20"/>
                <w:szCs w:val="20"/>
                <w:lang w:val="en-AU" w:eastAsia="en-AU"/>
              </w:rPr>
              <w:t>Dehdilani</w:t>
            </w:r>
            <w:proofErr w:type="spellEnd"/>
            <w:r w:rsidRPr="00A52C6D">
              <w:rPr>
                <w:rFonts w:eastAsia="Times New Roman" w:cs="Calibri"/>
                <w:color w:val="000000"/>
                <w:sz w:val="20"/>
                <w:szCs w:val="20"/>
                <w:lang w:val="en-AU" w:eastAsia="en-AU"/>
              </w:rPr>
              <w:t xml:space="preserve">, M.; Gol, M. K. Effects of foot reflexology on post-sternotomy hemodynamic status and pain in patients undergoing coronary artery bypass graft: a randomized clinical trial. Crescent journal of medical and biological sciences. 2019; 6(4) 517-522.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374E3A8A" w14:textId="77777777" w:rsidTr="00B76ED3">
        <w:trPr>
          <w:trHeight w:val="1200"/>
        </w:trPr>
        <w:tc>
          <w:tcPr>
            <w:tcW w:w="2156" w:type="dxa"/>
            <w:shd w:val="clear" w:color="auto" w:fill="auto"/>
            <w:noWrap/>
            <w:hideMark/>
          </w:tcPr>
          <w:p w14:paraId="18418AF5"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Heidari 2017</w:t>
            </w:r>
          </w:p>
        </w:tc>
        <w:tc>
          <w:tcPr>
            <w:tcW w:w="7371" w:type="dxa"/>
            <w:shd w:val="clear" w:color="auto" w:fill="auto"/>
            <w:hideMark/>
          </w:tcPr>
          <w:p w14:paraId="257C9433"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Heidari, F.; </w:t>
            </w:r>
            <w:proofErr w:type="spellStart"/>
            <w:r w:rsidRPr="00A52C6D">
              <w:rPr>
                <w:rFonts w:eastAsia="Times New Roman" w:cs="Calibri"/>
                <w:color w:val="000000"/>
                <w:sz w:val="20"/>
                <w:szCs w:val="20"/>
                <w:lang w:val="en-AU" w:eastAsia="en-AU"/>
              </w:rPr>
              <w:t>Rejeh</w:t>
            </w:r>
            <w:proofErr w:type="spellEnd"/>
            <w:r w:rsidRPr="00A52C6D">
              <w:rPr>
                <w:rFonts w:eastAsia="Times New Roman" w:cs="Calibri"/>
                <w:color w:val="000000"/>
                <w:sz w:val="20"/>
                <w:szCs w:val="20"/>
                <w:lang w:val="en-AU" w:eastAsia="en-AU"/>
              </w:rPr>
              <w:t xml:space="preserve">, N.; Heravi-Karimooi, M.; </w:t>
            </w:r>
            <w:proofErr w:type="spellStart"/>
            <w:r w:rsidRPr="00A52C6D">
              <w:rPr>
                <w:rFonts w:eastAsia="Times New Roman" w:cs="Calibri"/>
                <w:color w:val="000000"/>
                <w:sz w:val="20"/>
                <w:szCs w:val="20"/>
                <w:lang w:val="en-AU" w:eastAsia="en-AU"/>
              </w:rPr>
              <w:t>Tadrisi</w:t>
            </w:r>
            <w:proofErr w:type="spellEnd"/>
            <w:r w:rsidRPr="00A52C6D">
              <w:rPr>
                <w:rFonts w:eastAsia="Times New Roman" w:cs="Calibri"/>
                <w:color w:val="000000"/>
                <w:sz w:val="20"/>
                <w:szCs w:val="20"/>
                <w:lang w:val="en-AU" w:eastAsia="en-AU"/>
              </w:rPr>
              <w:t xml:space="preserve">, S. D.; </w:t>
            </w:r>
            <w:proofErr w:type="spellStart"/>
            <w:r w:rsidRPr="00A52C6D">
              <w:rPr>
                <w:rFonts w:eastAsia="Times New Roman" w:cs="Calibri"/>
                <w:color w:val="000000"/>
                <w:sz w:val="20"/>
                <w:szCs w:val="20"/>
                <w:lang w:val="en-AU" w:eastAsia="en-AU"/>
              </w:rPr>
              <w:t>Vaismoradi</w:t>
            </w:r>
            <w:proofErr w:type="spellEnd"/>
            <w:r w:rsidRPr="00A52C6D">
              <w:rPr>
                <w:rFonts w:eastAsia="Times New Roman" w:cs="Calibri"/>
                <w:color w:val="000000"/>
                <w:sz w:val="20"/>
                <w:szCs w:val="20"/>
                <w:lang w:val="en-AU" w:eastAsia="en-AU"/>
              </w:rPr>
              <w:t xml:space="preserve">, M. Effect of short-term hand reflexology on anxiety in patients before coronary angiography: A randomized </w:t>
            </w:r>
            <w:proofErr w:type="gramStart"/>
            <w:r w:rsidRPr="00A52C6D">
              <w:rPr>
                <w:rFonts w:eastAsia="Times New Roman" w:cs="Calibri"/>
                <w:color w:val="000000"/>
                <w:sz w:val="20"/>
                <w:szCs w:val="20"/>
                <w:lang w:val="en-AU" w:eastAsia="en-AU"/>
              </w:rPr>
              <w:t>placebo controlled</w:t>
            </w:r>
            <w:proofErr w:type="gramEnd"/>
            <w:r w:rsidRPr="00A52C6D">
              <w:rPr>
                <w:rFonts w:eastAsia="Times New Roman" w:cs="Calibri"/>
                <w:color w:val="000000"/>
                <w:sz w:val="20"/>
                <w:szCs w:val="20"/>
                <w:lang w:val="en-AU" w:eastAsia="en-AU"/>
              </w:rPr>
              <w:t xml:space="preserve"> trial. European Journal of Integrative Medicine. 2017; 16() 45108.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https://dx.doi.org/10.1016/j.eujim.2017.09.010</w:t>
            </w:r>
          </w:p>
        </w:tc>
      </w:tr>
      <w:tr w:rsidR="00C37F09" w:rsidRPr="00A52C6D" w14:paraId="115FCA51" w14:textId="77777777" w:rsidTr="00B76ED3">
        <w:trPr>
          <w:trHeight w:val="900"/>
        </w:trPr>
        <w:tc>
          <w:tcPr>
            <w:tcW w:w="2156" w:type="dxa"/>
            <w:shd w:val="clear" w:color="auto" w:fill="auto"/>
            <w:noWrap/>
            <w:hideMark/>
          </w:tcPr>
          <w:p w14:paraId="4F287F56"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Hesami 2019</w:t>
            </w:r>
          </w:p>
        </w:tc>
        <w:tc>
          <w:tcPr>
            <w:tcW w:w="7371" w:type="dxa"/>
            <w:shd w:val="clear" w:color="auto" w:fill="auto"/>
            <w:hideMark/>
          </w:tcPr>
          <w:p w14:paraId="5FA9D511"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Hesami, M.; Kalhor, M.; Roshani, D.; Fathi, M. The effect of reflexology on fatigue in cancer patients receiving chemotherapy: a randomized controlled trial. Crescent journal of medical and biological sciences. 2019; 6(2) 151-157.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49F1079A" w14:textId="77777777" w:rsidTr="00B76ED3">
        <w:trPr>
          <w:trHeight w:val="600"/>
        </w:trPr>
        <w:tc>
          <w:tcPr>
            <w:tcW w:w="2156" w:type="dxa"/>
            <w:shd w:val="clear" w:color="auto" w:fill="auto"/>
            <w:noWrap/>
            <w:hideMark/>
          </w:tcPr>
          <w:p w14:paraId="22E1307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Hodgson 2000</w:t>
            </w:r>
          </w:p>
        </w:tc>
        <w:tc>
          <w:tcPr>
            <w:tcW w:w="7371" w:type="dxa"/>
            <w:shd w:val="clear" w:color="auto" w:fill="auto"/>
            <w:hideMark/>
          </w:tcPr>
          <w:p w14:paraId="340BF634"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Hodgson, H. Does reflexology impact on cancer patients' quality of </w:t>
            </w:r>
            <w:proofErr w:type="gramStart"/>
            <w:r w:rsidRPr="00A52C6D">
              <w:rPr>
                <w:rFonts w:eastAsia="Times New Roman" w:cs="Calibri"/>
                <w:color w:val="000000"/>
                <w:sz w:val="20"/>
                <w:szCs w:val="20"/>
                <w:lang w:val="en-AU" w:eastAsia="en-AU"/>
              </w:rPr>
              <w:t>life?.</w:t>
            </w:r>
            <w:proofErr w:type="gramEnd"/>
            <w:r w:rsidRPr="00A52C6D">
              <w:rPr>
                <w:rFonts w:eastAsia="Times New Roman" w:cs="Calibri"/>
                <w:color w:val="000000"/>
                <w:sz w:val="20"/>
                <w:szCs w:val="20"/>
                <w:lang w:val="en-AU" w:eastAsia="en-AU"/>
              </w:rPr>
              <w:t xml:space="preserve"> Nursing standard. 2000; 14(31) 33-38.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6C85BE6E" w14:textId="77777777" w:rsidTr="00B76ED3">
        <w:trPr>
          <w:trHeight w:val="900"/>
        </w:trPr>
        <w:tc>
          <w:tcPr>
            <w:tcW w:w="2156" w:type="dxa"/>
            <w:shd w:val="clear" w:color="auto" w:fill="auto"/>
            <w:noWrap/>
            <w:hideMark/>
          </w:tcPr>
          <w:p w14:paraId="3EBD6933"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Hodgson 2008</w:t>
            </w:r>
          </w:p>
        </w:tc>
        <w:tc>
          <w:tcPr>
            <w:tcW w:w="7371" w:type="dxa"/>
            <w:shd w:val="clear" w:color="auto" w:fill="auto"/>
            <w:hideMark/>
          </w:tcPr>
          <w:p w14:paraId="0379A398"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Hodgson, N. A.; Andersen, S. The clinical efficacy of reflexology in nursing home residents with dementia. Journal of Alternative and Complementary Medicine. 2008; 14(3) 269-275.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10.1089/acm.2007.0577</w:t>
            </w:r>
          </w:p>
        </w:tc>
      </w:tr>
      <w:tr w:rsidR="00C37F09" w:rsidRPr="00A52C6D" w14:paraId="6600068C" w14:textId="77777777" w:rsidTr="00B76ED3">
        <w:trPr>
          <w:trHeight w:val="1500"/>
        </w:trPr>
        <w:tc>
          <w:tcPr>
            <w:tcW w:w="2156" w:type="dxa"/>
            <w:shd w:val="clear" w:color="auto" w:fill="auto"/>
            <w:noWrap/>
            <w:hideMark/>
          </w:tcPr>
          <w:p w14:paraId="61E77559"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Hudson 2015</w:t>
            </w:r>
          </w:p>
        </w:tc>
        <w:tc>
          <w:tcPr>
            <w:tcW w:w="7371" w:type="dxa"/>
            <w:shd w:val="clear" w:color="auto" w:fill="auto"/>
            <w:hideMark/>
          </w:tcPr>
          <w:p w14:paraId="078DCD0C"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Hudson, B. F.; Davidson, J.; Whiteley, M. S. The impact of hand reflexology on pain, anxiety and satisfaction during minimally invasive surgery under local anaesthetic: A randomised controlled trial. International Journal of Nursing Studies. 2015; 52(12) 1789-1797.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https://dx.doi.org/10.1016/j.ijnurstu.2015.07.009</w:t>
            </w:r>
          </w:p>
        </w:tc>
      </w:tr>
      <w:tr w:rsidR="00C37F09" w:rsidRPr="00A52C6D" w14:paraId="4A839CE3" w14:textId="77777777" w:rsidTr="00B76ED3">
        <w:trPr>
          <w:trHeight w:val="1200"/>
        </w:trPr>
        <w:tc>
          <w:tcPr>
            <w:tcW w:w="2156" w:type="dxa"/>
            <w:shd w:val="clear" w:color="auto" w:fill="auto"/>
            <w:noWrap/>
            <w:hideMark/>
          </w:tcPr>
          <w:p w14:paraId="2A0803C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Hughes 2009</w:t>
            </w:r>
          </w:p>
        </w:tc>
        <w:tc>
          <w:tcPr>
            <w:tcW w:w="7371" w:type="dxa"/>
            <w:shd w:val="clear" w:color="auto" w:fill="auto"/>
            <w:hideMark/>
          </w:tcPr>
          <w:p w14:paraId="10849CE4"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Hughes, C. M.; Smyth, S.; Lowe-Strong, A. S. Reflexology for the treatment of </w:t>
            </w:r>
            <w:proofErr w:type="gramStart"/>
            <w:r w:rsidRPr="00A52C6D">
              <w:rPr>
                <w:rFonts w:eastAsia="Times New Roman" w:cs="Calibri"/>
                <w:color w:val="000000"/>
                <w:sz w:val="20"/>
                <w:szCs w:val="20"/>
                <w:lang w:val="en-AU" w:eastAsia="en-AU"/>
              </w:rPr>
              <w:t>pain  in</w:t>
            </w:r>
            <w:proofErr w:type="gramEnd"/>
            <w:r w:rsidRPr="00A52C6D">
              <w:rPr>
                <w:rFonts w:eastAsia="Times New Roman" w:cs="Calibri"/>
                <w:color w:val="000000"/>
                <w:sz w:val="20"/>
                <w:szCs w:val="20"/>
                <w:lang w:val="en-AU" w:eastAsia="en-AU"/>
              </w:rPr>
              <w:t xml:space="preserve"> people with multiple sclerosis: a  double-blind randomised sham-controlled  clinical trial. Multiple sclerosis. 2009; 15(11) 1329-1338.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10.1177/1352458509345916</w:t>
            </w:r>
          </w:p>
        </w:tc>
      </w:tr>
      <w:tr w:rsidR="00C37F09" w:rsidRPr="00A52C6D" w14:paraId="67039168" w14:textId="77777777" w:rsidTr="00B76ED3">
        <w:trPr>
          <w:trHeight w:val="600"/>
        </w:trPr>
        <w:tc>
          <w:tcPr>
            <w:tcW w:w="2156" w:type="dxa"/>
            <w:shd w:val="clear" w:color="auto" w:fill="auto"/>
            <w:noWrap/>
            <w:hideMark/>
          </w:tcPr>
          <w:p w14:paraId="362683F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lastRenderedPageBreak/>
              <w:t>Icke 2018</w:t>
            </w:r>
          </w:p>
        </w:tc>
        <w:tc>
          <w:tcPr>
            <w:tcW w:w="7371" w:type="dxa"/>
            <w:shd w:val="clear" w:color="auto" w:fill="auto"/>
            <w:hideMark/>
          </w:tcPr>
          <w:p w14:paraId="7EA04EFF"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Icke, S.; Genc, R. Effect of Reflexology on Infantile Colic. Journal of Alternative and Complementary Medicine. 2018; 24(6) 584-588.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10.1089/acm.2017.0315</w:t>
            </w:r>
          </w:p>
        </w:tc>
      </w:tr>
      <w:tr w:rsidR="00C37F09" w:rsidRPr="00A52C6D" w14:paraId="11AB102C" w14:textId="77777777" w:rsidTr="00B76ED3">
        <w:trPr>
          <w:trHeight w:val="1295"/>
        </w:trPr>
        <w:tc>
          <w:tcPr>
            <w:tcW w:w="2156" w:type="dxa"/>
            <w:shd w:val="clear" w:color="auto" w:fill="auto"/>
            <w:noWrap/>
            <w:hideMark/>
          </w:tcPr>
          <w:p w14:paraId="0EEE3DE4"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Imani 2018</w:t>
            </w:r>
          </w:p>
        </w:tc>
        <w:tc>
          <w:tcPr>
            <w:tcW w:w="7371" w:type="dxa"/>
            <w:shd w:val="clear" w:color="auto" w:fill="auto"/>
            <w:hideMark/>
          </w:tcPr>
          <w:p w14:paraId="64C91803"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Imani, N.; Shams, S. A.; Radfar, M.; Ghavami, H.; </w:t>
            </w:r>
            <w:proofErr w:type="spellStart"/>
            <w:r w:rsidRPr="00A52C6D">
              <w:rPr>
                <w:rFonts w:eastAsia="Times New Roman" w:cs="Calibri"/>
                <w:color w:val="000000"/>
                <w:sz w:val="20"/>
                <w:szCs w:val="20"/>
                <w:lang w:val="en-AU" w:eastAsia="en-AU"/>
              </w:rPr>
              <w:t>Khalkhali</w:t>
            </w:r>
            <w:proofErr w:type="spellEnd"/>
            <w:r w:rsidRPr="00A52C6D">
              <w:rPr>
                <w:rFonts w:eastAsia="Times New Roman" w:cs="Calibri"/>
                <w:color w:val="000000"/>
                <w:sz w:val="20"/>
                <w:szCs w:val="20"/>
                <w:lang w:val="en-AU" w:eastAsia="en-AU"/>
              </w:rPr>
              <w:t xml:space="preserve">, H. R. Effect of applying reflexology massage on </w:t>
            </w:r>
            <w:proofErr w:type="spellStart"/>
            <w:r w:rsidRPr="00A52C6D">
              <w:rPr>
                <w:rFonts w:eastAsia="Times New Roman" w:cs="Calibri"/>
                <w:color w:val="000000"/>
                <w:sz w:val="20"/>
                <w:szCs w:val="20"/>
                <w:lang w:val="en-AU" w:eastAsia="en-AU"/>
              </w:rPr>
              <w:t>nitroglycerin</w:t>
            </w:r>
            <w:proofErr w:type="spellEnd"/>
            <w:r w:rsidRPr="00A52C6D">
              <w:rPr>
                <w:rFonts w:eastAsia="Times New Roman" w:cs="Calibri"/>
                <w:color w:val="000000"/>
                <w:sz w:val="20"/>
                <w:szCs w:val="20"/>
                <w:lang w:val="en-AU" w:eastAsia="en-AU"/>
              </w:rPr>
              <w:t xml:space="preserve">-induced migraine-type headache: a placebo-controlled clinical trial. </w:t>
            </w:r>
            <w:proofErr w:type="gramStart"/>
            <w:r w:rsidRPr="00A52C6D">
              <w:rPr>
                <w:rFonts w:eastAsia="Times New Roman" w:cs="Calibri"/>
                <w:color w:val="000000"/>
                <w:sz w:val="20"/>
                <w:szCs w:val="20"/>
                <w:lang w:val="en-AU" w:eastAsia="en-AU"/>
              </w:rPr>
              <w:t>Agri :</w:t>
            </w:r>
            <w:proofErr w:type="gramEnd"/>
            <w:r w:rsidRPr="00A52C6D">
              <w:rPr>
                <w:rFonts w:eastAsia="Times New Roman" w:cs="Calibri"/>
                <w:color w:val="000000"/>
                <w:sz w:val="20"/>
                <w:szCs w:val="20"/>
                <w:lang w:val="en-AU" w:eastAsia="en-AU"/>
              </w:rPr>
              <w:t xml:space="preserve"> Agri (</w:t>
            </w:r>
            <w:proofErr w:type="spellStart"/>
            <w:r w:rsidRPr="00A52C6D">
              <w:rPr>
                <w:rFonts w:eastAsia="Times New Roman" w:cs="Calibri"/>
                <w:color w:val="000000"/>
                <w:sz w:val="20"/>
                <w:szCs w:val="20"/>
                <w:lang w:val="en-AU" w:eastAsia="en-AU"/>
              </w:rPr>
              <w:t>Algoloji</w:t>
            </w:r>
            <w:proofErr w:type="spell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Dernegi'nin</w:t>
            </w:r>
            <w:proofErr w:type="spellEnd"/>
            <w:r w:rsidRPr="00A52C6D">
              <w:rPr>
                <w:rFonts w:eastAsia="Times New Roman" w:cs="Calibri"/>
                <w:color w:val="000000"/>
                <w:sz w:val="20"/>
                <w:szCs w:val="20"/>
                <w:lang w:val="en-AU" w:eastAsia="en-AU"/>
              </w:rPr>
              <w:t xml:space="preserve"> Yayin </w:t>
            </w:r>
            <w:proofErr w:type="spellStart"/>
            <w:r w:rsidRPr="00A52C6D">
              <w:rPr>
                <w:rFonts w:eastAsia="Times New Roman" w:cs="Calibri"/>
                <w:color w:val="000000"/>
                <w:sz w:val="20"/>
                <w:szCs w:val="20"/>
                <w:lang w:val="en-AU" w:eastAsia="en-AU"/>
              </w:rPr>
              <w:t>organidir</w:t>
            </w:r>
            <w:proofErr w:type="spellEnd"/>
            <w:r w:rsidRPr="00A52C6D">
              <w:rPr>
                <w:rFonts w:eastAsia="Times New Roman" w:cs="Calibri"/>
                <w:color w:val="000000"/>
                <w:sz w:val="20"/>
                <w:szCs w:val="20"/>
                <w:lang w:val="en-AU" w:eastAsia="en-AU"/>
              </w:rPr>
              <w:t xml:space="preserve"> [Journal of the Turkish Society of Algology]. 2018; 30(3) 116-122.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10.5505/agri.2018.43815</w:t>
            </w:r>
          </w:p>
        </w:tc>
      </w:tr>
      <w:tr w:rsidR="00C37F09" w:rsidRPr="00A52C6D" w14:paraId="713F42A9" w14:textId="77777777" w:rsidTr="00B76ED3">
        <w:trPr>
          <w:trHeight w:val="600"/>
        </w:trPr>
        <w:tc>
          <w:tcPr>
            <w:tcW w:w="2156" w:type="dxa"/>
            <w:shd w:val="clear" w:color="auto" w:fill="auto"/>
            <w:noWrap/>
            <w:hideMark/>
          </w:tcPr>
          <w:p w14:paraId="6A981CBB"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Inkaya</w:t>
            </w:r>
            <w:proofErr w:type="spellEnd"/>
            <w:r w:rsidRPr="00A52C6D">
              <w:rPr>
                <w:rFonts w:eastAsia="Times New Roman" w:cs="Calibri"/>
                <w:b/>
                <w:color w:val="002060"/>
                <w:sz w:val="20"/>
                <w:szCs w:val="20"/>
                <w:lang w:val="en-AU" w:eastAsia="en-AU"/>
              </w:rPr>
              <w:t xml:space="preserve"> 2020</w:t>
            </w:r>
          </w:p>
        </w:tc>
        <w:tc>
          <w:tcPr>
            <w:tcW w:w="7371" w:type="dxa"/>
            <w:shd w:val="clear" w:color="auto" w:fill="auto"/>
            <w:hideMark/>
          </w:tcPr>
          <w:p w14:paraId="68932D57"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Inkaya</w:t>
            </w:r>
            <w:proofErr w:type="spellEnd"/>
            <w:r w:rsidRPr="00A52C6D">
              <w:rPr>
                <w:rFonts w:eastAsia="Times New Roman" w:cs="Calibri"/>
                <w:color w:val="000000"/>
                <w:sz w:val="20"/>
                <w:szCs w:val="20"/>
                <w:lang w:val="en-AU" w:eastAsia="en-AU"/>
              </w:rPr>
              <w:t xml:space="preserve">, B.; </w:t>
            </w:r>
            <w:proofErr w:type="spellStart"/>
            <w:r w:rsidRPr="00A52C6D">
              <w:rPr>
                <w:rFonts w:eastAsia="Times New Roman" w:cs="Calibri"/>
                <w:color w:val="000000"/>
                <w:sz w:val="20"/>
                <w:szCs w:val="20"/>
                <w:lang w:val="en-AU" w:eastAsia="en-AU"/>
              </w:rPr>
              <w:t>Tuzer</w:t>
            </w:r>
            <w:proofErr w:type="spellEnd"/>
            <w:r w:rsidRPr="00A52C6D">
              <w:rPr>
                <w:rFonts w:eastAsia="Times New Roman" w:cs="Calibri"/>
                <w:color w:val="000000"/>
                <w:sz w:val="20"/>
                <w:szCs w:val="20"/>
                <w:lang w:val="en-AU" w:eastAsia="en-AU"/>
              </w:rPr>
              <w:t xml:space="preserve">, H. Effect of Reflexology on the Constipation Status of Elderly People. Yonago Acta Med. 2020; 63(2) 115-121.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10.33160/yam.2020.05.007</w:t>
            </w:r>
          </w:p>
        </w:tc>
      </w:tr>
      <w:tr w:rsidR="00C37F09" w:rsidRPr="00A52C6D" w14:paraId="2F595A87" w14:textId="77777777" w:rsidTr="00B76ED3">
        <w:trPr>
          <w:trHeight w:val="1200"/>
        </w:trPr>
        <w:tc>
          <w:tcPr>
            <w:tcW w:w="2156" w:type="dxa"/>
            <w:shd w:val="clear" w:color="auto" w:fill="auto"/>
            <w:noWrap/>
            <w:hideMark/>
          </w:tcPr>
          <w:p w14:paraId="22ED485B"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Jahani 2018</w:t>
            </w:r>
          </w:p>
        </w:tc>
        <w:tc>
          <w:tcPr>
            <w:tcW w:w="7371" w:type="dxa"/>
            <w:shd w:val="clear" w:color="auto" w:fill="auto"/>
            <w:hideMark/>
          </w:tcPr>
          <w:p w14:paraId="03FD8163"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Jahani, S.; Salari, F.; Elahi, N.; </w:t>
            </w:r>
            <w:proofErr w:type="spellStart"/>
            <w:r w:rsidRPr="00A52C6D">
              <w:rPr>
                <w:rFonts w:eastAsia="Times New Roman" w:cs="Calibri"/>
                <w:color w:val="000000"/>
                <w:sz w:val="20"/>
                <w:szCs w:val="20"/>
                <w:lang w:val="en-AU" w:eastAsia="en-AU"/>
              </w:rPr>
              <w:t>Cheraghian</w:t>
            </w:r>
            <w:proofErr w:type="spellEnd"/>
            <w:r w:rsidRPr="00A52C6D">
              <w:rPr>
                <w:rFonts w:eastAsia="Times New Roman" w:cs="Calibri"/>
                <w:color w:val="000000"/>
                <w:sz w:val="20"/>
                <w:szCs w:val="20"/>
                <w:lang w:val="en-AU" w:eastAsia="en-AU"/>
              </w:rPr>
              <w:t xml:space="preserve">, B. The effect of reflexology in intensity of pain and anxiety among patients suffering from metastatic cancer in adults' hematology ward. Asian journal of pharmaceutical and clinical research. 2018; 11(6) 401-405.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10.22159/</w:t>
            </w:r>
            <w:proofErr w:type="gramStart"/>
            <w:r w:rsidRPr="00A52C6D">
              <w:rPr>
                <w:rFonts w:eastAsia="Times New Roman" w:cs="Calibri"/>
                <w:color w:val="000000"/>
                <w:sz w:val="20"/>
                <w:szCs w:val="20"/>
                <w:lang w:val="en-AU" w:eastAsia="en-AU"/>
              </w:rPr>
              <w:t>ajpcr.2018.v</w:t>
            </w:r>
            <w:proofErr w:type="gramEnd"/>
            <w:r w:rsidRPr="00A52C6D">
              <w:rPr>
                <w:rFonts w:eastAsia="Times New Roman" w:cs="Calibri"/>
                <w:color w:val="000000"/>
                <w:sz w:val="20"/>
                <w:szCs w:val="20"/>
                <w:lang w:val="en-AU" w:eastAsia="en-AU"/>
              </w:rPr>
              <w:t>11i6.25212</w:t>
            </w:r>
          </w:p>
        </w:tc>
      </w:tr>
      <w:tr w:rsidR="00C37F09" w:rsidRPr="00A52C6D" w14:paraId="49B1B391" w14:textId="77777777" w:rsidTr="00B76ED3">
        <w:trPr>
          <w:trHeight w:val="1200"/>
        </w:trPr>
        <w:tc>
          <w:tcPr>
            <w:tcW w:w="2156" w:type="dxa"/>
            <w:shd w:val="clear" w:color="auto" w:fill="auto"/>
            <w:noWrap/>
            <w:hideMark/>
          </w:tcPr>
          <w:p w14:paraId="11F2C34A"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Jameei</w:t>
            </w:r>
            <w:proofErr w:type="spellEnd"/>
            <w:r w:rsidRPr="00A52C6D">
              <w:rPr>
                <w:rFonts w:eastAsia="Times New Roman" w:cs="Calibri"/>
                <w:b/>
                <w:color w:val="002060"/>
                <w:sz w:val="20"/>
                <w:szCs w:val="20"/>
                <w:lang w:val="en-AU" w:eastAsia="en-AU"/>
              </w:rPr>
              <w:t>-Moghaddam 2021</w:t>
            </w:r>
          </w:p>
        </w:tc>
        <w:tc>
          <w:tcPr>
            <w:tcW w:w="7371" w:type="dxa"/>
            <w:shd w:val="clear" w:color="auto" w:fill="auto"/>
            <w:hideMark/>
          </w:tcPr>
          <w:p w14:paraId="293AA3FC"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Jameei</w:t>
            </w:r>
            <w:proofErr w:type="spellEnd"/>
            <w:r w:rsidRPr="00A52C6D">
              <w:rPr>
                <w:rFonts w:eastAsia="Times New Roman" w:cs="Calibri"/>
                <w:color w:val="000000"/>
                <w:sz w:val="20"/>
                <w:szCs w:val="20"/>
                <w:lang w:val="en-AU" w:eastAsia="en-AU"/>
              </w:rPr>
              <w:t xml:space="preserve">-Moghaddam, M.; </w:t>
            </w:r>
            <w:proofErr w:type="spellStart"/>
            <w:r w:rsidRPr="00A52C6D">
              <w:rPr>
                <w:rFonts w:eastAsia="Times New Roman" w:cs="Calibri"/>
                <w:color w:val="000000"/>
                <w:sz w:val="20"/>
                <w:szCs w:val="20"/>
                <w:lang w:val="en-AU" w:eastAsia="en-AU"/>
              </w:rPr>
              <w:t>Goljaryan</w:t>
            </w:r>
            <w:proofErr w:type="spellEnd"/>
            <w:r w:rsidRPr="00A52C6D">
              <w:rPr>
                <w:rFonts w:eastAsia="Times New Roman" w:cs="Calibri"/>
                <w:color w:val="000000"/>
                <w:sz w:val="20"/>
                <w:szCs w:val="20"/>
                <w:lang w:val="en-AU" w:eastAsia="en-AU"/>
              </w:rPr>
              <w:t xml:space="preserve">, S.; Mohammad Alizadeh </w:t>
            </w:r>
            <w:proofErr w:type="spellStart"/>
            <w:r w:rsidRPr="00A52C6D">
              <w:rPr>
                <w:rFonts w:eastAsia="Times New Roman" w:cs="Calibri"/>
                <w:color w:val="000000"/>
                <w:sz w:val="20"/>
                <w:szCs w:val="20"/>
                <w:lang w:val="en-AU" w:eastAsia="en-AU"/>
              </w:rPr>
              <w:t>Charandabi</w:t>
            </w:r>
            <w:proofErr w:type="spellEnd"/>
            <w:r w:rsidRPr="00A52C6D">
              <w:rPr>
                <w:rFonts w:eastAsia="Times New Roman" w:cs="Calibri"/>
                <w:color w:val="000000"/>
                <w:sz w:val="20"/>
                <w:szCs w:val="20"/>
                <w:lang w:val="en-AU" w:eastAsia="en-AU"/>
              </w:rPr>
              <w:t xml:space="preserve">, S.; Taghavi, S.; </w:t>
            </w:r>
            <w:proofErr w:type="spellStart"/>
            <w:r w:rsidRPr="00A52C6D">
              <w:rPr>
                <w:rFonts w:eastAsia="Times New Roman" w:cs="Calibri"/>
                <w:color w:val="000000"/>
                <w:sz w:val="20"/>
                <w:szCs w:val="20"/>
                <w:lang w:val="en-AU" w:eastAsia="en-AU"/>
              </w:rPr>
              <w:t>Mirghafourvand</w:t>
            </w:r>
            <w:proofErr w:type="spellEnd"/>
            <w:r w:rsidRPr="00A52C6D">
              <w:rPr>
                <w:rFonts w:eastAsia="Times New Roman" w:cs="Calibri"/>
                <w:color w:val="000000"/>
                <w:sz w:val="20"/>
                <w:szCs w:val="20"/>
                <w:lang w:val="en-AU" w:eastAsia="en-AU"/>
              </w:rPr>
              <w:t xml:space="preserve">, M. Effect of plantar reflexology on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pain and childbirth experience: a randomized controlled clinical trial. Journal of obstetrics and gynaecology research. 2021; 47(6) 2082-2092.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10.1111/jog.14755</w:t>
            </w:r>
          </w:p>
        </w:tc>
      </w:tr>
      <w:tr w:rsidR="00C37F09" w:rsidRPr="00A52C6D" w14:paraId="419B80B9" w14:textId="77777777" w:rsidTr="00B76ED3">
        <w:trPr>
          <w:trHeight w:val="2958"/>
        </w:trPr>
        <w:tc>
          <w:tcPr>
            <w:tcW w:w="2156" w:type="dxa"/>
            <w:shd w:val="clear" w:color="auto" w:fill="auto"/>
            <w:noWrap/>
            <w:hideMark/>
          </w:tcPr>
          <w:p w14:paraId="4142A448"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Jijimole</w:t>
            </w:r>
            <w:proofErr w:type="spellEnd"/>
            <w:r w:rsidRPr="00A52C6D">
              <w:rPr>
                <w:rFonts w:eastAsia="Times New Roman" w:cs="Calibri"/>
                <w:b/>
                <w:color w:val="002060"/>
                <w:sz w:val="20"/>
                <w:szCs w:val="20"/>
                <w:lang w:val="en-AU" w:eastAsia="en-AU"/>
              </w:rPr>
              <w:t xml:space="preserve"> 2018.1</w:t>
            </w:r>
          </w:p>
        </w:tc>
        <w:tc>
          <w:tcPr>
            <w:tcW w:w="7371" w:type="dxa"/>
            <w:shd w:val="clear" w:color="auto" w:fill="auto"/>
            <w:hideMark/>
          </w:tcPr>
          <w:p w14:paraId="34A5397F"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Jijimole</w:t>
            </w:r>
            <w:proofErr w:type="spellEnd"/>
            <w:r w:rsidRPr="00A52C6D">
              <w:rPr>
                <w:rFonts w:eastAsia="Times New Roman" w:cs="Calibri"/>
                <w:color w:val="000000"/>
                <w:sz w:val="20"/>
                <w:szCs w:val="20"/>
                <w:lang w:val="en-AU" w:eastAsia="en-AU"/>
              </w:rPr>
              <w:t xml:space="preserve">, M.; Jaleel Abdul, A.; Vijayaraghavan, R.; Susila, C. Comparison of the effect of control, presence of a skilled birth attendant and </w:t>
            </w:r>
            <w:proofErr w:type="spellStart"/>
            <w:r w:rsidRPr="00A52C6D">
              <w:rPr>
                <w:rFonts w:eastAsia="Times New Roman" w:cs="Calibri"/>
                <w:color w:val="000000"/>
                <w:sz w:val="20"/>
                <w:szCs w:val="20"/>
                <w:lang w:val="en-AU" w:eastAsia="en-AU"/>
              </w:rPr>
              <w:t>reflexotherapy</w:t>
            </w:r>
            <w:proofErr w:type="spellEnd"/>
            <w:r w:rsidRPr="00A52C6D">
              <w:rPr>
                <w:rFonts w:eastAsia="Times New Roman" w:cs="Calibri"/>
                <w:color w:val="000000"/>
                <w:sz w:val="20"/>
                <w:szCs w:val="20"/>
                <w:lang w:val="en-AU" w:eastAsia="en-AU"/>
              </w:rPr>
              <w:t xml:space="preserve"> on labour outcomes in terms of pain, duration of labour and birth satisfaction among primigravid women-a pilot study. Biomedical research (</w:t>
            </w:r>
            <w:proofErr w:type="spellStart"/>
            <w:r w:rsidRPr="00A52C6D">
              <w:rPr>
                <w:rFonts w:eastAsia="Times New Roman" w:cs="Calibri"/>
                <w:color w:val="000000"/>
                <w:sz w:val="20"/>
                <w:szCs w:val="20"/>
                <w:lang w:val="en-AU" w:eastAsia="en-AU"/>
              </w:rPr>
              <w:t>india</w:t>
            </w:r>
            <w:proofErr w:type="spellEnd"/>
            <w:r w:rsidRPr="00A52C6D">
              <w:rPr>
                <w:rFonts w:eastAsia="Times New Roman" w:cs="Calibri"/>
                <w:color w:val="000000"/>
                <w:sz w:val="20"/>
                <w:szCs w:val="20"/>
                <w:lang w:val="en-AU" w:eastAsia="en-AU"/>
              </w:rPr>
              <w:t xml:space="preserve">). 2018; 29(17) 3292-3302.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10.4066/biomedicalresearch.29-18-637</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Jijimole</w:t>
            </w:r>
            <w:proofErr w:type="spellEnd"/>
            <w:r w:rsidRPr="00A52C6D">
              <w:rPr>
                <w:rFonts w:eastAsia="Times New Roman" w:cs="Calibri"/>
                <w:color w:val="000000"/>
                <w:sz w:val="20"/>
                <w:szCs w:val="20"/>
                <w:lang w:val="en-AU" w:eastAsia="en-AU"/>
              </w:rPr>
              <w:t xml:space="preserve">, M.; Abdul, A. J.; Vijayaraghavan, R.; Susila, C. Comparison of the effectiveness of </w:t>
            </w:r>
            <w:proofErr w:type="spellStart"/>
            <w:r w:rsidRPr="00A52C6D">
              <w:rPr>
                <w:rFonts w:eastAsia="Times New Roman" w:cs="Calibri"/>
                <w:color w:val="000000"/>
                <w:sz w:val="20"/>
                <w:szCs w:val="20"/>
                <w:lang w:val="en-AU" w:eastAsia="en-AU"/>
              </w:rPr>
              <w:t>reflexotherapy</w:t>
            </w:r>
            <w:proofErr w:type="spellEnd"/>
            <w:r w:rsidRPr="00A52C6D">
              <w:rPr>
                <w:rFonts w:eastAsia="Times New Roman" w:cs="Calibri"/>
                <w:color w:val="000000"/>
                <w:sz w:val="20"/>
                <w:szCs w:val="20"/>
                <w:lang w:val="en-AU" w:eastAsia="en-AU"/>
              </w:rPr>
              <w:t xml:space="preserve"> with skilled birth attendant on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outcomes in terms of psychophysiological variables among primigravid women - a pilot study. National journal of physiology, pharmacy and pharmacology. 2018; 8(8) 1179-1187.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10.5455/njppp.2018.8.0415628042018</w:t>
            </w:r>
          </w:p>
        </w:tc>
      </w:tr>
      <w:tr w:rsidR="00C37F09" w:rsidRPr="00A52C6D" w14:paraId="00AF7244" w14:textId="77777777" w:rsidTr="00B76ED3">
        <w:trPr>
          <w:trHeight w:val="988"/>
        </w:trPr>
        <w:tc>
          <w:tcPr>
            <w:tcW w:w="2156" w:type="dxa"/>
            <w:shd w:val="clear" w:color="auto" w:fill="auto"/>
            <w:noWrap/>
            <w:hideMark/>
          </w:tcPr>
          <w:p w14:paraId="05A60CE8"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Kabuk</w:t>
            </w:r>
            <w:proofErr w:type="spellEnd"/>
            <w:r w:rsidRPr="00A52C6D">
              <w:rPr>
                <w:rFonts w:eastAsia="Times New Roman" w:cs="Calibri"/>
                <w:b/>
                <w:color w:val="002060"/>
                <w:sz w:val="20"/>
                <w:szCs w:val="20"/>
                <w:lang w:val="en-AU" w:eastAsia="en-AU"/>
              </w:rPr>
              <w:t xml:space="preserve"> 2022</w:t>
            </w:r>
          </w:p>
        </w:tc>
        <w:tc>
          <w:tcPr>
            <w:tcW w:w="7371" w:type="dxa"/>
            <w:shd w:val="clear" w:color="auto" w:fill="auto"/>
            <w:hideMark/>
          </w:tcPr>
          <w:p w14:paraId="4E49CFA3"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Kabuk</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Sendir</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Filinte</w:t>
            </w:r>
            <w:proofErr w:type="spellEnd"/>
            <w:r w:rsidRPr="00A52C6D">
              <w:rPr>
                <w:rFonts w:eastAsia="Times New Roman" w:cs="Calibri"/>
                <w:color w:val="000000"/>
                <w:sz w:val="20"/>
                <w:szCs w:val="20"/>
                <w:lang w:val="en-AU" w:eastAsia="en-AU"/>
              </w:rPr>
              <w:t xml:space="preserve">, G. The effect of reflexology massage and passive music therapy intervention before burn dressing on pain, anxiety level and sleep quality. Burns. 2022; 48(7) 1743-1752.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https://dx.doi.org/10.1016/j.burns.2021.10.012</w:t>
            </w:r>
          </w:p>
        </w:tc>
      </w:tr>
      <w:tr w:rsidR="00C37F09" w:rsidRPr="00A52C6D" w14:paraId="5B7F0440" w14:textId="77777777" w:rsidTr="00B76ED3">
        <w:trPr>
          <w:trHeight w:val="1200"/>
        </w:trPr>
        <w:tc>
          <w:tcPr>
            <w:tcW w:w="2156" w:type="dxa"/>
            <w:shd w:val="clear" w:color="auto" w:fill="auto"/>
            <w:noWrap/>
            <w:hideMark/>
          </w:tcPr>
          <w:p w14:paraId="65BF4A35"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Kapikiran</w:t>
            </w:r>
            <w:proofErr w:type="spellEnd"/>
            <w:r w:rsidRPr="00A52C6D">
              <w:rPr>
                <w:rFonts w:eastAsia="Times New Roman" w:cs="Calibri"/>
                <w:b/>
                <w:color w:val="002060"/>
                <w:sz w:val="20"/>
                <w:szCs w:val="20"/>
                <w:lang w:val="en-AU" w:eastAsia="en-AU"/>
              </w:rPr>
              <w:t xml:space="preserve"> 2022</w:t>
            </w:r>
          </w:p>
        </w:tc>
        <w:tc>
          <w:tcPr>
            <w:tcW w:w="7371" w:type="dxa"/>
            <w:shd w:val="clear" w:color="auto" w:fill="auto"/>
            <w:hideMark/>
          </w:tcPr>
          <w:p w14:paraId="768EB33C"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Kapikiran</w:t>
            </w:r>
            <w:proofErr w:type="spellEnd"/>
            <w:r w:rsidRPr="00A52C6D">
              <w:rPr>
                <w:rFonts w:eastAsia="Times New Roman" w:cs="Calibri"/>
                <w:color w:val="000000"/>
                <w:sz w:val="20"/>
                <w:szCs w:val="20"/>
                <w:lang w:val="en-AU" w:eastAsia="en-AU"/>
              </w:rPr>
              <w:t xml:space="preserve">, G.; </w:t>
            </w:r>
            <w:proofErr w:type="spellStart"/>
            <w:r w:rsidRPr="00A52C6D">
              <w:rPr>
                <w:rFonts w:eastAsia="Times New Roman" w:cs="Calibri"/>
                <w:color w:val="000000"/>
                <w:sz w:val="20"/>
                <w:szCs w:val="20"/>
                <w:lang w:val="en-AU" w:eastAsia="en-AU"/>
              </w:rPr>
              <w:t>Bulbuloglu</w:t>
            </w:r>
            <w:proofErr w:type="spellEnd"/>
            <w:r w:rsidRPr="00A52C6D">
              <w:rPr>
                <w:rFonts w:eastAsia="Times New Roman" w:cs="Calibri"/>
                <w:color w:val="000000"/>
                <w:sz w:val="20"/>
                <w:szCs w:val="20"/>
                <w:lang w:val="en-AU" w:eastAsia="en-AU"/>
              </w:rPr>
              <w:t xml:space="preserve">, S.; Gunes, H.; Saritas, S.; Demir, B. A randomized controlled trial of reflexology effect after abdominal surgery on patient satisfaction, pain and vital signs. Explore (New York, N.Y.). 2022; 19(4) 565-570.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10.1016/j.explore.2022.10.017</w:t>
            </w:r>
          </w:p>
        </w:tc>
      </w:tr>
      <w:tr w:rsidR="00C37F09" w:rsidRPr="00A52C6D" w14:paraId="47DB9C77" w14:textId="77777777" w:rsidTr="00B76ED3">
        <w:trPr>
          <w:trHeight w:val="1200"/>
        </w:trPr>
        <w:tc>
          <w:tcPr>
            <w:tcW w:w="2156" w:type="dxa"/>
            <w:shd w:val="clear" w:color="auto" w:fill="auto"/>
            <w:noWrap/>
            <w:hideMark/>
          </w:tcPr>
          <w:p w14:paraId="32D2E40B"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Kapikiran</w:t>
            </w:r>
            <w:proofErr w:type="spellEnd"/>
            <w:r w:rsidRPr="00A52C6D">
              <w:rPr>
                <w:rFonts w:eastAsia="Times New Roman" w:cs="Calibri"/>
                <w:b/>
                <w:color w:val="002060"/>
                <w:sz w:val="20"/>
                <w:szCs w:val="20"/>
                <w:lang w:val="en-AU" w:eastAsia="en-AU"/>
              </w:rPr>
              <w:t xml:space="preserve"> 2021</w:t>
            </w:r>
          </w:p>
        </w:tc>
        <w:tc>
          <w:tcPr>
            <w:tcW w:w="7371" w:type="dxa"/>
            <w:shd w:val="clear" w:color="auto" w:fill="auto"/>
            <w:hideMark/>
          </w:tcPr>
          <w:p w14:paraId="5F8336D6"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Kapikiran</w:t>
            </w:r>
            <w:proofErr w:type="spellEnd"/>
            <w:r w:rsidRPr="00A52C6D">
              <w:rPr>
                <w:rFonts w:eastAsia="Times New Roman" w:cs="Calibri"/>
                <w:color w:val="000000"/>
                <w:sz w:val="20"/>
                <w:szCs w:val="20"/>
                <w:lang w:val="en-AU" w:eastAsia="en-AU"/>
              </w:rPr>
              <w:t xml:space="preserve">, G.; Ozkan, M. The effect of foot reflexology on pain, comfort and beta endorphin levels in patients with liver transplantation: A randomized control trial. European Journal of Integrative Medicine. 2021; 45() 101344.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https://dx.doi.org/10.1016/j.eujim.2021.101344</w:t>
            </w:r>
          </w:p>
        </w:tc>
      </w:tr>
      <w:tr w:rsidR="00C37F09" w:rsidRPr="00A52C6D" w14:paraId="61E1469B" w14:textId="77777777" w:rsidTr="00B76ED3">
        <w:trPr>
          <w:trHeight w:val="1200"/>
        </w:trPr>
        <w:tc>
          <w:tcPr>
            <w:tcW w:w="2156" w:type="dxa"/>
            <w:shd w:val="clear" w:color="auto" w:fill="auto"/>
            <w:noWrap/>
            <w:hideMark/>
          </w:tcPr>
          <w:p w14:paraId="4F0E4A36"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Kaplan 2021</w:t>
            </w:r>
          </w:p>
        </w:tc>
        <w:tc>
          <w:tcPr>
            <w:tcW w:w="7371" w:type="dxa"/>
            <w:shd w:val="clear" w:color="auto" w:fill="auto"/>
            <w:hideMark/>
          </w:tcPr>
          <w:p w14:paraId="7241D04E"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Kaplan, E.; </w:t>
            </w:r>
            <w:proofErr w:type="spellStart"/>
            <w:r w:rsidRPr="00A52C6D">
              <w:rPr>
                <w:rFonts w:eastAsia="Times New Roman" w:cs="Calibri"/>
                <w:color w:val="000000"/>
                <w:sz w:val="20"/>
                <w:szCs w:val="20"/>
                <w:lang w:val="en-AU" w:eastAsia="en-AU"/>
              </w:rPr>
              <w:t>Cevik</w:t>
            </w:r>
            <w:proofErr w:type="spellEnd"/>
            <w:r w:rsidRPr="00A52C6D">
              <w:rPr>
                <w:rFonts w:eastAsia="Times New Roman" w:cs="Calibri"/>
                <w:color w:val="000000"/>
                <w:sz w:val="20"/>
                <w:szCs w:val="20"/>
                <w:lang w:val="en-AU" w:eastAsia="en-AU"/>
              </w:rPr>
              <w:t xml:space="preserve">, S. The effect of guided imagery and reflexology on pain intensity, duration of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and birth satisfaction in primiparas: randomized controlled trial. Health Care for Women International. 2021; 42(4-6) 691-709.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https://dx.doi.org/10.1080/07399332.2021.1880411</w:t>
            </w:r>
          </w:p>
        </w:tc>
      </w:tr>
      <w:tr w:rsidR="00C37F09" w:rsidRPr="00A52C6D" w14:paraId="6EE2AEB8" w14:textId="77777777" w:rsidTr="00B76ED3">
        <w:trPr>
          <w:trHeight w:val="900"/>
        </w:trPr>
        <w:tc>
          <w:tcPr>
            <w:tcW w:w="2156" w:type="dxa"/>
            <w:shd w:val="clear" w:color="auto" w:fill="auto"/>
            <w:noWrap/>
            <w:hideMark/>
          </w:tcPr>
          <w:p w14:paraId="1A5E9555"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Karatas 2021</w:t>
            </w:r>
          </w:p>
        </w:tc>
        <w:tc>
          <w:tcPr>
            <w:tcW w:w="7371" w:type="dxa"/>
            <w:shd w:val="clear" w:color="auto" w:fill="auto"/>
            <w:hideMark/>
          </w:tcPr>
          <w:p w14:paraId="39939C5F"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Karatas, N.; Isler Dalgic, A. Is foot reflexology effective in reducing colic symptoms in infants: A randomized placebo-controlled trial. Complementary Therapies in Medicine. 2021; 59() 102732.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10.1016/j.ctim.2021.102732</w:t>
            </w:r>
          </w:p>
        </w:tc>
      </w:tr>
      <w:tr w:rsidR="00C37F09" w:rsidRPr="00A52C6D" w14:paraId="3085423C" w14:textId="77777777" w:rsidTr="00B76ED3">
        <w:trPr>
          <w:trHeight w:val="1200"/>
        </w:trPr>
        <w:tc>
          <w:tcPr>
            <w:tcW w:w="2156" w:type="dxa"/>
            <w:shd w:val="clear" w:color="auto" w:fill="auto"/>
            <w:noWrap/>
            <w:hideMark/>
          </w:tcPr>
          <w:p w14:paraId="0955AA4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Kardan 2020</w:t>
            </w:r>
          </w:p>
        </w:tc>
        <w:tc>
          <w:tcPr>
            <w:tcW w:w="7371" w:type="dxa"/>
            <w:shd w:val="clear" w:color="auto" w:fill="auto"/>
            <w:hideMark/>
          </w:tcPr>
          <w:p w14:paraId="3671382F"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Kardan, M.; Zarei, B.; </w:t>
            </w:r>
            <w:proofErr w:type="spellStart"/>
            <w:r w:rsidRPr="00A52C6D">
              <w:rPr>
                <w:rFonts w:eastAsia="Times New Roman" w:cs="Calibri"/>
                <w:color w:val="000000"/>
                <w:sz w:val="20"/>
                <w:szCs w:val="20"/>
                <w:lang w:val="en-AU" w:eastAsia="en-AU"/>
              </w:rPr>
              <w:t>BahramiTaghanaki</w:t>
            </w:r>
            <w:proofErr w:type="spellEnd"/>
            <w:r w:rsidRPr="00A52C6D">
              <w:rPr>
                <w:rFonts w:eastAsia="Times New Roman" w:cs="Calibri"/>
                <w:color w:val="000000"/>
                <w:sz w:val="20"/>
                <w:szCs w:val="20"/>
                <w:lang w:val="en-AU" w:eastAsia="en-AU"/>
              </w:rPr>
              <w:t xml:space="preserve">, H.; </w:t>
            </w:r>
            <w:proofErr w:type="spellStart"/>
            <w:r w:rsidRPr="00A52C6D">
              <w:rPr>
                <w:rFonts w:eastAsia="Times New Roman" w:cs="Calibri"/>
                <w:color w:val="000000"/>
                <w:sz w:val="20"/>
                <w:szCs w:val="20"/>
                <w:lang w:val="en-AU" w:eastAsia="en-AU"/>
              </w:rPr>
              <w:t>Vagharseyyedin</w:t>
            </w:r>
            <w:proofErr w:type="spellEnd"/>
            <w:r w:rsidRPr="00A52C6D">
              <w:rPr>
                <w:rFonts w:eastAsia="Times New Roman" w:cs="Calibri"/>
                <w:color w:val="000000"/>
                <w:sz w:val="20"/>
                <w:szCs w:val="20"/>
                <w:lang w:val="en-AU" w:eastAsia="en-AU"/>
              </w:rPr>
              <w:t xml:space="preserve">, S. A.; </w:t>
            </w:r>
            <w:proofErr w:type="spellStart"/>
            <w:r w:rsidRPr="00A52C6D">
              <w:rPr>
                <w:rFonts w:eastAsia="Times New Roman" w:cs="Calibri"/>
                <w:color w:val="000000"/>
                <w:sz w:val="20"/>
                <w:szCs w:val="20"/>
                <w:lang w:val="en-AU" w:eastAsia="en-AU"/>
              </w:rPr>
              <w:t>Azdaki</w:t>
            </w:r>
            <w:proofErr w:type="spellEnd"/>
            <w:r w:rsidRPr="00A52C6D">
              <w:rPr>
                <w:rFonts w:eastAsia="Times New Roman" w:cs="Calibri"/>
                <w:color w:val="000000"/>
                <w:sz w:val="20"/>
                <w:szCs w:val="20"/>
                <w:lang w:val="en-AU" w:eastAsia="en-AU"/>
              </w:rPr>
              <w:t xml:space="preserve">, N. The effects of foot reflexology on back pain after coronary angiography: A randomized controlled trial. Complementary Therapies in Clinical Practice. 2020; 38() 101068.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https://dx.doi.org/10.1016/j.ctcp.2019.101068</w:t>
            </w:r>
          </w:p>
        </w:tc>
      </w:tr>
      <w:tr w:rsidR="00C37F09" w:rsidRPr="00A52C6D" w14:paraId="77667A91" w14:textId="77777777" w:rsidTr="00B76ED3">
        <w:trPr>
          <w:trHeight w:val="900"/>
        </w:trPr>
        <w:tc>
          <w:tcPr>
            <w:tcW w:w="2156" w:type="dxa"/>
            <w:shd w:val="clear" w:color="auto" w:fill="auto"/>
            <w:noWrap/>
            <w:hideMark/>
          </w:tcPr>
          <w:p w14:paraId="034AC580"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lastRenderedPageBreak/>
              <w:t>Khaledifar</w:t>
            </w:r>
            <w:proofErr w:type="spellEnd"/>
            <w:r w:rsidRPr="00A52C6D">
              <w:rPr>
                <w:rFonts w:eastAsia="Times New Roman" w:cs="Calibri"/>
                <w:b/>
                <w:color w:val="002060"/>
                <w:sz w:val="20"/>
                <w:szCs w:val="20"/>
                <w:lang w:val="en-AU" w:eastAsia="en-AU"/>
              </w:rPr>
              <w:t xml:space="preserve"> 2017</w:t>
            </w:r>
          </w:p>
        </w:tc>
        <w:tc>
          <w:tcPr>
            <w:tcW w:w="7371" w:type="dxa"/>
            <w:shd w:val="clear" w:color="auto" w:fill="auto"/>
            <w:hideMark/>
          </w:tcPr>
          <w:p w14:paraId="668780D6"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Khaledifar</w:t>
            </w:r>
            <w:proofErr w:type="spellEnd"/>
            <w:r w:rsidRPr="00A52C6D">
              <w:rPr>
                <w:rFonts w:eastAsia="Times New Roman" w:cs="Calibri"/>
                <w:color w:val="000000"/>
                <w:sz w:val="20"/>
                <w:szCs w:val="20"/>
                <w:lang w:val="en-AU" w:eastAsia="en-AU"/>
              </w:rPr>
              <w:t xml:space="preserve">, A.; Nasiri, M.; </w:t>
            </w:r>
            <w:proofErr w:type="spellStart"/>
            <w:r w:rsidRPr="00A52C6D">
              <w:rPr>
                <w:rFonts w:eastAsia="Times New Roman" w:cs="Calibri"/>
                <w:color w:val="000000"/>
                <w:sz w:val="20"/>
                <w:szCs w:val="20"/>
                <w:lang w:val="en-AU" w:eastAsia="en-AU"/>
              </w:rPr>
              <w:t>Khaledifar</w:t>
            </w:r>
            <w:proofErr w:type="spellEnd"/>
            <w:r w:rsidRPr="00A52C6D">
              <w:rPr>
                <w:rFonts w:eastAsia="Times New Roman" w:cs="Calibri"/>
                <w:color w:val="000000"/>
                <w:sz w:val="20"/>
                <w:szCs w:val="20"/>
                <w:lang w:val="en-AU" w:eastAsia="en-AU"/>
              </w:rPr>
              <w:t xml:space="preserve">, B.; </w:t>
            </w:r>
            <w:proofErr w:type="spellStart"/>
            <w:r w:rsidRPr="00A52C6D">
              <w:rPr>
                <w:rFonts w:eastAsia="Times New Roman" w:cs="Calibri"/>
                <w:color w:val="000000"/>
                <w:sz w:val="20"/>
                <w:szCs w:val="20"/>
                <w:lang w:val="en-AU" w:eastAsia="en-AU"/>
              </w:rPr>
              <w:t>Khaledifar</w:t>
            </w:r>
            <w:proofErr w:type="spellEnd"/>
            <w:r w:rsidRPr="00A52C6D">
              <w:rPr>
                <w:rFonts w:eastAsia="Times New Roman" w:cs="Calibri"/>
                <w:color w:val="000000"/>
                <w:sz w:val="20"/>
                <w:szCs w:val="20"/>
                <w:lang w:val="en-AU" w:eastAsia="en-AU"/>
              </w:rPr>
              <w:t xml:space="preserve">, A.; Mokhtari, A. The effect of </w:t>
            </w:r>
            <w:proofErr w:type="spellStart"/>
            <w:r w:rsidRPr="00A52C6D">
              <w:rPr>
                <w:rFonts w:eastAsia="Times New Roman" w:cs="Calibri"/>
                <w:color w:val="000000"/>
                <w:sz w:val="20"/>
                <w:szCs w:val="20"/>
                <w:lang w:val="en-AU" w:eastAsia="en-AU"/>
              </w:rPr>
              <w:t>reflexotherapy</w:t>
            </w:r>
            <w:proofErr w:type="spellEnd"/>
            <w:r w:rsidRPr="00A52C6D">
              <w:rPr>
                <w:rFonts w:eastAsia="Times New Roman" w:cs="Calibri"/>
                <w:color w:val="000000"/>
                <w:sz w:val="20"/>
                <w:szCs w:val="20"/>
                <w:lang w:val="en-AU" w:eastAsia="en-AU"/>
              </w:rPr>
              <w:t xml:space="preserve"> and massage therapy on vital signs and stress before coronary angiography: An open-label clinical trial. ARYA </w:t>
            </w:r>
            <w:proofErr w:type="spellStart"/>
            <w:r w:rsidRPr="00A52C6D">
              <w:rPr>
                <w:rFonts w:eastAsia="Times New Roman" w:cs="Calibri"/>
                <w:color w:val="000000"/>
                <w:sz w:val="20"/>
                <w:szCs w:val="20"/>
                <w:lang w:val="en-AU" w:eastAsia="en-AU"/>
              </w:rPr>
              <w:t>Atheroscler</w:t>
            </w:r>
            <w:proofErr w:type="spellEnd"/>
            <w:r w:rsidRPr="00A52C6D">
              <w:rPr>
                <w:rFonts w:eastAsia="Times New Roman" w:cs="Calibri"/>
                <w:color w:val="000000"/>
                <w:sz w:val="20"/>
                <w:szCs w:val="20"/>
                <w:lang w:val="en-AU" w:eastAsia="en-AU"/>
              </w:rPr>
              <w:t xml:space="preserve">. 2017; 13(2) 50-55.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291B425F" w14:textId="77777777" w:rsidTr="00B76ED3">
        <w:trPr>
          <w:trHeight w:val="1200"/>
        </w:trPr>
        <w:tc>
          <w:tcPr>
            <w:tcW w:w="2156" w:type="dxa"/>
            <w:shd w:val="clear" w:color="auto" w:fill="auto"/>
            <w:noWrap/>
            <w:hideMark/>
          </w:tcPr>
          <w:p w14:paraId="317901F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Khorsand 2015</w:t>
            </w:r>
          </w:p>
        </w:tc>
        <w:tc>
          <w:tcPr>
            <w:tcW w:w="7371" w:type="dxa"/>
            <w:shd w:val="clear" w:color="auto" w:fill="auto"/>
            <w:hideMark/>
          </w:tcPr>
          <w:p w14:paraId="0A4C385F"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Khorsand, A.; </w:t>
            </w:r>
            <w:proofErr w:type="spellStart"/>
            <w:r w:rsidRPr="00A52C6D">
              <w:rPr>
                <w:rFonts w:eastAsia="Times New Roman" w:cs="Calibri"/>
                <w:color w:val="000000"/>
                <w:sz w:val="20"/>
                <w:szCs w:val="20"/>
                <w:lang w:val="en-AU" w:eastAsia="en-AU"/>
              </w:rPr>
              <w:t>Tadayonfar</w:t>
            </w:r>
            <w:proofErr w:type="spellEnd"/>
            <w:r w:rsidRPr="00A52C6D">
              <w:rPr>
                <w:rFonts w:eastAsia="Times New Roman" w:cs="Calibri"/>
                <w:color w:val="000000"/>
                <w:sz w:val="20"/>
                <w:szCs w:val="20"/>
                <w:lang w:val="en-AU" w:eastAsia="en-AU"/>
              </w:rPr>
              <w:t xml:space="preserve">, M. A.; </w:t>
            </w:r>
            <w:proofErr w:type="spellStart"/>
            <w:r w:rsidRPr="00A52C6D">
              <w:rPr>
                <w:rFonts w:eastAsia="Times New Roman" w:cs="Calibri"/>
                <w:color w:val="000000"/>
                <w:sz w:val="20"/>
                <w:szCs w:val="20"/>
                <w:lang w:val="en-AU" w:eastAsia="en-AU"/>
              </w:rPr>
              <w:t>Badiee</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Aghaee</w:t>
            </w:r>
            <w:proofErr w:type="spellEnd"/>
            <w:r w:rsidRPr="00A52C6D">
              <w:rPr>
                <w:rFonts w:eastAsia="Times New Roman" w:cs="Calibri"/>
                <w:color w:val="000000"/>
                <w:sz w:val="20"/>
                <w:szCs w:val="20"/>
                <w:lang w:val="en-AU" w:eastAsia="en-AU"/>
              </w:rPr>
              <w:t xml:space="preserve">, M. A.; Azizi, H.; </w:t>
            </w:r>
            <w:proofErr w:type="spellStart"/>
            <w:r w:rsidRPr="00A52C6D">
              <w:rPr>
                <w:rFonts w:eastAsia="Times New Roman" w:cs="Calibri"/>
                <w:color w:val="000000"/>
                <w:sz w:val="20"/>
                <w:szCs w:val="20"/>
                <w:lang w:val="en-AU" w:eastAsia="en-AU"/>
              </w:rPr>
              <w:t>Baghani</w:t>
            </w:r>
            <w:proofErr w:type="spellEnd"/>
            <w:r w:rsidRPr="00A52C6D">
              <w:rPr>
                <w:rFonts w:eastAsia="Times New Roman" w:cs="Calibri"/>
                <w:color w:val="000000"/>
                <w:sz w:val="20"/>
                <w:szCs w:val="20"/>
                <w:lang w:val="en-AU" w:eastAsia="en-AU"/>
              </w:rPr>
              <w:t xml:space="preserve">, S. Evaluation of the Effect of Reflexology on Pain Control and Analgesic Consumption After Appendectomy. Journal of alternative and complementary medicine (New York, N.Y.). 2015; 21(12) 774-780.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10.1089/acm.2014.0270</w:t>
            </w:r>
          </w:p>
        </w:tc>
      </w:tr>
      <w:tr w:rsidR="00C37F09" w:rsidRPr="00A52C6D" w14:paraId="2E1ECC56" w14:textId="77777777" w:rsidTr="00B76ED3">
        <w:trPr>
          <w:trHeight w:val="900"/>
        </w:trPr>
        <w:tc>
          <w:tcPr>
            <w:tcW w:w="2156" w:type="dxa"/>
            <w:shd w:val="clear" w:color="auto" w:fill="auto"/>
            <w:noWrap/>
            <w:hideMark/>
          </w:tcPr>
          <w:p w14:paraId="15CDF049"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Koc 2015</w:t>
            </w:r>
          </w:p>
        </w:tc>
        <w:tc>
          <w:tcPr>
            <w:tcW w:w="7371" w:type="dxa"/>
            <w:shd w:val="clear" w:color="auto" w:fill="auto"/>
            <w:hideMark/>
          </w:tcPr>
          <w:p w14:paraId="1887D5B9"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Koc, T.; </w:t>
            </w:r>
            <w:proofErr w:type="spellStart"/>
            <w:r w:rsidRPr="00A52C6D">
              <w:rPr>
                <w:rFonts w:eastAsia="Times New Roman" w:cs="Calibri"/>
                <w:color w:val="000000"/>
                <w:sz w:val="20"/>
                <w:szCs w:val="20"/>
                <w:lang w:val="en-AU" w:eastAsia="en-AU"/>
              </w:rPr>
              <w:t>Gozen</w:t>
            </w:r>
            <w:proofErr w:type="spellEnd"/>
            <w:r w:rsidRPr="00A52C6D">
              <w:rPr>
                <w:rFonts w:eastAsia="Times New Roman" w:cs="Calibri"/>
                <w:color w:val="000000"/>
                <w:sz w:val="20"/>
                <w:szCs w:val="20"/>
                <w:lang w:val="en-AU" w:eastAsia="en-AU"/>
              </w:rPr>
              <w:t xml:space="preserve">, D. The Effect of Foot Reflexology on Acute Pain in Infants: A Randomized Controlled Trial. Worldviews on Evidence-Based Nursing. 2015; 12(5) 289-296.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https://dx.doi.org/10.1111/wvn.12099</w:t>
            </w:r>
          </w:p>
        </w:tc>
      </w:tr>
      <w:tr w:rsidR="00C37F09" w:rsidRPr="00A52C6D" w14:paraId="4D575471" w14:textId="77777777" w:rsidTr="00B76ED3">
        <w:trPr>
          <w:trHeight w:val="900"/>
        </w:trPr>
        <w:tc>
          <w:tcPr>
            <w:tcW w:w="2156" w:type="dxa"/>
            <w:shd w:val="clear" w:color="auto" w:fill="auto"/>
            <w:noWrap/>
            <w:hideMark/>
          </w:tcPr>
          <w:p w14:paraId="6E91C692"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Kurt 2018</w:t>
            </w:r>
          </w:p>
        </w:tc>
        <w:tc>
          <w:tcPr>
            <w:tcW w:w="7371" w:type="dxa"/>
            <w:shd w:val="clear" w:color="auto" w:fill="auto"/>
            <w:hideMark/>
          </w:tcPr>
          <w:p w14:paraId="697BCC3E"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Kurt, S.; Can, G. Reflexology in the management of chemotherapy induced peripheral neuropathy: A pilot randomized controlled trial. European Journal of Oncology Nursing. 2018; 32() 43800-.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10.1016/j.ejon.2017.11.001</w:t>
            </w:r>
          </w:p>
        </w:tc>
      </w:tr>
      <w:tr w:rsidR="00C37F09" w:rsidRPr="00A52C6D" w14:paraId="5FB51BC2" w14:textId="77777777" w:rsidTr="00B76ED3">
        <w:trPr>
          <w:trHeight w:val="1200"/>
        </w:trPr>
        <w:tc>
          <w:tcPr>
            <w:tcW w:w="2156" w:type="dxa"/>
            <w:shd w:val="clear" w:color="auto" w:fill="auto"/>
            <w:noWrap/>
            <w:hideMark/>
          </w:tcPr>
          <w:p w14:paraId="2A4F5ECD"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Levy 2020</w:t>
            </w:r>
          </w:p>
        </w:tc>
        <w:tc>
          <w:tcPr>
            <w:tcW w:w="7371" w:type="dxa"/>
            <w:shd w:val="clear" w:color="auto" w:fill="auto"/>
            <w:hideMark/>
          </w:tcPr>
          <w:p w14:paraId="41F49997"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Levy, I.; Attias, S.; Stern Lavee, T.; </w:t>
            </w:r>
            <w:proofErr w:type="spellStart"/>
            <w:r w:rsidRPr="00A52C6D">
              <w:rPr>
                <w:rFonts w:eastAsia="Times New Roman" w:cs="Calibri"/>
                <w:color w:val="000000"/>
                <w:sz w:val="20"/>
                <w:szCs w:val="20"/>
                <w:lang w:val="en-AU" w:eastAsia="en-AU"/>
              </w:rPr>
              <w:t>Avneri</w:t>
            </w:r>
            <w:proofErr w:type="spellEnd"/>
            <w:r w:rsidRPr="00A52C6D">
              <w:rPr>
                <w:rFonts w:eastAsia="Times New Roman" w:cs="Calibri"/>
                <w:color w:val="000000"/>
                <w:sz w:val="20"/>
                <w:szCs w:val="20"/>
                <w:lang w:val="en-AU" w:eastAsia="en-AU"/>
              </w:rPr>
              <w:t xml:space="preserve">, O.; Cohen, G.; </w:t>
            </w:r>
            <w:proofErr w:type="spellStart"/>
            <w:r w:rsidRPr="00A52C6D">
              <w:rPr>
                <w:rFonts w:eastAsia="Times New Roman" w:cs="Calibri"/>
                <w:color w:val="000000"/>
                <w:sz w:val="20"/>
                <w:szCs w:val="20"/>
                <w:lang w:val="en-AU" w:eastAsia="en-AU"/>
              </w:rPr>
              <w:t>Balachsan</w:t>
            </w:r>
            <w:proofErr w:type="spellEnd"/>
            <w:r w:rsidRPr="00A52C6D">
              <w:rPr>
                <w:rFonts w:eastAsia="Times New Roman" w:cs="Calibri"/>
                <w:color w:val="000000"/>
                <w:sz w:val="20"/>
                <w:szCs w:val="20"/>
                <w:lang w:val="en-AU" w:eastAsia="en-AU"/>
              </w:rPr>
              <w:t xml:space="preserve">, S.; Sagi, S.; Schiff, E. The effectiveness of foot reflexology in reducing anxiety and duration of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in primiparas: An </w:t>
            </w:r>
            <w:proofErr w:type="gramStart"/>
            <w:r w:rsidRPr="00A52C6D">
              <w:rPr>
                <w:rFonts w:eastAsia="Times New Roman" w:cs="Calibri"/>
                <w:color w:val="000000"/>
                <w:sz w:val="20"/>
                <w:szCs w:val="20"/>
                <w:lang w:val="en-AU" w:eastAsia="en-AU"/>
              </w:rPr>
              <w:t>open-label</w:t>
            </w:r>
            <w:proofErr w:type="gramEnd"/>
            <w:r w:rsidRPr="00A52C6D">
              <w:rPr>
                <w:rFonts w:eastAsia="Times New Roman" w:cs="Calibri"/>
                <w:color w:val="000000"/>
                <w:sz w:val="20"/>
                <w:szCs w:val="20"/>
                <w:lang w:val="en-AU" w:eastAsia="en-AU"/>
              </w:rPr>
              <w:t xml:space="preserve"> randomized controlled trial. Complementary Therapies in Clinical Practice. 2020; 38() 101085.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10.1016/j.ctcp.2019.101085</w:t>
            </w:r>
          </w:p>
        </w:tc>
      </w:tr>
      <w:tr w:rsidR="00C37F09" w:rsidRPr="00A52C6D" w14:paraId="03AE0ABA" w14:textId="77777777" w:rsidTr="00B76ED3">
        <w:trPr>
          <w:trHeight w:val="1200"/>
        </w:trPr>
        <w:tc>
          <w:tcPr>
            <w:tcW w:w="2156" w:type="dxa"/>
            <w:shd w:val="clear" w:color="auto" w:fill="auto"/>
            <w:noWrap/>
            <w:hideMark/>
          </w:tcPr>
          <w:p w14:paraId="41F6BC84"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Mahdavipour</w:t>
            </w:r>
            <w:proofErr w:type="spellEnd"/>
            <w:r w:rsidRPr="00A52C6D">
              <w:rPr>
                <w:rFonts w:eastAsia="Times New Roman" w:cs="Calibri"/>
                <w:b/>
                <w:color w:val="002060"/>
                <w:sz w:val="20"/>
                <w:szCs w:val="20"/>
                <w:lang w:val="en-AU" w:eastAsia="en-AU"/>
              </w:rPr>
              <w:t xml:space="preserve"> 2019</w:t>
            </w:r>
          </w:p>
        </w:tc>
        <w:tc>
          <w:tcPr>
            <w:tcW w:w="7371" w:type="dxa"/>
            <w:shd w:val="clear" w:color="auto" w:fill="auto"/>
            <w:hideMark/>
          </w:tcPr>
          <w:p w14:paraId="31AAE208"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Mahdavipour</w:t>
            </w:r>
            <w:proofErr w:type="spellEnd"/>
            <w:r w:rsidRPr="00A52C6D">
              <w:rPr>
                <w:rFonts w:eastAsia="Times New Roman" w:cs="Calibri"/>
                <w:color w:val="000000"/>
                <w:sz w:val="20"/>
                <w:szCs w:val="20"/>
                <w:lang w:val="en-AU" w:eastAsia="en-AU"/>
              </w:rPr>
              <w:t xml:space="preserve">, F.; </w:t>
            </w:r>
            <w:proofErr w:type="spellStart"/>
            <w:r w:rsidRPr="00A52C6D">
              <w:rPr>
                <w:rFonts w:eastAsia="Times New Roman" w:cs="Calibri"/>
                <w:color w:val="000000"/>
                <w:sz w:val="20"/>
                <w:szCs w:val="20"/>
                <w:lang w:val="en-AU" w:eastAsia="en-AU"/>
              </w:rPr>
              <w:t>Rahemi</w:t>
            </w:r>
            <w:proofErr w:type="spellEnd"/>
            <w:r w:rsidRPr="00A52C6D">
              <w:rPr>
                <w:rFonts w:eastAsia="Times New Roman" w:cs="Calibri"/>
                <w:color w:val="000000"/>
                <w:sz w:val="20"/>
                <w:szCs w:val="20"/>
                <w:lang w:val="en-AU" w:eastAsia="en-AU"/>
              </w:rPr>
              <w:t xml:space="preserve">, Z.; Sadat, Z.; </w:t>
            </w:r>
            <w:proofErr w:type="spellStart"/>
            <w:r w:rsidRPr="00A52C6D">
              <w:rPr>
                <w:rFonts w:eastAsia="Times New Roman" w:cs="Calibri"/>
                <w:color w:val="000000"/>
                <w:sz w:val="20"/>
                <w:szCs w:val="20"/>
                <w:lang w:val="en-AU" w:eastAsia="en-AU"/>
              </w:rPr>
              <w:t>Ajorpaz</w:t>
            </w:r>
            <w:proofErr w:type="spellEnd"/>
            <w:r w:rsidRPr="00A52C6D">
              <w:rPr>
                <w:rFonts w:eastAsia="Times New Roman" w:cs="Calibri"/>
                <w:color w:val="000000"/>
                <w:sz w:val="20"/>
                <w:szCs w:val="20"/>
                <w:lang w:val="en-AU" w:eastAsia="en-AU"/>
              </w:rPr>
              <w:t xml:space="preserve">, N. M. The effects of foot reflexology on depression during menopause: A randomized controlled clinical trial. Complementary Therapies in Medicine. 2019; 47() 102195-.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https://dx.doi.org/10.1016/j.ctim.2019.102195</w:t>
            </w:r>
          </w:p>
        </w:tc>
      </w:tr>
      <w:tr w:rsidR="00C37F09" w:rsidRPr="00A52C6D" w14:paraId="08C90980" w14:textId="77777777" w:rsidTr="00B76ED3">
        <w:trPr>
          <w:trHeight w:val="1200"/>
        </w:trPr>
        <w:tc>
          <w:tcPr>
            <w:tcW w:w="2156" w:type="dxa"/>
            <w:shd w:val="clear" w:color="auto" w:fill="auto"/>
            <w:noWrap/>
            <w:hideMark/>
          </w:tcPr>
          <w:p w14:paraId="46DE2F6D"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Mahdavipour</w:t>
            </w:r>
            <w:proofErr w:type="spellEnd"/>
            <w:r w:rsidRPr="00A52C6D">
              <w:rPr>
                <w:rFonts w:eastAsia="Times New Roman" w:cs="Calibri"/>
                <w:b/>
                <w:color w:val="002060"/>
                <w:sz w:val="20"/>
                <w:szCs w:val="20"/>
                <w:lang w:val="en-AU" w:eastAsia="en-AU"/>
              </w:rPr>
              <w:t xml:space="preserve"> 2022</w:t>
            </w:r>
          </w:p>
        </w:tc>
        <w:tc>
          <w:tcPr>
            <w:tcW w:w="7371" w:type="dxa"/>
            <w:shd w:val="clear" w:color="auto" w:fill="auto"/>
            <w:hideMark/>
          </w:tcPr>
          <w:p w14:paraId="54CE48BB"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Mahdavipour</w:t>
            </w:r>
            <w:proofErr w:type="spellEnd"/>
            <w:r w:rsidRPr="00A52C6D">
              <w:rPr>
                <w:rFonts w:eastAsia="Times New Roman" w:cs="Calibri"/>
                <w:color w:val="000000"/>
                <w:sz w:val="20"/>
                <w:szCs w:val="20"/>
                <w:lang w:val="en-AU" w:eastAsia="en-AU"/>
              </w:rPr>
              <w:t xml:space="preserve">, Fatemeh; Sadat, Zohreh; </w:t>
            </w:r>
            <w:proofErr w:type="spellStart"/>
            <w:r w:rsidRPr="00A52C6D">
              <w:rPr>
                <w:rFonts w:eastAsia="Times New Roman" w:cs="Calibri"/>
                <w:color w:val="000000"/>
                <w:sz w:val="20"/>
                <w:szCs w:val="20"/>
                <w:lang w:val="en-AU" w:eastAsia="en-AU"/>
              </w:rPr>
              <w:t>Mirbagher-Ajorpaz</w:t>
            </w:r>
            <w:proofErr w:type="spellEnd"/>
            <w:r w:rsidRPr="00A52C6D">
              <w:rPr>
                <w:rFonts w:eastAsia="Times New Roman" w:cs="Calibri"/>
                <w:color w:val="000000"/>
                <w:sz w:val="20"/>
                <w:szCs w:val="20"/>
                <w:lang w:val="en-AU" w:eastAsia="en-AU"/>
              </w:rPr>
              <w:t xml:space="preserve">, Neda; </w:t>
            </w:r>
            <w:proofErr w:type="spellStart"/>
            <w:r w:rsidRPr="00A52C6D">
              <w:rPr>
                <w:rFonts w:eastAsia="Times New Roman" w:cs="Calibri"/>
                <w:color w:val="000000"/>
                <w:sz w:val="20"/>
                <w:szCs w:val="20"/>
                <w:lang w:val="en-AU" w:eastAsia="en-AU"/>
              </w:rPr>
              <w:t>Kafaei</w:t>
            </w:r>
            <w:proofErr w:type="spellEnd"/>
            <w:r w:rsidRPr="00A52C6D">
              <w:rPr>
                <w:rFonts w:eastAsia="Times New Roman" w:cs="Calibri"/>
                <w:color w:val="000000"/>
                <w:sz w:val="20"/>
                <w:szCs w:val="20"/>
                <w:lang w:val="en-AU" w:eastAsia="en-AU"/>
              </w:rPr>
              <w:t xml:space="preserve">-Atrian, Mahboobeh </w:t>
            </w:r>
            <w:proofErr w:type="gramStart"/>
            <w:r w:rsidRPr="00A52C6D">
              <w:rPr>
                <w:rFonts w:eastAsia="Times New Roman" w:cs="Calibri"/>
                <w:color w:val="000000"/>
                <w:sz w:val="20"/>
                <w:szCs w:val="20"/>
                <w:lang w:val="en-AU" w:eastAsia="en-AU"/>
              </w:rPr>
              <w:t>The</w:t>
            </w:r>
            <w:proofErr w:type="gramEnd"/>
            <w:r w:rsidRPr="00A52C6D">
              <w:rPr>
                <w:rFonts w:eastAsia="Times New Roman" w:cs="Calibri"/>
                <w:color w:val="000000"/>
                <w:sz w:val="20"/>
                <w:szCs w:val="20"/>
                <w:lang w:val="en-AU" w:eastAsia="en-AU"/>
              </w:rPr>
              <w:t xml:space="preserve"> Effect of Foot Reflexology on the Quality of Life of Postmenopausal Women. Journal of Client </w:t>
            </w:r>
            <w:proofErr w:type="spellStart"/>
            <w:r w:rsidRPr="00A52C6D">
              <w:rPr>
                <w:rFonts w:eastAsia="Times New Roman" w:cs="Calibri"/>
                <w:color w:val="000000"/>
                <w:sz w:val="20"/>
                <w:szCs w:val="20"/>
                <w:lang w:val="en-AU" w:eastAsia="en-AU"/>
              </w:rPr>
              <w:t>Centered</w:t>
            </w:r>
            <w:proofErr w:type="spellEnd"/>
            <w:r w:rsidRPr="00A52C6D">
              <w:rPr>
                <w:rFonts w:eastAsia="Times New Roman" w:cs="Calibri"/>
                <w:color w:val="000000"/>
                <w:sz w:val="20"/>
                <w:szCs w:val="20"/>
                <w:lang w:val="en-AU" w:eastAsia="en-AU"/>
              </w:rPr>
              <w:t xml:space="preserve"> Nursing Care. 2022; 8(3) 191-198.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10.32598/JCCNC.8.3.435.1</w:t>
            </w:r>
          </w:p>
        </w:tc>
      </w:tr>
      <w:tr w:rsidR="00C37F09" w:rsidRPr="00A52C6D" w14:paraId="0C3A4722" w14:textId="77777777" w:rsidTr="00B76ED3">
        <w:trPr>
          <w:trHeight w:val="1200"/>
        </w:trPr>
        <w:tc>
          <w:tcPr>
            <w:tcW w:w="2156" w:type="dxa"/>
            <w:shd w:val="clear" w:color="auto" w:fill="auto"/>
            <w:noWrap/>
            <w:hideMark/>
          </w:tcPr>
          <w:p w14:paraId="237E25A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Mak 2007</w:t>
            </w:r>
          </w:p>
        </w:tc>
        <w:tc>
          <w:tcPr>
            <w:tcW w:w="7371" w:type="dxa"/>
            <w:shd w:val="clear" w:color="auto" w:fill="auto"/>
            <w:hideMark/>
          </w:tcPr>
          <w:p w14:paraId="397658D2"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Mak, H. L.; Cheon, W. C.; Wong, T.; Liu, Y. S.; Tong, W. M. Randomized controlled trial of foot reflexology for patients with symptomatic idiopathic detrusor overactivity. International urogynecology journal and pelvic floor dysfunction. 2007; 18(6) 653-658.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10.1007/s00192-006-0222-7</w:t>
            </w:r>
          </w:p>
        </w:tc>
      </w:tr>
      <w:tr w:rsidR="00C37F09" w:rsidRPr="00A52C6D" w14:paraId="3E80EE22" w14:textId="77777777" w:rsidTr="00B76ED3">
        <w:trPr>
          <w:trHeight w:val="1200"/>
        </w:trPr>
        <w:tc>
          <w:tcPr>
            <w:tcW w:w="2156" w:type="dxa"/>
            <w:shd w:val="clear" w:color="auto" w:fill="auto"/>
            <w:noWrap/>
            <w:hideMark/>
          </w:tcPr>
          <w:p w14:paraId="32C7AAD6"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Miller 2013</w:t>
            </w:r>
          </w:p>
        </w:tc>
        <w:tc>
          <w:tcPr>
            <w:tcW w:w="7371" w:type="dxa"/>
            <w:shd w:val="clear" w:color="auto" w:fill="auto"/>
            <w:hideMark/>
          </w:tcPr>
          <w:p w14:paraId="30F19229"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Miller, L.; McIntee, E.; Mattison, P. Evaluation of the effects of reflexology on quality of life and symptomatic relief in multiple sclerosis patients with moderate to severe disability; A pilot study. Clinical Rehabilitation. 2013; 27(7) 591-598.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10.1177/0269215512469383</w:t>
            </w:r>
          </w:p>
        </w:tc>
      </w:tr>
      <w:tr w:rsidR="00C37F09" w:rsidRPr="00A52C6D" w14:paraId="4DA60F70" w14:textId="77777777" w:rsidTr="00B76ED3">
        <w:trPr>
          <w:trHeight w:val="1200"/>
        </w:trPr>
        <w:tc>
          <w:tcPr>
            <w:tcW w:w="2156" w:type="dxa"/>
            <w:shd w:val="clear" w:color="auto" w:fill="auto"/>
            <w:noWrap/>
            <w:hideMark/>
          </w:tcPr>
          <w:p w14:paraId="733C73E0"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Mobini</w:t>
            </w:r>
            <w:proofErr w:type="spellEnd"/>
            <w:r w:rsidRPr="00A52C6D">
              <w:rPr>
                <w:rFonts w:eastAsia="Times New Roman" w:cs="Calibri"/>
                <w:b/>
                <w:color w:val="002060"/>
                <w:sz w:val="20"/>
                <w:szCs w:val="20"/>
                <w:lang w:val="en-AU" w:eastAsia="en-AU"/>
              </w:rPr>
              <w:t>-Bidgoli 2017</w:t>
            </w:r>
          </w:p>
        </w:tc>
        <w:tc>
          <w:tcPr>
            <w:tcW w:w="7371" w:type="dxa"/>
            <w:shd w:val="clear" w:color="auto" w:fill="auto"/>
            <w:hideMark/>
          </w:tcPr>
          <w:p w14:paraId="71365D4C"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Mobini</w:t>
            </w:r>
            <w:proofErr w:type="spellEnd"/>
            <w:r w:rsidRPr="00A52C6D">
              <w:rPr>
                <w:rFonts w:eastAsia="Times New Roman" w:cs="Calibri"/>
                <w:color w:val="000000"/>
                <w:sz w:val="20"/>
                <w:szCs w:val="20"/>
                <w:lang w:val="en-AU" w:eastAsia="en-AU"/>
              </w:rPr>
              <w:t xml:space="preserve">-Bidgoli, M.; </w:t>
            </w:r>
            <w:proofErr w:type="spellStart"/>
            <w:r w:rsidRPr="00A52C6D">
              <w:rPr>
                <w:rFonts w:eastAsia="Times New Roman" w:cs="Calibri"/>
                <w:color w:val="000000"/>
                <w:sz w:val="20"/>
                <w:szCs w:val="20"/>
                <w:lang w:val="en-AU" w:eastAsia="en-AU"/>
              </w:rPr>
              <w:t>Taghadosi</w:t>
            </w:r>
            <w:proofErr w:type="spellEnd"/>
            <w:r w:rsidRPr="00A52C6D">
              <w:rPr>
                <w:rFonts w:eastAsia="Times New Roman" w:cs="Calibri"/>
                <w:color w:val="000000"/>
                <w:sz w:val="20"/>
                <w:szCs w:val="20"/>
                <w:lang w:val="en-AU" w:eastAsia="en-AU"/>
              </w:rPr>
              <w:t xml:space="preserve">, M.; Gilasi, H.; </w:t>
            </w:r>
            <w:proofErr w:type="spellStart"/>
            <w:r w:rsidRPr="00A52C6D">
              <w:rPr>
                <w:rFonts w:eastAsia="Times New Roman" w:cs="Calibri"/>
                <w:color w:val="000000"/>
                <w:sz w:val="20"/>
                <w:szCs w:val="20"/>
                <w:lang w:val="en-AU" w:eastAsia="en-AU"/>
              </w:rPr>
              <w:t>Farokhian</w:t>
            </w:r>
            <w:proofErr w:type="spellEnd"/>
            <w:r w:rsidRPr="00A52C6D">
              <w:rPr>
                <w:rFonts w:eastAsia="Times New Roman" w:cs="Calibri"/>
                <w:color w:val="000000"/>
                <w:sz w:val="20"/>
                <w:szCs w:val="20"/>
                <w:lang w:val="en-AU" w:eastAsia="en-AU"/>
              </w:rPr>
              <w:t xml:space="preserve">, A. The effect of hand reflexology on anxiety in patients undergoing coronary angiography: A single-blind randomized controlled trial. Complementary Therapies in Clinical Practice. 2017; 27() 31-36.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10.1016/j.ctcp.2017.01.002</w:t>
            </w:r>
          </w:p>
        </w:tc>
      </w:tr>
      <w:tr w:rsidR="00C37F09" w:rsidRPr="00A52C6D" w14:paraId="3E4A3638" w14:textId="77777777" w:rsidTr="00B76ED3">
        <w:trPr>
          <w:trHeight w:val="1200"/>
        </w:trPr>
        <w:tc>
          <w:tcPr>
            <w:tcW w:w="2156" w:type="dxa"/>
            <w:shd w:val="clear" w:color="auto" w:fill="auto"/>
            <w:noWrap/>
            <w:hideMark/>
          </w:tcPr>
          <w:p w14:paraId="76AB2C0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 xml:space="preserve">Molavi </w:t>
            </w:r>
            <w:proofErr w:type="spellStart"/>
            <w:r w:rsidRPr="00A52C6D">
              <w:rPr>
                <w:rFonts w:eastAsia="Times New Roman" w:cs="Calibri"/>
                <w:b/>
                <w:color w:val="002060"/>
                <w:sz w:val="20"/>
                <w:szCs w:val="20"/>
                <w:lang w:val="en-AU" w:eastAsia="en-AU"/>
              </w:rPr>
              <w:t>Vardanjani</w:t>
            </w:r>
            <w:proofErr w:type="spellEnd"/>
            <w:r w:rsidRPr="00A52C6D">
              <w:rPr>
                <w:rFonts w:eastAsia="Times New Roman" w:cs="Calibri"/>
                <w:b/>
                <w:color w:val="002060"/>
                <w:sz w:val="20"/>
                <w:szCs w:val="20"/>
                <w:lang w:val="en-AU" w:eastAsia="en-AU"/>
              </w:rPr>
              <w:t xml:space="preserve"> 2013</w:t>
            </w:r>
          </w:p>
        </w:tc>
        <w:tc>
          <w:tcPr>
            <w:tcW w:w="7371" w:type="dxa"/>
            <w:shd w:val="clear" w:color="auto" w:fill="auto"/>
            <w:hideMark/>
          </w:tcPr>
          <w:p w14:paraId="1FC406EB"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Molavi </w:t>
            </w:r>
            <w:proofErr w:type="spellStart"/>
            <w:r w:rsidRPr="00A52C6D">
              <w:rPr>
                <w:rFonts w:eastAsia="Times New Roman" w:cs="Calibri"/>
                <w:color w:val="000000"/>
                <w:sz w:val="20"/>
                <w:szCs w:val="20"/>
                <w:lang w:val="en-AU" w:eastAsia="en-AU"/>
              </w:rPr>
              <w:t>Vardanjani</w:t>
            </w:r>
            <w:proofErr w:type="spellEnd"/>
            <w:r w:rsidRPr="00A52C6D">
              <w:rPr>
                <w:rFonts w:eastAsia="Times New Roman" w:cs="Calibri"/>
                <w:color w:val="000000"/>
                <w:sz w:val="20"/>
                <w:szCs w:val="20"/>
                <w:lang w:val="en-AU" w:eastAsia="en-AU"/>
              </w:rPr>
              <w:t xml:space="preserve">, M.; Masoudi Alavi, N.; Razavi, N. S.; Aghajani, M.; Azizi-Fini, E.; </w:t>
            </w:r>
            <w:proofErr w:type="spellStart"/>
            <w:r w:rsidRPr="00A52C6D">
              <w:rPr>
                <w:rFonts w:eastAsia="Times New Roman" w:cs="Calibri"/>
                <w:color w:val="000000"/>
                <w:sz w:val="20"/>
                <w:szCs w:val="20"/>
                <w:lang w:val="en-AU" w:eastAsia="en-AU"/>
              </w:rPr>
              <w:t>Vaghefi</w:t>
            </w:r>
            <w:proofErr w:type="spellEnd"/>
            <w:r w:rsidRPr="00A52C6D">
              <w:rPr>
                <w:rFonts w:eastAsia="Times New Roman" w:cs="Calibri"/>
                <w:color w:val="000000"/>
                <w:sz w:val="20"/>
                <w:szCs w:val="20"/>
                <w:lang w:val="en-AU" w:eastAsia="en-AU"/>
              </w:rPr>
              <w:t xml:space="preserve">, S. M. A randomized-controlled trial examining the effects of reflexology on anxiety of patients undergoing coronary angiography. </w:t>
            </w:r>
            <w:proofErr w:type="spellStart"/>
            <w:r w:rsidRPr="00A52C6D">
              <w:rPr>
                <w:rFonts w:eastAsia="Times New Roman" w:cs="Calibri"/>
                <w:color w:val="000000"/>
                <w:sz w:val="20"/>
                <w:szCs w:val="20"/>
                <w:lang w:val="en-AU" w:eastAsia="en-AU"/>
              </w:rPr>
              <w:t>Nurs</w:t>
            </w:r>
            <w:proofErr w:type="spellEnd"/>
            <w:r w:rsidRPr="00A52C6D">
              <w:rPr>
                <w:rFonts w:eastAsia="Times New Roman" w:cs="Calibri"/>
                <w:color w:val="000000"/>
                <w:sz w:val="20"/>
                <w:szCs w:val="20"/>
                <w:lang w:val="en-AU" w:eastAsia="en-AU"/>
              </w:rPr>
              <w:t xml:space="preserve"> Midwifery Stud. 2013; 2(3) 45172-.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10.5812/nms.12167</w:t>
            </w:r>
          </w:p>
        </w:tc>
      </w:tr>
      <w:tr w:rsidR="00C37F09" w:rsidRPr="00A52C6D" w14:paraId="24BF0F53" w14:textId="77777777" w:rsidTr="00B76ED3">
        <w:trPr>
          <w:trHeight w:val="2561"/>
        </w:trPr>
        <w:tc>
          <w:tcPr>
            <w:tcW w:w="2156" w:type="dxa"/>
            <w:shd w:val="clear" w:color="auto" w:fill="auto"/>
            <w:noWrap/>
            <w:hideMark/>
          </w:tcPr>
          <w:p w14:paraId="400EDBCF"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lastRenderedPageBreak/>
              <w:t>Murat-</w:t>
            </w:r>
            <w:proofErr w:type="spellStart"/>
            <w:r w:rsidRPr="00A52C6D">
              <w:rPr>
                <w:rFonts w:eastAsia="Times New Roman" w:cs="Calibri"/>
                <w:b/>
                <w:color w:val="002060"/>
                <w:sz w:val="20"/>
                <w:szCs w:val="20"/>
                <w:lang w:val="en-AU" w:eastAsia="en-AU"/>
              </w:rPr>
              <w:t>Ringot</w:t>
            </w:r>
            <w:proofErr w:type="spellEnd"/>
            <w:r w:rsidRPr="00A52C6D">
              <w:rPr>
                <w:rFonts w:eastAsia="Times New Roman" w:cs="Calibri"/>
                <w:b/>
                <w:color w:val="002060"/>
                <w:sz w:val="20"/>
                <w:szCs w:val="20"/>
                <w:lang w:val="en-AU" w:eastAsia="en-AU"/>
              </w:rPr>
              <w:t xml:space="preserve"> 2021</w:t>
            </w:r>
          </w:p>
        </w:tc>
        <w:tc>
          <w:tcPr>
            <w:tcW w:w="7371" w:type="dxa"/>
            <w:shd w:val="clear" w:color="auto" w:fill="auto"/>
            <w:hideMark/>
          </w:tcPr>
          <w:p w14:paraId="15136965"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Murat-</w:t>
            </w:r>
            <w:proofErr w:type="spellStart"/>
            <w:r w:rsidRPr="00A52C6D">
              <w:rPr>
                <w:rFonts w:eastAsia="Times New Roman" w:cs="Calibri"/>
                <w:color w:val="000000"/>
                <w:sz w:val="20"/>
                <w:szCs w:val="20"/>
                <w:lang w:val="en-AU" w:eastAsia="en-AU"/>
              </w:rPr>
              <w:t>Ringot</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Souquet</w:t>
            </w:r>
            <w:proofErr w:type="spellEnd"/>
            <w:r w:rsidRPr="00A52C6D">
              <w:rPr>
                <w:rFonts w:eastAsia="Times New Roman" w:cs="Calibri"/>
                <w:color w:val="000000"/>
                <w:sz w:val="20"/>
                <w:szCs w:val="20"/>
                <w:lang w:val="en-AU" w:eastAsia="en-AU"/>
              </w:rPr>
              <w:t xml:space="preserve">, P. J.; </w:t>
            </w:r>
            <w:proofErr w:type="spellStart"/>
            <w:r w:rsidRPr="00A52C6D">
              <w:rPr>
                <w:rFonts w:eastAsia="Times New Roman" w:cs="Calibri"/>
                <w:color w:val="000000"/>
                <w:sz w:val="20"/>
                <w:szCs w:val="20"/>
                <w:lang w:val="en-AU" w:eastAsia="en-AU"/>
              </w:rPr>
              <w:t>Subtil</w:t>
            </w:r>
            <w:proofErr w:type="spellEnd"/>
            <w:r w:rsidRPr="00A52C6D">
              <w:rPr>
                <w:rFonts w:eastAsia="Times New Roman" w:cs="Calibri"/>
                <w:color w:val="000000"/>
                <w:sz w:val="20"/>
                <w:szCs w:val="20"/>
                <w:lang w:val="en-AU" w:eastAsia="en-AU"/>
              </w:rPr>
              <w:t xml:space="preserve">, F.; </w:t>
            </w:r>
            <w:proofErr w:type="spellStart"/>
            <w:r w:rsidRPr="00A52C6D">
              <w:rPr>
                <w:rFonts w:eastAsia="Times New Roman" w:cs="Calibri"/>
                <w:color w:val="000000"/>
                <w:sz w:val="20"/>
                <w:szCs w:val="20"/>
                <w:lang w:val="en-AU" w:eastAsia="en-AU"/>
              </w:rPr>
              <w:t>Boutitie</w:t>
            </w:r>
            <w:proofErr w:type="spellEnd"/>
            <w:r w:rsidRPr="00A52C6D">
              <w:rPr>
                <w:rFonts w:eastAsia="Times New Roman" w:cs="Calibri"/>
                <w:color w:val="000000"/>
                <w:sz w:val="20"/>
                <w:szCs w:val="20"/>
                <w:lang w:val="en-AU" w:eastAsia="en-AU"/>
              </w:rPr>
              <w:t xml:space="preserve">, F.; </w:t>
            </w:r>
            <w:proofErr w:type="spellStart"/>
            <w:r w:rsidRPr="00A52C6D">
              <w:rPr>
                <w:rFonts w:eastAsia="Times New Roman" w:cs="Calibri"/>
                <w:color w:val="000000"/>
                <w:sz w:val="20"/>
                <w:szCs w:val="20"/>
                <w:lang w:val="en-AU" w:eastAsia="en-AU"/>
              </w:rPr>
              <w:t>Preau</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Piriou</w:t>
            </w:r>
            <w:proofErr w:type="spellEnd"/>
            <w:r w:rsidRPr="00A52C6D">
              <w:rPr>
                <w:rFonts w:eastAsia="Times New Roman" w:cs="Calibri"/>
                <w:color w:val="000000"/>
                <w:sz w:val="20"/>
                <w:szCs w:val="20"/>
                <w:lang w:val="en-AU" w:eastAsia="en-AU"/>
              </w:rPr>
              <w:t xml:space="preserve">, V. The Effect of Foot Reflexology on Chemotherapy-Induced Nausea and Vomiting in Patients </w:t>
            </w:r>
            <w:proofErr w:type="gramStart"/>
            <w:r w:rsidRPr="00A52C6D">
              <w:rPr>
                <w:rFonts w:eastAsia="Times New Roman" w:cs="Calibri"/>
                <w:color w:val="000000"/>
                <w:sz w:val="20"/>
                <w:szCs w:val="20"/>
                <w:lang w:val="en-AU" w:eastAsia="en-AU"/>
              </w:rPr>
              <w:t>With</w:t>
            </w:r>
            <w:proofErr w:type="gramEnd"/>
            <w:r w:rsidRPr="00A52C6D">
              <w:rPr>
                <w:rFonts w:eastAsia="Times New Roman" w:cs="Calibri"/>
                <w:color w:val="000000"/>
                <w:sz w:val="20"/>
                <w:szCs w:val="20"/>
                <w:lang w:val="en-AU" w:eastAsia="en-AU"/>
              </w:rPr>
              <w:t xml:space="preserve"> Digestive or Lung Cancer: Randomized Controlled Trial. JMIR Cancer. 2021; 7(4) e25648-.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10.2196/25648</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Murat-</w:t>
            </w:r>
            <w:proofErr w:type="spellStart"/>
            <w:r w:rsidRPr="00A52C6D">
              <w:rPr>
                <w:rFonts w:eastAsia="Times New Roman" w:cs="Calibri"/>
                <w:color w:val="000000"/>
                <w:sz w:val="20"/>
                <w:szCs w:val="20"/>
                <w:lang w:val="en-AU" w:eastAsia="en-AU"/>
              </w:rPr>
              <w:t>Ringot</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Souquet</w:t>
            </w:r>
            <w:proofErr w:type="spellEnd"/>
            <w:r w:rsidRPr="00A52C6D">
              <w:rPr>
                <w:rFonts w:eastAsia="Times New Roman" w:cs="Calibri"/>
                <w:color w:val="000000"/>
                <w:sz w:val="20"/>
                <w:szCs w:val="20"/>
                <w:lang w:val="en-AU" w:eastAsia="en-AU"/>
              </w:rPr>
              <w:t xml:space="preserve">, P. J.; Chauvenet, M.; </w:t>
            </w:r>
            <w:proofErr w:type="spellStart"/>
            <w:r w:rsidRPr="00A52C6D">
              <w:rPr>
                <w:rFonts w:eastAsia="Times New Roman" w:cs="Calibri"/>
                <w:color w:val="000000"/>
                <w:sz w:val="20"/>
                <w:szCs w:val="20"/>
                <w:lang w:val="en-AU" w:eastAsia="en-AU"/>
              </w:rPr>
              <w:t>Rentler</w:t>
            </w:r>
            <w:proofErr w:type="spellEnd"/>
            <w:r w:rsidRPr="00A52C6D">
              <w:rPr>
                <w:rFonts w:eastAsia="Times New Roman" w:cs="Calibri"/>
                <w:color w:val="000000"/>
                <w:sz w:val="20"/>
                <w:szCs w:val="20"/>
                <w:lang w:val="en-AU" w:eastAsia="en-AU"/>
              </w:rPr>
              <w:t xml:space="preserve">, C.; </w:t>
            </w:r>
            <w:proofErr w:type="spellStart"/>
            <w:r w:rsidRPr="00A52C6D">
              <w:rPr>
                <w:rFonts w:eastAsia="Times New Roman" w:cs="Calibri"/>
                <w:color w:val="000000"/>
                <w:sz w:val="20"/>
                <w:szCs w:val="20"/>
                <w:lang w:val="en-AU" w:eastAsia="en-AU"/>
              </w:rPr>
              <w:t>Subtil</w:t>
            </w:r>
            <w:proofErr w:type="spellEnd"/>
            <w:r w:rsidRPr="00A52C6D">
              <w:rPr>
                <w:rFonts w:eastAsia="Times New Roman" w:cs="Calibri"/>
                <w:color w:val="000000"/>
                <w:sz w:val="20"/>
                <w:szCs w:val="20"/>
                <w:lang w:val="en-AU" w:eastAsia="en-AU"/>
              </w:rPr>
              <w:t xml:space="preserve">, F.; Schott, A. M.; </w:t>
            </w:r>
            <w:proofErr w:type="spellStart"/>
            <w:r w:rsidRPr="00A52C6D">
              <w:rPr>
                <w:rFonts w:eastAsia="Times New Roman" w:cs="Calibri"/>
                <w:color w:val="000000"/>
                <w:sz w:val="20"/>
                <w:szCs w:val="20"/>
                <w:lang w:val="en-AU" w:eastAsia="en-AU"/>
              </w:rPr>
              <w:t>Preau</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Piriou</w:t>
            </w:r>
            <w:proofErr w:type="spellEnd"/>
            <w:r w:rsidRPr="00A52C6D">
              <w:rPr>
                <w:rFonts w:eastAsia="Times New Roman" w:cs="Calibri"/>
                <w:color w:val="000000"/>
                <w:sz w:val="20"/>
                <w:szCs w:val="20"/>
                <w:lang w:val="en-AU" w:eastAsia="en-AU"/>
              </w:rPr>
              <w:t xml:space="preserve">, V. The Effects of Foot Reflexology on Chemotherapy-Induced Nausea and Vomiting in Patients with Digestive System or Lung Cancer: Protocol for a Randomized Controlled Trial. JMIR Res </w:t>
            </w:r>
            <w:proofErr w:type="spellStart"/>
            <w:r w:rsidRPr="00A52C6D">
              <w:rPr>
                <w:rFonts w:eastAsia="Times New Roman" w:cs="Calibri"/>
                <w:color w:val="000000"/>
                <w:sz w:val="20"/>
                <w:szCs w:val="20"/>
                <w:lang w:val="en-AU" w:eastAsia="en-AU"/>
              </w:rPr>
              <w:t>Protoc</w:t>
            </w:r>
            <w:proofErr w:type="spellEnd"/>
            <w:r w:rsidRPr="00A52C6D">
              <w:rPr>
                <w:rFonts w:eastAsia="Times New Roman" w:cs="Calibri"/>
                <w:color w:val="000000"/>
                <w:sz w:val="20"/>
                <w:szCs w:val="20"/>
                <w:lang w:val="en-AU" w:eastAsia="en-AU"/>
              </w:rPr>
              <w:t xml:space="preserve">. 2020; 9(7) e17232.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10.2196/17232</w:t>
            </w:r>
          </w:p>
        </w:tc>
      </w:tr>
      <w:tr w:rsidR="00C37F09" w:rsidRPr="00A52C6D" w14:paraId="41C301FC" w14:textId="77777777" w:rsidTr="00B76ED3">
        <w:trPr>
          <w:trHeight w:val="1200"/>
        </w:trPr>
        <w:tc>
          <w:tcPr>
            <w:tcW w:w="2156" w:type="dxa"/>
            <w:shd w:val="clear" w:color="auto" w:fill="auto"/>
            <w:noWrap/>
            <w:hideMark/>
          </w:tcPr>
          <w:p w14:paraId="50BBAF8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Nasiri 2020</w:t>
            </w:r>
          </w:p>
        </w:tc>
        <w:tc>
          <w:tcPr>
            <w:tcW w:w="7371" w:type="dxa"/>
            <w:shd w:val="clear" w:color="auto" w:fill="auto"/>
            <w:hideMark/>
          </w:tcPr>
          <w:p w14:paraId="4B48C539"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Nasiri, M.; </w:t>
            </w:r>
            <w:proofErr w:type="spellStart"/>
            <w:r w:rsidRPr="00A52C6D">
              <w:rPr>
                <w:rFonts w:eastAsia="Times New Roman" w:cs="Calibri"/>
                <w:color w:val="000000"/>
                <w:sz w:val="20"/>
                <w:szCs w:val="20"/>
                <w:lang w:val="en-AU" w:eastAsia="en-AU"/>
              </w:rPr>
              <w:t>Ranjkesh</w:t>
            </w:r>
            <w:proofErr w:type="spellEnd"/>
            <w:r w:rsidRPr="00A52C6D">
              <w:rPr>
                <w:rFonts w:eastAsia="Times New Roman" w:cs="Calibri"/>
                <w:color w:val="000000"/>
                <w:sz w:val="20"/>
                <w:szCs w:val="20"/>
                <w:lang w:val="en-AU" w:eastAsia="en-AU"/>
              </w:rPr>
              <w:t xml:space="preserve">, F.; Mafi, M.; </w:t>
            </w:r>
            <w:proofErr w:type="spellStart"/>
            <w:r w:rsidRPr="00A52C6D">
              <w:rPr>
                <w:rFonts w:eastAsia="Times New Roman" w:cs="Calibri"/>
                <w:color w:val="000000"/>
                <w:sz w:val="20"/>
                <w:szCs w:val="20"/>
                <w:lang w:val="en-AU" w:eastAsia="en-AU"/>
              </w:rPr>
              <w:t>Senmar</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Hosseinigolafshani</w:t>
            </w:r>
            <w:proofErr w:type="spellEnd"/>
            <w:r w:rsidRPr="00A52C6D">
              <w:rPr>
                <w:rFonts w:eastAsia="Times New Roman" w:cs="Calibri"/>
                <w:color w:val="000000"/>
                <w:sz w:val="20"/>
                <w:szCs w:val="20"/>
                <w:lang w:val="en-AU" w:eastAsia="en-AU"/>
              </w:rPr>
              <w:t xml:space="preserve">, S. Z. The effect of foot reflexology on sleep quality among </w:t>
            </w:r>
            <w:proofErr w:type="gramStart"/>
            <w:r w:rsidRPr="00A52C6D">
              <w:rPr>
                <w:rFonts w:eastAsia="Times New Roman" w:cs="Calibri"/>
                <w:color w:val="000000"/>
                <w:sz w:val="20"/>
                <w:szCs w:val="20"/>
                <w:lang w:val="en-AU" w:eastAsia="en-AU"/>
              </w:rPr>
              <w:t>high risk</w:t>
            </w:r>
            <w:proofErr w:type="gramEnd"/>
            <w:r w:rsidRPr="00A52C6D">
              <w:rPr>
                <w:rFonts w:eastAsia="Times New Roman" w:cs="Calibri"/>
                <w:color w:val="000000"/>
                <w:sz w:val="20"/>
                <w:szCs w:val="20"/>
                <w:lang w:val="en-AU" w:eastAsia="en-AU"/>
              </w:rPr>
              <w:t xml:space="preserve"> pregnant women: A randomized controlled trial. Sleep and Hypnosis. 2020; 21(4) 293-301.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10.37133/Sleep.Hypn.2019.21.0198</w:t>
            </w:r>
          </w:p>
        </w:tc>
      </w:tr>
      <w:tr w:rsidR="00C37F09" w:rsidRPr="00A52C6D" w14:paraId="04B16913" w14:textId="77777777" w:rsidTr="00B76ED3">
        <w:trPr>
          <w:trHeight w:val="900"/>
        </w:trPr>
        <w:tc>
          <w:tcPr>
            <w:tcW w:w="2156" w:type="dxa"/>
            <w:shd w:val="clear" w:color="auto" w:fill="auto"/>
            <w:noWrap/>
            <w:hideMark/>
          </w:tcPr>
          <w:p w14:paraId="712FF80F"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Navaee</w:t>
            </w:r>
            <w:proofErr w:type="spellEnd"/>
            <w:r w:rsidRPr="00A52C6D">
              <w:rPr>
                <w:rFonts w:eastAsia="Times New Roman" w:cs="Calibri"/>
                <w:b/>
                <w:color w:val="002060"/>
                <w:sz w:val="20"/>
                <w:szCs w:val="20"/>
                <w:lang w:val="en-AU" w:eastAsia="en-AU"/>
              </w:rPr>
              <w:t xml:space="preserve"> 2020</w:t>
            </w:r>
          </w:p>
        </w:tc>
        <w:tc>
          <w:tcPr>
            <w:tcW w:w="7371" w:type="dxa"/>
            <w:shd w:val="clear" w:color="auto" w:fill="auto"/>
            <w:hideMark/>
          </w:tcPr>
          <w:p w14:paraId="584C5DA5"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Navaee</w:t>
            </w:r>
            <w:proofErr w:type="spellEnd"/>
            <w:r w:rsidRPr="00A52C6D">
              <w:rPr>
                <w:rFonts w:eastAsia="Times New Roman" w:cs="Calibri"/>
                <w:color w:val="000000"/>
                <w:sz w:val="20"/>
                <w:szCs w:val="20"/>
                <w:lang w:val="en-AU" w:eastAsia="en-AU"/>
              </w:rPr>
              <w:t>, M.; Khayat, S.; Abed, Z. G. Effect of pre-</w:t>
            </w:r>
            <w:proofErr w:type="spellStart"/>
            <w:r w:rsidRPr="00A52C6D">
              <w:rPr>
                <w:rFonts w:eastAsia="Times New Roman" w:cs="Calibri"/>
                <w:color w:val="000000"/>
                <w:sz w:val="20"/>
                <w:szCs w:val="20"/>
                <w:lang w:val="en-AU" w:eastAsia="en-AU"/>
              </w:rPr>
              <w:t>cesarean</w:t>
            </w:r>
            <w:proofErr w:type="spellEnd"/>
            <w:r w:rsidRPr="00A52C6D">
              <w:rPr>
                <w:rFonts w:eastAsia="Times New Roman" w:cs="Calibri"/>
                <w:color w:val="000000"/>
                <w:sz w:val="20"/>
                <w:szCs w:val="20"/>
                <w:lang w:val="en-AU" w:eastAsia="en-AU"/>
              </w:rPr>
              <w:t xml:space="preserve"> foot reflexology massage on anxiety of primiparous women. Journal of Complementary and Integrative Medicine. 2020; 17(3) -.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10.1515/jcim-2019-0229</w:t>
            </w:r>
          </w:p>
        </w:tc>
      </w:tr>
      <w:tr w:rsidR="00C37F09" w:rsidRPr="00A52C6D" w14:paraId="73DBACC2" w14:textId="77777777" w:rsidTr="00B76ED3">
        <w:trPr>
          <w:trHeight w:val="1200"/>
        </w:trPr>
        <w:tc>
          <w:tcPr>
            <w:tcW w:w="2156" w:type="dxa"/>
            <w:shd w:val="clear" w:color="auto" w:fill="auto"/>
            <w:noWrap/>
            <w:hideMark/>
          </w:tcPr>
          <w:p w14:paraId="2518A11F"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Norheim 2023</w:t>
            </w:r>
          </w:p>
        </w:tc>
        <w:tc>
          <w:tcPr>
            <w:tcW w:w="7371" w:type="dxa"/>
            <w:shd w:val="clear" w:color="auto" w:fill="auto"/>
            <w:hideMark/>
          </w:tcPr>
          <w:p w14:paraId="3CE9E3F9"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Norheim, A. J.; </w:t>
            </w:r>
            <w:proofErr w:type="spellStart"/>
            <w:r w:rsidRPr="00A52C6D">
              <w:rPr>
                <w:rFonts w:eastAsia="Times New Roman" w:cs="Calibri"/>
                <w:color w:val="000000"/>
                <w:sz w:val="20"/>
                <w:szCs w:val="20"/>
                <w:lang w:val="en-AU" w:eastAsia="en-AU"/>
              </w:rPr>
              <w:t>Fønnebø</w:t>
            </w:r>
            <w:proofErr w:type="spellEnd"/>
            <w:r w:rsidRPr="00A52C6D">
              <w:rPr>
                <w:rFonts w:eastAsia="Times New Roman" w:cs="Calibri"/>
                <w:color w:val="000000"/>
                <w:sz w:val="20"/>
                <w:szCs w:val="20"/>
                <w:lang w:val="en-AU" w:eastAsia="en-AU"/>
              </w:rPr>
              <w:t xml:space="preserve">, V. M.; Lindeland, J. P.; </w:t>
            </w:r>
            <w:proofErr w:type="spellStart"/>
            <w:r w:rsidRPr="00A52C6D">
              <w:rPr>
                <w:rFonts w:eastAsia="Times New Roman" w:cs="Calibri"/>
                <w:color w:val="000000"/>
                <w:sz w:val="20"/>
                <w:szCs w:val="20"/>
                <w:lang w:val="en-AU" w:eastAsia="en-AU"/>
              </w:rPr>
              <w:t>Varpe</w:t>
            </w:r>
            <w:proofErr w:type="spellEnd"/>
            <w:r w:rsidRPr="00A52C6D">
              <w:rPr>
                <w:rFonts w:eastAsia="Times New Roman" w:cs="Calibri"/>
                <w:color w:val="000000"/>
                <w:sz w:val="20"/>
                <w:szCs w:val="20"/>
                <w:lang w:val="en-AU" w:eastAsia="en-AU"/>
              </w:rPr>
              <w:t xml:space="preserve">, T.; Stub, T.; </w:t>
            </w:r>
            <w:proofErr w:type="spellStart"/>
            <w:r w:rsidRPr="00A52C6D">
              <w:rPr>
                <w:rFonts w:eastAsia="Times New Roman" w:cs="Calibri"/>
                <w:color w:val="000000"/>
                <w:sz w:val="20"/>
                <w:szCs w:val="20"/>
                <w:lang w:val="en-AU" w:eastAsia="en-AU"/>
              </w:rPr>
              <w:t>Bigset</w:t>
            </w:r>
            <w:proofErr w:type="spellEnd"/>
            <w:r w:rsidRPr="00A52C6D">
              <w:rPr>
                <w:rFonts w:eastAsia="Times New Roman" w:cs="Calibri"/>
                <w:color w:val="000000"/>
                <w:sz w:val="20"/>
                <w:szCs w:val="20"/>
                <w:lang w:val="en-AU" w:eastAsia="en-AU"/>
              </w:rPr>
              <w:t xml:space="preserve">, C.; Kristoffersen, A. E. Reflexology for acute rhinosinusitis - Results from a blinded, early-phase comparative trial. Explore (NY). 2023; 19(1) 36-41.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10.1016/j.explore.2022.08.002</w:t>
            </w:r>
          </w:p>
        </w:tc>
      </w:tr>
      <w:tr w:rsidR="00C37F09" w:rsidRPr="00A52C6D" w14:paraId="29BD90FB" w14:textId="77777777" w:rsidTr="00B76ED3">
        <w:trPr>
          <w:trHeight w:val="900"/>
        </w:trPr>
        <w:tc>
          <w:tcPr>
            <w:tcW w:w="2156" w:type="dxa"/>
            <w:shd w:val="clear" w:color="auto" w:fill="auto"/>
            <w:noWrap/>
            <w:hideMark/>
          </w:tcPr>
          <w:p w14:paraId="4D7F7E7E"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Nourmohammadi</w:t>
            </w:r>
            <w:proofErr w:type="spellEnd"/>
            <w:r w:rsidRPr="00A52C6D">
              <w:rPr>
                <w:rFonts w:eastAsia="Times New Roman" w:cs="Calibri"/>
                <w:b/>
                <w:color w:val="002060"/>
                <w:sz w:val="20"/>
                <w:szCs w:val="20"/>
                <w:lang w:val="en-AU" w:eastAsia="en-AU"/>
              </w:rPr>
              <w:t xml:space="preserve"> 2019</w:t>
            </w:r>
          </w:p>
        </w:tc>
        <w:tc>
          <w:tcPr>
            <w:tcW w:w="7371" w:type="dxa"/>
            <w:shd w:val="clear" w:color="auto" w:fill="auto"/>
            <w:hideMark/>
          </w:tcPr>
          <w:p w14:paraId="2F2496E5"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Nourmohammadi</w:t>
            </w:r>
            <w:proofErr w:type="spellEnd"/>
            <w:r w:rsidRPr="00A52C6D">
              <w:rPr>
                <w:rFonts w:eastAsia="Times New Roman" w:cs="Calibri"/>
                <w:color w:val="000000"/>
                <w:sz w:val="20"/>
                <w:szCs w:val="20"/>
                <w:lang w:val="en-AU" w:eastAsia="en-AU"/>
              </w:rPr>
              <w:t xml:space="preserve">, H.; </w:t>
            </w:r>
            <w:proofErr w:type="spellStart"/>
            <w:r w:rsidRPr="00A52C6D">
              <w:rPr>
                <w:rFonts w:eastAsia="Times New Roman" w:cs="Calibri"/>
                <w:color w:val="000000"/>
                <w:sz w:val="20"/>
                <w:szCs w:val="20"/>
                <w:lang w:val="en-AU" w:eastAsia="en-AU"/>
              </w:rPr>
              <w:t>Motaghi</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Borji</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Tarjoman</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Soltany</w:t>
            </w:r>
            <w:proofErr w:type="spellEnd"/>
            <w:r w:rsidRPr="00A52C6D">
              <w:rPr>
                <w:rFonts w:eastAsia="Times New Roman" w:cs="Calibri"/>
                <w:color w:val="000000"/>
                <w:sz w:val="20"/>
                <w:szCs w:val="20"/>
                <w:lang w:val="en-AU" w:eastAsia="en-AU"/>
              </w:rPr>
              <w:t xml:space="preserve">, B. The effects of reflexology on fatigue severity of patients with cancer. Asian Pacific Journal of Cancer Prevention. 2019; 20(2) 391-394.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10.31557/APJCP.2019.20.2.391</w:t>
            </w:r>
          </w:p>
        </w:tc>
      </w:tr>
      <w:tr w:rsidR="00C37F09" w:rsidRPr="00A52C6D" w14:paraId="61D737AB" w14:textId="77777777" w:rsidTr="00B76ED3">
        <w:trPr>
          <w:trHeight w:val="900"/>
        </w:trPr>
        <w:tc>
          <w:tcPr>
            <w:tcW w:w="2156" w:type="dxa"/>
            <w:shd w:val="clear" w:color="auto" w:fill="auto"/>
            <w:noWrap/>
            <w:hideMark/>
          </w:tcPr>
          <w:p w14:paraId="686FB317"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Oleson 1993</w:t>
            </w:r>
          </w:p>
        </w:tc>
        <w:tc>
          <w:tcPr>
            <w:tcW w:w="7371" w:type="dxa"/>
            <w:shd w:val="clear" w:color="auto" w:fill="auto"/>
            <w:hideMark/>
          </w:tcPr>
          <w:p w14:paraId="20366541"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Oleson, T.; Flocco, W. Randomized controlled study of premenstrual symptoms treated with ear, hand, and foot reflexology. Obstetrics and </w:t>
            </w:r>
            <w:proofErr w:type="spellStart"/>
            <w:r w:rsidRPr="00A52C6D">
              <w:rPr>
                <w:rFonts w:eastAsia="Times New Roman" w:cs="Calibri"/>
                <w:color w:val="000000"/>
                <w:sz w:val="20"/>
                <w:szCs w:val="20"/>
                <w:lang w:val="en-AU" w:eastAsia="en-AU"/>
              </w:rPr>
              <w:t>gynecology</w:t>
            </w:r>
            <w:proofErr w:type="spellEnd"/>
            <w:r w:rsidRPr="00A52C6D">
              <w:rPr>
                <w:rFonts w:eastAsia="Times New Roman" w:cs="Calibri"/>
                <w:color w:val="000000"/>
                <w:sz w:val="20"/>
                <w:szCs w:val="20"/>
                <w:lang w:val="en-AU" w:eastAsia="en-AU"/>
              </w:rPr>
              <w:t xml:space="preserve">. 1993; 82(6) 906-911.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34D21872" w14:textId="77777777" w:rsidTr="00B76ED3">
        <w:trPr>
          <w:trHeight w:val="900"/>
        </w:trPr>
        <w:tc>
          <w:tcPr>
            <w:tcW w:w="2156" w:type="dxa"/>
            <w:shd w:val="clear" w:color="auto" w:fill="auto"/>
            <w:noWrap/>
            <w:hideMark/>
          </w:tcPr>
          <w:p w14:paraId="187F78C9"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Ozdelikara</w:t>
            </w:r>
            <w:proofErr w:type="spellEnd"/>
            <w:r w:rsidRPr="00A52C6D">
              <w:rPr>
                <w:rFonts w:eastAsia="Times New Roman" w:cs="Calibri"/>
                <w:b/>
                <w:color w:val="002060"/>
                <w:sz w:val="20"/>
                <w:szCs w:val="20"/>
                <w:lang w:val="en-AU" w:eastAsia="en-AU"/>
              </w:rPr>
              <w:t xml:space="preserve"> 2017</w:t>
            </w:r>
          </w:p>
        </w:tc>
        <w:tc>
          <w:tcPr>
            <w:tcW w:w="7371" w:type="dxa"/>
            <w:shd w:val="clear" w:color="auto" w:fill="auto"/>
            <w:hideMark/>
          </w:tcPr>
          <w:p w14:paraId="6D496C71"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Ozdelikara</w:t>
            </w:r>
            <w:proofErr w:type="spellEnd"/>
            <w:r w:rsidRPr="00A52C6D">
              <w:rPr>
                <w:rFonts w:eastAsia="Times New Roman" w:cs="Calibri"/>
                <w:color w:val="000000"/>
                <w:sz w:val="20"/>
                <w:szCs w:val="20"/>
                <w:lang w:val="en-AU" w:eastAsia="en-AU"/>
              </w:rPr>
              <w:t xml:space="preserve">, A.; Tan, M. The effect of reflexology on the quality of life with breast cancer patients. Complementary Therapies in Clinical Practice. 2017; 29() 122-129.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10.1016/j.ctcp.2017.09.004</w:t>
            </w:r>
          </w:p>
        </w:tc>
      </w:tr>
      <w:tr w:rsidR="00C37F09" w:rsidRPr="00A52C6D" w14:paraId="06D33921" w14:textId="77777777" w:rsidTr="00B76ED3">
        <w:trPr>
          <w:trHeight w:val="900"/>
        </w:trPr>
        <w:tc>
          <w:tcPr>
            <w:tcW w:w="2156" w:type="dxa"/>
            <w:shd w:val="clear" w:color="auto" w:fill="auto"/>
            <w:noWrap/>
            <w:hideMark/>
          </w:tcPr>
          <w:p w14:paraId="7B00AEBE"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Ozdemir 2013</w:t>
            </w:r>
          </w:p>
        </w:tc>
        <w:tc>
          <w:tcPr>
            <w:tcW w:w="7371" w:type="dxa"/>
            <w:shd w:val="clear" w:color="auto" w:fill="auto"/>
            <w:hideMark/>
          </w:tcPr>
          <w:p w14:paraId="643CAD5A"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Ozdemir, G.; </w:t>
            </w:r>
            <w:proofErr w:type="spellStart"/>
            <w:r w:rsidRPr="00A52C6D">
              <w:rPr>
                <w:rFonts w:eastAsia="Times New Roman" w:cs="Calibri"/>
                <w:color w:val="000000"/>
                <w:sz w:val="20"/>
                <w:szCs w:val="20"/>
                <w:lang w:val="en-AU" w:eastAsia="en-AU"/>
              </w:rPr>
              <w:t>Ovayolu</w:t>
            </w:r>
            <w:proofErr w:type="spellEnd"/>
            <w:r w:rsidRPr="00A52C6D">
              <w:rPr>
                <w:rFonts w:eastAsia="Times New Roman" w:cs="Calibri"/>
                <w:color w:val="000000"/>
                <w:sz w:val="20"/>
                <w:szCs w:val="20"/>
                <w:lang w:val="en-AU" w:eastAsia="en-AU"/>
              </w:rPr>
              <w:t xml:space="preserve">, N.; </w:t>
            </w:r>
            <w:proofErr w:type="spellStart"/>
            <w:r w:rsidRPr="00A52C6D">
              <w:rPr>
                <w:rFonts w:eastAsia="Times New Roman" w:cs="Calibri"/>
                <w:color w:val="000000"/>
                <w:sz w:val="20"/>
                <w:szCs w:val="20"/>
                <w:lang w:val="en-AU" w:eastAsia="en-AU"/>
              </w:rPr>
              <w:t>Ovayolu</w:t>
            </w:r>
            <w:proofErr w:type="spellEnd"/>
            <w:r w:rsidRPr="00A52C6D">
              <w:rPr>
                <w:rFonts w:eastAsia="Times New Roman" w:cs="Calibri"/>
                <w:color w:val="000000"/>
                <w:sz w:val="20"/>
                <w:szCs w:val="20"/>
                <w:lang w:val="en-AU" w:eastAsia="en-AU"/>
              </w:rPr>
              <w:t xml:space="preserve">, O. The effect of reflexology applied on haemodialysis patients with fatigue, pain and cramps. International Journal of Nursing Practice. 2013; 19(3) 265-273.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10.1111/ijn.12066</w:t>
            </w:r>
          </w:p>
        </w:tc>
      </w:tr>
      <w:tr w:rsidR="00C37F09" w:rsidRPr="00A52C6D" w14:paraId="35834B4E" w14:textId="77777777" w:rsidTr="00B76ED3">
        <w:trPr>
          <w:trHeight w:val="1065"/>
        </w:trPr>
        <w:tc>
          <w:tcPr>
            <w:tcW w:w="2156" w:type="dxa"/>
            <w:shd w:val="clear" w:color="auto" w:fill="auto"/>
            <w:noWrap/>
            <w:hideMark/>
          </w:tcPr>
          <w:p w14:paraId="70435BE3"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Ozkan 2017</w:t>
            </w:r>
          </w:p>
        </w:tc>
        <w:tc>
          <w:tcPr>
            <w:tcW w:w="7371" w:type="dxa"/>
            <w:shd w:val="clear" w:color="auto" w:fill="auto"/>
            <w:hideMark/>
          </w:tcPr>
          <w:p w14:paraId="6328F671"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Ozkan, F.; </w:t>
            </w:r>
            <w:proofErr w:type="spellStart"/>
            <w:r w:rsidRPr="00A52C6D">
              <w:rPr>
                <w:rFonts w:eastAsia="Times New Roman" w:cs="Calibri"/>
                <w:color w:val="000000"/>
                <w:sz w:val="20"/>
                <w:szCs w:val="20"/>
                <w:lang w:val="en-AU" w:eastAsia="en-AU"/>
              </w:rPr>
              <w:t>Zincir</w:t>
            </w:r>
            <w:proofErr w:type="spellEnd"/>
            <w:r w:rsidRPr="00A52C6D">
              <w:rPr>
                <w:rFonts w:eastAsia="Times New Roman" w:cs="Calibri"/>
                <w:color w:val="000000"/>
                <w:sz w:val="20"/>
                <w:szCs w:val="20"/>
                <w:lang w:val="en-AU" w:eastAsia="en-AU"/>
              </w:rPr>
              <w:t xml:space="preserve">, H. The effect of reflexology upon spasticity and function among children with cerebral palsy who received physiotherapy: Three group randomised trial. Applied Nursing Research. 2017; 36() 128-134.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10.1016/j.apnr.2017.05.011</w:t>
            </w:r>
          </w:p>
        </w:tc>
      </w:tr>
      <w:tr w:rsidR="00C37F09" w:rsidRPr="00A52C6D" w14:paraId="58EB6099" w14:textId="77777777" w:rsidTr="00B76ED3">
        <w:trPr>
          <w:trHeight w:val="1200"/>
        </w:trPr>
        <w:tc>
          <w:tcPr>
            <w:tcW w:w="2156" w:type="dxa"/>
            <w:shd w:val="clear" w:color="auto" w:fill="auto"/>
            <w:noWrap/>
            <w:hideMark/>
          </w:tcPr>
          <w:p w14:paraId="08ECCBA7"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Öztürk 2018</w:t>
            </w:r>
          </w:p>
        </w:tc>
        <w:tc>
          <w:tcPr>
            <w:tcW w:w="7371" w:type="dxa"/>
            <w:shd w:val="clear" w:color="auto" w:fill="auto"/>
            <w:hideMark/>
          </w:tcPr>
          <w:p w14:paraId="7F4D70C0"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Ozturk, R.; Sevil, U.; Sargin, A.; </w:t>
            </w:r>
            <w:proofErr w:type="spellStart"/>
            <w:r w:rsidRPr="00A52C6D">
              <w:rPr>
                <w:rFonts w:eastAsia="Times New Roman" w:cs="Calibri"/>
                <w:color w:val="000000"/>
                <w:sz w:val="20"/>
                <w:szCs w:val="20"/>
                <w:lang w:val="en-AU" w:eastAsia="en-AU"/>
              </w:rPr>
              <w:t>Yucebilgin</w:t>
            </w:r>
            <w:proofErr w:type="spellEnd"/>
            <w:r w:rsidRPr="00A52C6D">
              <w:rPr>
                <w:rFonts w:eastAsia="Times New Roman" w:cs="Calibri"/>
                <w:color w:val="000000"/>
                <w:sz w:val="20"/>
                <w:szCs w:val="20"/>
                <w:lang w:val="en-AU" w:eastAsia="en-AU"/>
              </w:rPr>
              <w:t xml:space="preserve">, M. S. The effects of reflexology on anxiety and pain in patients after abdominal hysterectomy: A randomised controlled trial. Complementary Therapies in Medicine. 2018; 36() 107-112.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https://dx.doi.org/10.1016/j.ctim.2017.12.005</w:t>
            </w:r>
          </w:p>
        </w:tc>
      </w:tr>
      <w:tr w:rsidR="00C37F09" w:rsidRPr="00A52C6D" w14:paraId="5FA0B35B" w14:textId="77777777" w:rsidTr="00B76ED3">
        <w:trPr>
          <w:trHeight w:val="900"/>
        </w:trPr>
        <w:tc>
          <w:tcPr>
            <w:tcW w:w="2156" w:type="dxa"/>
            <w:shd w:val="clear" w:color="auto" w:fill="auto"/>
            <w:noWrap/>
            <w:hideMark/>
          </w:tcPr>
          <w:p w14:paraId="58E5A852"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Polat 2017</w:t>
            </w:r>
          </w:p>
        </w:tc>
        <w:tc>
          <w:tcPr>
            <w:tcW w:w="7371" w:type="dxa"/>
            <w:shd w:val="clear" w:color="auto" w:fill="auto"/>
            <w:hideMark/>
          </w:tcPr>
          <w:p w14:paraId="7D772A5A"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Polat, H.; </w:t>
            </w:r>
            <w:proofErr w:type="spellStart"/>
            <w:r w:rsidRPr="00A52C6D">
              <w:rPr>
                <w:rFonts w:eastAsia="Times New Roman" w:cs="Calibri"/>
                <w:color w:val="000000"/>
                <w:sz w:val="20"/>
                <w:szCs w:val="20"/>
                <w:lang w:val="en-AU" w:eastAsia="en-AU"/>
              </w:rPr>
              <w:t>Erguney</w:t>
            </w:r>
            <w:proofErr w:type="spellEnd"/>
            <w:r w:rsidRPr="00A52C6D">
              <w:rPr>
                <w:rFonts w:eastAsia="Times New Roman" w:cs="Calibri"/>
                <w:color w:val="000000"/>
                <w:sz w:val="20"/>
                <w:szCs w:val="20"/>
                <w:lang w:val="en-AU" w:eastAsia="en-AU"/>
              </w:rPr>
              <w:t xml:space="preserve">, S. The effect of reflexology applied to patients with chronic obstructive pulmonary disease on </w:t>
            </w:r>
            <w:proofErr w:type="spellStart"/>
            <w:r w:rsidRPr="00A52C6D">
              <w:rPr>
                <w:rFonts w:eastAsia="Times New Roman" w:cs="Calibri"/>
                <w:color w:val="000000"/>
                <w:sz w:val="20"/>
                <w:szCs w:val="20"/>
                <w:lang w:val="en-AU" w:eastAsia="en-AU"/>
              </w:rPr>
              <w:t>dyspnea</w:t>
            </w:r>
            <w:proofErr w:type="spellEnd"/>
            <w:r w:rsidRPr="00A52C6D">
              <w:rPr>
                <w:rFonts w:eastAsia="Times New Roman" w:cs="Calibri"/>
                <w:color w:val="000000"/>
                <w:sz w:val="20"/>
                <w:szCs w:val="20"/>
                <w:lang w:val="en-AU" w:eastAsia="en-AU"/>
              </w:rPr>
              <w:t xml:space="preserve"> and fatigue. Rehabilitation Nursing. 2017; 42(1) 14-21.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10.1002/rnj.266</w:t>
            </w:r>
          </w:p>
        </w:tc>
      </w:tr>
      <w:tr w:rsidR="00C37F09" w:rsidRPr="00A52C6D" w14:paraId="5B64D0C1" w14:textId="77777777" w:rsidTr="00B76ED3">
        <w:trPr>
          <w:trHeight w:val="900"/>
        </w:trPr>
        <w:tc>
          <w:tcPr>
            <w:tcW w:w="2156" w:type="dxa"/>
            <w:shd w:val="clear" w:color="auto" w:fill="auto"/>
            <w:noWrap/>
            <w:hideMark/>
          </w:tcPr>
          <w:p w14:paraId="330DA338"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Poole 2007</w:t>
            </w:r>
          </w:p>
        </w:tc>
        <w:tc>
          <w:tcPr>
            <w:tcW w:w="7371" w:type="dxa"/>
            <w:shd w:val="clear" w:color="auto" w:fill="auto"/>
            <w:hideMark/>
          </w:tcPr>
          <w:p w14:paraId="2D3B6A2B"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Poole, H.; Glenn, S.; Murphy, P. A randomised controlled study of reflexology for the management of chronic low back pain. European journal of pain. 2007; 11(8) 878-887.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10.1016/j.ejpain.2007.01.006</w:t>
            </w:r>
          </w:p>
        </w:tc>
      </w:tr>
      <w:tr w:rsidR="00C37F09" w:rsidRPr="00A52C6D" w14:paraId="510937D3" w14:textId="77777777" w:rsidTr="00B76ED3">
        <w:trPr>
          <w:trHeight w:val="1800"/>
        </w:trPr>
        <w:tc>
          <w:tcPr>
            <w:tcW w:w="2156" w:type="dxa"/>
            <w:shd w:val="clear" w:color="auto" w:fill="auto"/>
            <w:noWrap/>
            <w:hideMark/>
          </w:tcPr>
          <w:p w14:paraId="45A973D9"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lastRenderedPageBreak/>
              <w:t>Quinn 2008</w:t>
            </w:r>
          </w:p>
        </w:tc>
        <w:tc>
          <w:tcPr>
            <w:tcW w:w="7371" w:type="dxa"/>
            <w:shd w:val="clear" w:color="auto" w:fill="auto"/>
            <w:hideMark/>
          </w:tcPr>
          <w:p w14:paraId="10CE2FB7"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Quinn, F.; Hughes, C. M.; Baxter, G. D. Reflexology in the management of low back pain: A pilot randomised controlled trial. Complementary Therapies in Medicine. 2008; 16(1) 45141-.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10.1016/j.ctim.2007.05.001</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Quinn, F.; Baxter, D.; Hughes, C. Reflexology in the treatment of low back pain: a pilot RCT. Focus on alternative &amp; complementary therapies. 2005; 10(suppl 1) 44. </w:t>
            </w:r>
          </w:p>
        </w:tc>
      </w:tr>
      <w:tr w:rsidR="00C37F09" w:rsidRPr="00A52C6D" w14:paraId="6D79FF90" w14:textId="77777777" w:rsidTr="00B76ED3">
        <w:trPr>
          <w:trHeight w:val="1200"/>
        </w:trPr>
        <w:tc>
          <w:tcPr>
            <w:tcW w:w="2156" w:type="dxa"/>
            <w:shd w:val="clear" w:color="auto" w:fill="auto"/>
            <w:noWrap/>
            <w:hideMark/>
          </w:tcPr>
          <w:p w14:paraId="69AF8A44"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Rahmani 2016</w:t>
            </w:r>
          </w:p>
        </w:tc>
        <w:tc>
          <w:tcPr>
            <w:tcW w:w="7371" w:type="dxa"/>
            <w:shd w:val="clear" w:color="auto" w:fill="auto"/>
            <w:hideMark/>
          </w:tcPr>
          <w:p w14:paraId="0E585322"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Rahmani, A.; Naseri, M.; </w:t>
            </w:r>
            <w:proofErr w:type="spellStart"/>
            <w:r w:rsidRPr="00A52C6D">
              <w:rPr>
                <w:rFonts w:eastAsia="Times New Roman" w:cs="Calibri"/>
                <w:color w:val="000000"/>
                <w:sz w:val="20"/>
                <w:szCs w:val="20"/>
                <w:lang w:val="en-AU" w:eastAsia="en-AU"/>
              </w:rPr>
              <w:t>Salaree</w:t>
            </w:r>
            <w:proofErr w:type="spellEnd"/>
            <w:r w:rsidRPr="00A52C6D">
              <w:rPr>
                <w:rFonts w:eastAsia="Times New Roman" w:cs="Calibri"/>
                <w:color w:val="000000"/>
                <w:sz w:val="20"/>
                <w:szCs w:val="20"/>
                <w:lang w:val="en-AU" w:eastAsia="en-AU"/>
              </w:rPr>
              <w:t xml:space="preserve">, M. M.; </w:t>
            </w:r>
            <w:proofErr w:type="spellStart"/>
            <w:r w:rsidRPr="00A52C6D">
              <w:rPr>
                <w:rFonts w:eastAsia="Times New Roman" w:cs="Calibri"/>
                <w:color w:val="000000"/>
                <w:sz w:val="20"/>
                <w:szCs w:val="20"/>
                <w:lang w:val="en-AU" w:eastAsia="en-AU"/>
              </w:rPr>
              <w:t>Nehrir</w:t>
            </w:r>
            <w:proofErr w:type="spellEnd"/>
            <w:r w:rsidRPr="00A52C6D">
              <w:rPr>
                <w:rFonts w:eastAsia="Times New Roman" w:cs="Calibri"/>
                <w:color w:val="000000"/>
                <w:sz w:val="20"/>
                <w:szCs w:val="20"/>
                <w:lang w:val="en-AU" w:eastAsia="en-AU"/>
              </w:rPr>
              <w:t xml:space="preserve">, B. Comparing the Effect of Foot Reflexology Massage, Foot Bath and Their Combination on Quality of Sleep in Patients with Acute Coronary Syndrome. J Caring Sci. 2016; 5(4) 299-306.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10.15171/jcs.2016.031</w:t>
            </w:r>
          </w:p>
        </w:tc>
      </w:tr>
      <w:tr w:rsidR="00C37F09" w:rsidRPr="00A52C6D" w14:paraId="04ADDC4A" w14:textId="77777777" w:rsidTr="00B76ED3">
        <w:trPr>
          <w:trHeight w:val="1500"/>
        </w:trPr>
        <w:tc>
          <w:tcPr>
            <w:tcW w:w="2156" w:type="dxa"/>
            <w:shd w:val="clear" w:color="auto" w:fill="auto"/>
            <w:noWrap/>
            <w:hideMark/>
          </w:tcPr>
          <w:p w14:paraId="7C4E2AB3"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 xml:space="preserve">Rahmani </w:t>
            </w:r>
            <w:proofErr w:type="spellStart"/>
            <w:r w:rsidRPr="00A52C6D">
              <w:rPr>
                <w:rFonts w:eastAsia="Times New Roman" w:cs="Calibri"/>
                <w:b/>
                <w:color w:val="002060"/>
                <w:sz w:val="20"/>
                <w:szCs w:val="20"/>
                <w:lang w:val="en-AU" w:eastAsia="en-AU"/>
              </w:rPr>
              <w:t>Vasokolaei</w:t>
            </w:r>
            <w:proofErr w:type="spellEnd"/>
            <w:r w:rsidRPr="00A52C6D">
              <w:rPr>
                <w:rFonts w:eastAsia="Times New Roman" w:cs="Calibri"/>
                <w:b/>
                <w:color w:val="002060"/>
                <w:sz w:val="20"/>
                <w:szCs w:val="20"/>
                <w:lang w:val="en-AU" w:eastAsia="en-AU"/>
              </w:rPr>
              <w:t xml:space="preserve"> 2019</w:t>
            </w:r>
          </w:p>
        </w:tc>
        <w:tc>
          <w:tcPr>
            <w:tcW w:w="7371" w:type="dxa"/>
            <w:shd w:val="clear" w:color="auto" w:fill="auto"/>
            <w:hideMark/>
          </w:tcPr>
          <w:p w14:paraId="5DC90ABD"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Rahmani </w:t>
            </w:r>
            <w:proofErr w:type="spellStart"/>
            <w:r w:rsidRPr="00A52C6D">
              <w:rPr>
                <w:rFonts w:eastAsia="Times New Roman" w:cs="Calibri"/>
                <w:color w:val="000000"/>
                <w:sz w:val="20"/>
                <w:szCs w:val="20"/>
                <w:lang w:val="en-AU" w:eastAsia="en-AU"/>
              </w:rPr>
              <w:t>Vasokolaei</w:t>
            </w:r>
            <w:proofErr w:type="spellEnd"/>
            <w:r w:rsidRPr="00A52C6D">
              <w:rPr>
                <w:rFonts w:eastAsia="Times New Roman" w:cs="Calibri"/>
                <w:color w:val="000000"/>
                <w:sz w:val="20"/>
                <w:szCs w:val="20"/>
                <w:lang w:val="en-AU" w:eastAsia="en-AU"/>
              </w:rPr>
              <w:t xml:space="preserve">, Z.; </w:t>
            </w:r>
            <w:proofErr w:type="spellStart"/>
            <w:r w:rsidRPr="00A52C6D">
              <w:rPr>
                <w:rFonts w:eastAsia="Times New Roman" w:cs="Calibri"/>
                <w:color w:val="000000"/>
                <w:sz w:val="20"/>
                <w:szCs w:val="20"/>
                <w:lang w:val="en-AU" w:eastAsia="en-AU"/>
              </w:rPr>
              <w:t>Rejeh</w:t>
            </w:r>
            <w:proofErr w:type="spellEnd"/>
            <w:r w:rsidRPr="00A52C6D">
              <w:rPr>
                <w:rFonts w:eastAsia="Times New Roman" w:cs="Calibri"/>
                <w:color w:val="000000"/>
                <w:sz w:val="20"/>
                <w:szCs w:val="20"/>
                <w:lang w:val="en-AU" w:eastAsia="en-AU"/>
              </w:rPr>
              <w:t xml:space="preserve">, N.; Heravi-Karimooi, M.; </w:t>
            </w:r>
            <w:proofErr w:type="spellStart"/>
            <w:r w:rsidRPr="00A52C6D">
              <w:rPr>
                <w:rFonts w:eastAsia="Times New Roman" w:cs="Calibri"/>
                <w:color w:val="000000"/>
                <w:sz w:val="20"/>
                <w:szCs w:val="20"/>
                <w:lang w:val="en-AU" w:eastAsia="en-AU"/>
              </w:rPr>
              <w:t>Tadrisi</w:t>
            </w:r>
            <w:proofErr w:type="spellEnd"/>
            <w:r w:rsidRPr="00A52C6D">
              <w:rPr>
                <w:rFonts w:eastAsia="Times New Roman" w:cs="Calibri"/>
                <w:color w:val="000000"/>
                <w:sz w:val="20"/>
                <w:szCs w:val="20"/>
                <w:lang w:val="en-AU" w:eastAsia="en-AU"/>
              </w:rPr>
              <w:t xml:space="preserve">, S. D.; Saatchi, K.; </w:t>
            </w:r>
            <w:proofErr w:type="spellStart"/>
            <w:r w:rsidRPr="00A52C6D">
              <w:rPr>
                <w:rFonts w:eastAsia="Times New Roman" w:cs="Calibri"/>
                <w:color w:val="000000"/>
                <w:sz w:val="20"/>
                <w:szCs w:val="20"/>
                <w:lang w:val="en-AU" w:eastAsia="en-AU"/>
              </w:rPr>
              <w:t>Poshtchaman</w:t>
            </w:r>
            <w:proofErr w:type="spellEnd"/>
            <w:r w:rsidRPr="00A52C6D">
              <w:rPr>
                <w:rFonts w:eastAsia="Times New Roman" w:cs="Calibri"/>
                <w:color w:val="000000"/>
                <w:sz w:val="20"/>
                <w:szCs w:val="20"/>
                <w:lang w:val="en-AU" w:eastAsia="en-AU"/>
              </w:rPr>
              <w:t xml:space="preserve">, Z.; Sieloff, C.; </w:t>
            </w:r>
            <w:proofErr w:type="spellStart"/>
            <w:r w:rsidRPr="00A52C6D">
              <w:rPr>
                <w:rFonts w:eastAsia="Times New Roman" w:cs="Calibri"/>
                <w:color w:val="000000"/>
                <w:sz w:val="20"/>
                <w:szCs w:val="20"/>
                <w:lang w:val="en-AU" w:eastAsia="en-AU"/>
              </w:rPr>
              <w:t>Vaismoradi</w:t>
            </w:r>
            <w:proofErr w:type="spellEnd"/>
            <w:r w:rsidRPr="00A52C6D">
              <w:rPr>
                <w:rFonts w:eastAsia="Times New Roman" w:cs="Calibri"/>
                <w:color w:val="000000"/>
                <w:sz w:val="20"/>
                <w:szCs w:val="20"/>
                <w:lang w:val="en-AU" w:eastAsia="en-AU"/>
              </w:rPr>
              <w:t xml:space="preserve">, M. Comparison of the Effects of Hand Reflexology versus Acupressure on Anxiety and Vital Signs in Female Patients with Coronary Artery Diseases. Healthcare (Basel). 2019; 7(1) -.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10.3390/healthcare7010026</w:t>
            </w:r>
          </w:p>
        </w:tc>
      </w:tr>
      <w:tr w:rsidR="00C37F09" w:rsidRPr="00A52C6D" w14:paraId="493FE969" w14:textId="77777777" w:rsidTr="00B76ED3">
        <w:trPr>
          <w:trHeight w:val="1200"/>
        </w:trPr>
        <w:tc>
          <w:tcPr>
            <w:tcW w:w="2156" w:type="dxa"/>
            <w:shd w:val="clear" w:color="auto" w:fill="auto"/>
            <w:noWrap/>
            <w:hideMark/>
          </w:tcPr>
          <w:p w14:paraId="1CE8BE6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Rambod 2019</w:t>
            </w:r>
          </w:p>
        </w:tc>
        <w:tc>
          <w:tcPr>
            <w:tcW w:w="7371" w:type="dxa"/>
            <w:shd w:val="clear" w:color="auto" w:fill="auto"/>
            <w:hideMark/>
          </w:tcPr>
          <w:p w14:paraId="27DC4B42" w14:textId="49BEFF5C"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Rambod, M.; </w:t>
            </w:r>
            <w:proofErr w:type="spellStart"/>
            <w:r w:rsidRPr="00A52C6D">
              <w:rPr>
                <w:rFonts w:eastAsia="Times New Roman" w:cs="Calibri"/>
                <w:color w:val="000000"/>
                <w:sz w:val="20"/>
                <w:szCs w:val="20"/>
                <w:lang w:val="en-AU" w:eastAsia="en-AU"/>
              </w:rPr>
              <w:t>Pasyar</w:t>
            </w:r>
            <w:proofErr w:type="spellEnd"/>
            <w:r w:rsidRPr="00A52C6D">
              <w:rPr>
                <w:rFonts w:eastAsia="Times New Roman" w:cs="Calibri"/>
                <w:color w:val="000000"/>
                <w:sz w:val="20"/>
                <w:szCs w:val="20"/>
                <w:lang w:val="en-AU" w:eastAsia="en-AU"/>
              </w:rPr>
              <w:t xml:space="preserve">, N.; </w:t>
            </w:r>
            <w:proofErr w:type="spellStart"/>
            <w:r w:rsidRPr="00A52C6D">
              <w:rPr>
                <w:rFonts w:eastAsia="Times New Roman" w:cs="Calibri"/>
                <w:color w:val="000000"/>
                <w:sz w:val="20"/>
                <w:szCs w:val="20"/>
                <w:lang w:val="en-AU" w:eastAsia="en-AU"/>
              </w:rPr>
              <w:t>Shamsadini</w:t>
            </w:r>
            <w:proofErr w:type="spellEnd"/>
            <w:r w:rsidRPr="00A52C6D">
              <w:rPr>
                <w:rFonts w:eastAsia="Times New Roman" w:cs="Calibri"/>
                <w:color w:val="000000"/>
                <w:sz w:val="20"/>
                <w:szCs w:val="20"/>
                <w:lang w:val="en-AU" w:eastAsia="en-AU"/>
              </w:rPr>
              <w:t xml:space="preserve">, M. The effect of foot reflexology on fatigue, pain, and sleep quality in lymphoma patients: A clinical trial. European Journal of Oncology Nursing. 2019; 43() 101678-.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hyperlink r:id="rId25" w:history="1">
              <w:r w:rsidR="00E00435" w:rsidRPr="003F41EF">
                <w:rPr>
                  <w:rStyle w:val="Hyperlink"/>
                  <w:rFonts w:eastAsia="Times New Roman" w:cs="Calibri"/>
                  <w:sz w:val="20"/>
                  <w:szCs w:val="20"/>
                  <w:lang w:val="en-AU" w:eastAsia="en-AU"/>
                </w:rPr>
                <w:t>https://dx.doi.org/10.1016/j.ejon.2019.101678</w:t>
              </w:r>
            </w:hyperlink>
            <w:r w:rsidR="00E00435">
              <w:rPr>
                <w:rFonts w:eastAsia="Times New Roman" w:cs="Calibri"/>
                <w:color w:val="000000"/>
                <w:sz w:val="20"/>
                <w:szCs w:val="20"/>
                <w:lang w:val="en-AU" w:eastAsia="en-AU"/>
              </w:rPr>
              <w:t xml:space="preserve"> </w:t>
            </w:r>
          </w:p>
        </w:tc>
      </w:tr>
      <w:tr w:rsidR="00C37F09" w:rsidRPr="00A52C6D" w14:paraId="17FE4F2B" w14:textId="77777777" w:rsidTr="00B76ED3">
        <w:trPr>
          <w:trHeight w:val="1200"/>
        </w:trPr>
        <w:tc>
          <w:tcPr>
            <w:tcW w:w="2156" w:type="dxa"/>
            <w:shd w:val="clear" w:color="auto" w:fill="auto"/>
            <w:noWrap/>
            <w:hideMark/>
          </w:tcPr>
          <w:p w14:paraId="33EA3118"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Ramezanibadr</w:t>
            </w:r>
            <w:proofErr w:type="spellEnd"/>
            <w:r w:rsidRPr="00A52C6D">
              <w:rPr>
                <w:rFonts w:eastAsia="Times New Roman" w:cs="Calibri"/>
                <w:b/>
                <w:color w:val="002060"/>
                <w:sz w:val="20"/>
                <w:szCs w:val="20"/>
                <w:lang w:val="en-AU" w:eastAsia="en-AU"/>
              </w:rPr>
              <w:t xml:space="preserve"> 2018</w:t>
            </w:r>
          </w:p>
        </w:tc>
        <w:tc>
          <w:tcPr>
            <w:tcW w:w="7371" w:type="dxa"/>
            <w:shd w:val="clear" w:color="auto" w:fill="auto"/>
            <w:hideMark/>
          </w:tcPr>
          <w:p w14:paraId="3A6A384A"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Ramezanibadr</w:t>
            </w:r>
            <w:proofErr w:type="spellEnd"/>
            <w:r w:rsidRPr="00A52C6D">
              <w:rPr>
                <w:rFonts w:eastAsia="Times New Roman" w:cs="Calibri"/>
                <w:color w:val="000000"/>
                <w:sz w:val="20"/>
                <w:szCs w:val="20"/>
                <w:lang w:val="en-AU" w:eastAsia="en-AU"/>
              </w:rPr>
              <w:t xml:space="preserve">, F.; Amini, K.; </w:t>
            </w:r>
            <w:proofErr w:type="spellStart"/>
            <w:r w:rsidRPr="00A52C6D">
              <w:rPr>
                <w:rFonts w:eastAsia="Times New Roman" w:cs="Calibri"/>
                <w:color w:val="000000"/>
                <w:sz w:val="20"/>
                <w:szCs w:val="20"/>
                <w:lang w:val="en-AU" w:eastAsia="en-AU"/>
              </w:rPr>
              <w:t>Hossaingholipor</w:t>
            </w:r>
            <w:proofErr w:type="spellEnd"/>
            <w:r w:rsidRPr="00A52C6D">
              <w:rPr>
                <w:rFonts w:eastAsia="Times New Roman" w:cs="Calibri"/>
                <w:color w:val="000000"/>
                <w:sz w:val="20"/>
                <w:szCs w:val="20"/>
                <w:lang w:val="en-AU" w:eastAsia="en-AU"/>
              </w:rPr>
              <w:t xml:space="preserve">, K.; </w:t>
            </w:r>
            <w:proofErr w:type="spellStart"/>
            <w:r w:rsidRPr="00A52C6D">
              <w:rPr>
                <w:rFonts w:eastAsia="Times New Roman" w:cs="Calibri"/>
                <w:color w:val="000000"/>
                <w:sz w:val="20"/>
                <w:szCs w:val="20"/>
                <w:lang w:val="en-AU" w:eastAsia="en-AU"/>
              </w:rPr>
              <w:t>Faghihzadeh</w:t>
            </w:r>
            <w:proofErr w:type="spellEnd"/>
            <w:r w:rsidRPr="00A52C6D">
              <w:rPr>
                <w:rFonts w:eastAsia="Times New Roman" w:cs="Calibri"/>
                <w:color w:val="000000"/>
                <w:sz w:val="20"/>
                <w:szCs w:val="20"/>
                <w:lang w:val="en-AU" w:eastAsia="en-AU"/>
              </w:rPr>
              <w:t xml:space="preserve">, S. The impacts of foot reflexology on anxiety among male candidates for coronary angiography: A three-group single-blind randomized clinical trial. Complement Ther Clin </w:t>
            </w:r>
            <w:proofErr w:type="spellStart"/>
            <w:r w:rsidRPr="00A52C6D">
              <w:rPr>
                <w:rFonts w:eastAsia="Times New Roman" w:cs="Calibri"/>
                <w:color w:val="000000"/>
                <w:sz w:val="20"/>
                <w:szCs w:val="20"/>
                <w:lang w:val="en-AU" w:eastAsia="en-AU"/>
              </w:rPr>
              <w:t>Pract</w:t>
            </w:r>
            <w:proofErr w:type="spellEnd"/>
            <w:r w:rsidRPr="00A52C6D">
              <w:rPr>
                <w:rFonts w:eastAsia="Times New Roman" w:cs="Calibri"/>
                <w:color w:val="000000"/>
                <w:sz w:val="20"/>
                <w:szCs w:val="20"/>
                <w:lang w:val="en-AU" w:eastAsia="en-AU"/>
              </w:rPr>
              <w:t xml:space="preserve">. 2018; 32() 200-204.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10.1016/j.ctcp.2018.07.005</w:t>
            </w:r>
          </w:p>
        </w:tc>
      </w:tr>
      <w:tr w:rsidR="00C37F09" w:rsidRPr="00A52C6D" w14:paraId="2F1320A7" w14:textId="77777777" w:rsidTr="00B76ED3">
        <w:trPr>
          <w:trHeight w:val="1200"/>
        </w:trPr>
        <w:tc>
          <w:tcPr>
            <w:tcW w:w="2156" w:type="dxa"/>
            <w:shd w:val="clear" w:color="auto" w:fill="auto"/>
            <w:noWrap/>
            <w:hideMark/>
          </w:tcPr>
          <w:p w14:paraId="122FE7C3"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Razavi 2022</w:t>
            </w:r>
          </w:p>
        </w:tc>
        <w:tc>
          <w:tcPr>
            <w:tcW w:w="7371" w:type="dxa"/>
            <w:shd w:val="clear" w:color="auto" w:fill="auto"/>
            <w:hideMark/>
          </w:tcPr>
          <w:p w14:paraId="52DACDB9"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Razavi, S. F.; </w:t>
            </w:r>
            <w:proofErr w:type="spellStart"/>
            <w:r w:rsidRPr="00A52C6D">
              <w:rPr>
                <w:rFonts w:eastAsia="Times New Roman" w:cs="Calibri"/>
                <w:color w:val="000000"/>
                <w:sz w:val="20"/>
                <w:szCs w:val="20"/>
                <w:lang w:val="en-AU" w:eastAsia="en-AU"/>
              </w:rPr>
              <w:t>Farshbaf</w:t>
            </w:r>
            <w:proofErr w:type="spellEnd"/>
            <w:r w:rsidRPr="00A52C6D">
              <w:rPr>
                <w:rFonts w:eastAsia="Times New Roman" w:cs="Calibri"/>
                <w:color w:val="000000"/>
                <w:sz w:val="20"/>
                <w:szCs w:val="20"/>
                <w:lang w:val="en-AU" w:eastAsia="en-AU"/>
              </w:rPr>
              <w:t xml:space="preserve">-Khalil, A.; </w:t>
            </w:r>
            <w:proofErr w:type="spellStart"/>
            <w:r w:rsidRPr="00A52C6D">
              <w:rPr>
                <w:rFonts w:eastAsia="Times New Roman" w:cs="Calibri"/>
                <w:color w:val="000000"/>
                <w:sz w:val="20"/>
                <w:szCs w:val="20"/>
                <w:lang w:val="en-AU" w:eastAsia="en-AU"/>
              </w:rPr>
              <w:t>Goljarian</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Khosroshahi</w:t>
            </w:r>
            <w:proofErr w:type="spellEnd"/>
            <w:r w:rsidRPr="00A52C6D">
              <w:rPr>
                <w:rFonts w:eastAsia="Times New Roman" w:cs="Calibri"/>
                <w:color w:val="000000"/>
                <w:sz w:val="20"/>
                <w:szCs w:val="20"/>
                <w:lang w:val="en-AU" w:eastAsia="en-AU"/>
              </w:rPr>
              <w:t xml:space="preserve">, H. T.; Gholipour, M.; </w:t>
            </w:r>
            <w:proofErr w:type="spellStart"/>
            <w:r w:rsidRPr="00A52C6D">
              <w:rPr>
                <w:rFonts w:eastAsia="Times New Roman" w:cs="Calibri"/>
                <w:color w:val="000000"/>
                <w:sz w:val="20"/>
                <w:szCs w:val="20"/>
                <w:lang w:val="en-AU" w:eastAsia="en-AU"/>
              </w:rPr>
              <w:t>Seyedrasooli</w:t>
            </w:r>
            <w:proofErr w:type="spellEnd"/>
            <w:r w:rsidRPr="00A52C6D">
              <w:rPr>
                <w:rFonts w:eastAsia="Times New Roman" w:cs="Calibri"/>
                <w:color w:val="000000"/>
                <w:sz w:val="20"/>
                <w:szCs w:val="20"/>
                <w:lang w:val="en-AU" w:eastAsia="en-AU"/>
              </w:rPr>
              <w:t xml:space="preserve">, A. Effect of Foot Reflexology on Arteriovenous Fistula Access Pain: A Randomized Clinical Trial. Evidence Based Care Journal. 2022; 12(1) 23-30.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10.22038/EBCJ.2022.62166.2621</w:t>
            </w:r>
          </w:p>
        </w:tc>
      </w:tr>
      <w:tr w:rsidR="00C37F09" w:rsidRPr="00A52C6D" w14:paraId="2BD3FF99" w14:textId="77777777" w:rsidTr="00B76ED3">
        <w:trPr>
          <w:trHeight w:val="1200"/>
        </w:trPr>
        <w:tc>
          <w:tcPr>
            <w:tcW w:w="2156" w:type="dxa"/>
            <w:shd w:val="clear" w:color="auto" w:fill="auto"/>
            <w:noWrap/>
            <w:hideMark/>
          </w:tcPr>
          <w:p w14:paraId="0BD87678"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Rejeh</w:t>
            </w:r>
            <w:proofErr w:type="spellEnd"/>
            <w:r w:rsidRPr="00A52C6D">
              <w:rPr>
                <w:rFonts w:eastAsia="Times New Roman" w:cs="Calibri"/>
                <w:b/>
                <w:color w:val="002060"/>
                <w:sz w:val="20"/>
                <w:szCs w:val="20"/>
                <w:lang w:val="en-AU" w:eastAsia="en-AU"/>
              </w:rPr>
              <w:t xml:space="preserve"> 2020</w:t>
            </w:r>
          </w:p>
        </w:tc>
        <w:tc>
          <w:tcPr>
            <w:tcW w:w="7371" w:type="dxa"/>
            <w:shd w:val="clear" w:color="auto" w:fill="auto"/>
            <w:hideMark/>
          </w:tcPr>
          <w:p w14:paraId="0A459E3B"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Rejeh</w:t>
            </w:r>
            <w:proofErr w:type="spellEnd"/>
            <w:r w:rsidRPr="00A52C6D">
              <w:rPr>
                <w:rFonts w:eastAsia="Times New Roman" w:cs="Calibri"/>
                <w:color w:val="000000"/>
                <w:sz w:val="20"/>
                <w:szCs w:val="20"/>
                <w:lang w:val="en-AU" w:eastAsia="en-AU"/>
              </w:rPr>
              <w:t xml:space="preserve">, N.; </w:t>
            </w:r>
            <w:proofErr w:type="spellStart"/>
            <w:r w:rsidRPr="00A52C6D">
              <w:rPr>
                <w:rFonts w:eastAsia="Times New Roman" w:cs="Calibri"/>
                <w:color w:val="000000"/>
                <w:sz w:val="20"/>
                <w:szCs w:val="20"/>
                <w:lang w:val="en-AU" w:eastAsia="en-AU"/>
              </w:rPr>
              <w:t>Tadrisi</w:t>
            </w:r>
            <w:proofErr w:type="spellEnd"/>
            <w:r w:rsidRPr="00A52C6D">
              <w:rPr>
                <w:rFonts w:eastAsia="Times New Roman" w:cs="Calibri"/>
                <w:color w:val="000000"/>
                <w:sz w:val="20"/>
                <w:szCs w:val="20"/>
                <w:lang w:val="en-AU" w:eastAsia="en-AU"/>
              </w:rPr>
              <w:t xml:space="preserve">, S. D.; Yazdani, S.; Saatchi, K.; </w:t>
            </w:r>
            <w:proofErr w:type="spellStart"/>
            <w:r w:rsidRPr="00A52C6D">
              <w:rPr>
                <w:rFonts w:eastAsia="Times New Roman" w:cs="Calibri"/>
                <w:color w:val="000000"/>
                <w:sz w:val="20"/>
                <w:szCs w:val="20"/>
                <w:lang w:val="en-AU" w:eastAsia="en-AU"/>
              </w:rPr>
              <w:t>Vaismoradi</w:t>
            </w:r>
            <w:proofErr w:type="spellEnd"/>
            <w:r w:rsidRPr="00A52C6D">
              <w:rPr>
                <w:rFonts w:eastAsia="Times New Roman" w:cs="Calibri"/>
                <w:color w:val="000000"/>
                <w:sz w:val="20"/>
                <w:szCs w:val="20"/>
                <w:lang w:val="en-AU" w:eastAsia="en-AU"/>
              </w:rPr>
              <w:t xml:space="preserve">, M. The Effect of Hand Reflexology Massage on Pain and Fatigue in Patients after Coronary Angiography: A Randomized Controlled Clinical Trial. </w:t>
            </w:r>
            <w:proofErr w:type="spellStart"/>
            <w:r w:rsidRPr="00A52C6D">
              <w:rPr>
                <w:rFonts w:eastAsia="Times New Roman" w:cs="Calibri"/>
                <w:color w:val="000000"/>
                <w:sz w:val="20"/>
                <w:szCs w:val="20"/>
                <w:lang w:val="en-AU" w:eastAsia="en-AU"/>
              </w:rPr>
              <w:t>Nurs</w:t>
            </w:r>
            <w:proofErr w:type="spellEnd"/>
            <w:r w:rsidRPr="00A52C6D">
              <w:rPr>
                <w:rFonts w:eastAsia="Times New Roman" w:cs="Calibri"/>
                <w:color w:val="000000"/>
                <w:sz w:val="20"/>
                <w:szCs w:val="20"/>
                <w:lang w:val="en-AU" w:eastAsia="en-AU"/>
              </w:rPr>
              <w:t xml:space="preserve"> Res </w:t>
            </w:r>
            <w:proofErr w:type="spellStart"/>
            <w:r w:rsidRPr="00A52C6D">
              <w:rPr>
                <w:rFonts w:eastAsia="Times New Roman" w:cs="Calibri"/>
                <w:color w:val="000000"/>
                <w:sz w:val="20"/>
                <w:szCs w:val="20"/>
                <w:lang w:val="en-AU" w:eastAsia="en-AU"/>
              </w:rPr>
              <w:t>Pract</w:t>
            </w:r>
            <w:proofErr w:type="spellEnd"/>
            <w:r w:rsidRPr="00A52C6D">
              <w:rPr>
                <w:rFonts w:eastAsia="Times New Roman" w:cs="Calibri"/>
                <w:color w:val="000000"/>
                <w:sz w:val="20"/>
                <w:szCs w:val="20"/>
                <w:lang w:val="en-AU" w:eastAsia="en-AU"/>
              </w:rPr>
              <w:t xml:space="preserve">. 2020; 2020() 8386167-.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10.1155/2020/8386167</w:t>
            </w:r>
          </w:p>
        </w:tc>
      </w:tr>
      <w:tr w:rsidR="00C37F09" w:rsidRPr="00A52C6D" w14:paraId="47FF5FF8" w14:textId="77777777" w:rsidTr="00B76ED3">
        <w:trPr>
          <w:trHeight w:val="923"/>
        </w:trPr>
        <w:tc>
          <w:tcPr>
            <w:tcW w:w="2156" w:type="dxa"/>
            <w:shd w:val="clear" w:color="auto" w:fill="auto"/>
            <w:noWrap/>
            <w:hideMark/>
          </w:tcPr>
          <w:p w14:paraId="7F0152F7"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Rezaei 2022</w:t>
            </w:r>
          </w:p>
        </w:tc>
        <w:tc>
          <w:tcPr>
            <w:tcW w:w="7371" w:type="dxa"/>
            <w:shd w:val="clear" w:color="auto" w:fill="auto"/>
            <w:hideMark/>
          </w:tcPr>
          <w:p w14:paraId="70D8CB62"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Rezaei, M.; Naseri-</w:t>
            </w:r>
            <w:proofErr w:type="spellStart"/>
            <w:r w:rsidRPr="00A52C6D">
              <w:rPr>
                <w:rFonts w:eastAsia="Times New Roman" w:cs="Calibri"/>
                <w:color w:val="000000"/>
                <w:sz w:val="20"/>
                <w:szCs w:val="20"/>
                <w:lang w:val="en-AU" w:eastAsia="en-AU"/>
              </w:rPr>
              <w:t>Salahshour</w:t>
            </w:r>
            <w:proofErr w:type="spellEnd"/>
            <w:r w:rsidRPr="00A52C6D">
              <w:rPr>
                <w:rFonts w:eastAsia="Times New Roman" w:cs="Calibri"/>
                <w:color w:val="000000"/>
                <w:sz w:val="20"/>
                <w:szCs w:val="20"/>
                <w:lang w:val="en-AU" w:eastAsia="en-AU"/>
              </w:rPr>
              <w:t xml:space="preserve">, V.; </w:t>
            </w:r>
            <w:proofErr w:type="spellStart"/>
            <w:r w:rsidRPr="00A52C6D">
              <w:rPr>
                <w:rFonts w:eastAsia="Times New Roman" w:cs="Calibri"/>
                <w:color w:val="000000"/>
                <w:sz w:val="20"/>
                <w:szCs w:val="20"/>
                <w:lang w:val="en-AU" w:eastAsia="en-AU"/>
              </w:rPr>
              <w:t>Rafiei</w:t>
            </w:r>
            <w:proofErr w:type="spellEnd"/>
            <w:r w:rsidRPr="00A52C6D">
              <w:rPr>
                <w:rFonts w:eastAsia="Times New Roman" w:cs="Calibri"/>
                <w:color w:val="000000"/>
                <w:sz w:val="20"/>
                <w:szCs w:val="20"/>
                <w:lang w:val="en-AU" w:eastAsia="en-AU"/>
              </w:rPr>
              <w:t xml:space="preserve">, F.; </w:t>
            </w:r>
            <w:proofErr w:type="spellStart"/>
            <w:r w:rsidRPr="00A52C6D">
              <w:rPr>
                <w:rFonts w:eastAsia="Times New Roman" w:cs="Calibri"/>
                <w:color w:val="000000"/>
                <w:sz w:val="20"/>
                <w:szCs w:val="20"/>
                <w:lang w:val="en-AU" w:eastAsia="en-AU"/>
              </w:rPr>
              <w:t>Mohagheghi</w:t>
            </w:r>
            <w:proofErr w:type="spellEnd"/>
            <w:r w:rsidRPr="00A52C6D">
              <w:rPr>
                <w:rFonts w:eastAsia="Times New Roman" w:cs="Calibri"/>
                <w:color w:val="000000"/>
                <w:sz w:val="20"/>
                <w:szCs w:val="20"/>
                <w:lang w:val="en-AU" w:eastAsia="en-AU"/>
              </w:rPr>
              <w:t xml:space="preserve">, F.; Sajadi, M. Effect of Foot Reflexology on Anxiety in Women with Breast Cancer: A Randomized-controlled Trial. Evidence Based Care Journal. 2022; 11(4) 33-39.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10.22038/EBCJ.2021.59779.2550</w:t>
            </w:r>
          </w:p>
        </w:tc>
      </w:tr>
      <w:tr w:rsidR="00C37F09" w:rsidRPr="00A52C6D" w14:paraId="29C5B75E" w14:textId="77777777" w:rsidTr="00B76ED3">
        <w:trPr>
          <w:trHeight w:val="900"/>
        </w:trPr>
        <w:tc>
          <w:tcPr>
            <w:tcW w:w="2156" w:type="dxa"/>
            <w:shd w:val="clear" w:color="auto" w:fill="auto"/>
            <w:noWrap/>
            <w:hideMark/>
          </w:tcPr>
          <w:p w14:paraId="2B11803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Ross 2002</w:t>
            </w:r>
          </w:p>
        </w:tc>
        <w:tc>
          <w:tcPr>
            <w:tcW w:w="7371" w:type="dxa"/>
            <w:shd w:val="clear" w:color="auto" w:fill="auto"/>
            <w:hideMark/>
          </w:tcPr>
          <w:p w14:paraId="596F9C22"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Ross, C. S.; Hamilton, J.; Macrae, G.; Docherty, C.; Gould, A.; </w:t>
            </w:r>
            <w:proofErr w:type="spellStart"/>
            <w:r w:rsidRPr="00A52C6D">
              <w:rPr>
                <w:rFonts w:eastAsia="Times New Roman" w:cs="Calibri"/>
                <w:color w:val="000000"/>
                <w:sz w:val="20"/>
                <w:szCs w:val="20"/>
                <w:lang w:val="en-AU" w:eastAsia="en-AU"/>
              </w:rPr>
              <w:t>Cornbleet</w:t>
            </w:r>
            <w:proofErr w:type="spellEnd"/>
            <w:r w:rsidRPr="00A52C6D">
              <w:rPr>
                <w:rFonts w:eastAsia="Times New Roman" w:cs="Calibri"/>
                <w:color w:val="000000"/>
                <w:sz w:val="20"/>
                <w:szCs w:val="20"/>
                <w:lang w:val="en-AU" w:eastAsia="en-AU"/>
              </w:rPr>
              <w:t xml:space="preserve">, M. A. A pilot study to evaluate the effect of reflexology on mood and symptom rating of advanced cancer patients. Palliative Medicine. 2002; 16(6) 544-5.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0D2BDEB1" w14:textId="77777777" w:rsidTr="00B76ED3">
        <w:trPr>
          <w:trHeight w:val="1200"/>
        </w:trPr>
        <w:tc>
          <w:tcPr>
            <w:tcW w:w="2156" w:type="dxa"/>
            <w:shd w:val="clear" w:color="auto" w:fill="auto"/>
            <w:noWrap/>
            <w:hideMark/>
          </w:tcPr>
          <w:p w14:paraId="21186405"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Sajadi 2020a</w:t>
            </w:r>
          </w:p>
        </w:tc>
        <w:tc>
          <w:tcPr>
            <w:tcW w:w="7371" w:type="dxa"/>
            <w:shd w:val="clear" w:color="auto" w:fill="auto"/>
            <w:hideMark/>
          </w:tcPr>
          <w:p w14:paraId="3FC1E99C"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Sajadi, M.; </w:t>
            </w:r>
            <w:proofErr w:type="spellStart"/>
            <w:r w:rsidRPr="00A52C6D">
              <w:rPr>
                <w:rFonts w:eastAsia="Times New Roman" w:cs="Calibri"/>
                <w:color w:val="000000"/>
                <w:sz w:val="20"/>
                <w:szCs w:val="20"/>
                <w:lang w:val="en-AU" w:eastAsia="en-AU"/>
              </w:rPr>
              <w:t>Davodabady</w:t>
            </w:r>
            <w:proofErr w:type="spellEnd"/>
            <w:r w:rsidRPr="00A52C6D">
              <w:rPr>
                <w:rFonts w:eastAsia="Times New Roman" w:cs="Calibri"/>
                <w:color w:val="000000"/>
                <w:sz w:val="20"/>
                <w:szCs w:val="20"/>
                <w:lang w:val="en-AU" w:eastAsia="en-AU"/>
              </w:rPr>
              <w:t xml:space="preserve">, F.; Ebrahimi-Monfared, M. The effect of foot reflexology on fatigue, sleep quality and anxiety in patients with multiple sclerosis: a randomized controlled trial. Archives of neuroscience. 2020; 7(3) 45139-.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10.5812/ans.102591</w:t>
            </w:r>
          </w:p>
        </w:tc>
      </w:tr>
      <w:tr w:rsidR="00C37F09" w:rsidRPr="00A52C6D" w14:paraId="17587EEE" w14:textId="77777777" w:rsidTr="00B76ED3">
        <w:trPr>
          <w:trHeight w:val="1200"/>
        </w:trPr>
        <w:tc>
          <w:tcPr>
            <w:tcW w:w="2156" w:type="dxa"/>
            <w:shd w:val="clear" w:color="auto" w:fill="auto"/>
            <w:noWrap/>
            <w:hideMark/>
          </w:tcPr>
          <w:p w14:paraId="670AD7AF"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Sajadi 2020b</w:t>
            </w:r>
          </w:p>
        </w:tc>
        <w:tc>
          <w:tcPr>
            <w:tcW w:w="7371" w:type="dxa"/>
            <w:shd w:val="clear" w:color="auto" w:fill="auto"/>
            <w:hideMark/>
          </w:tcPr>
          <w:p w14:paraId="260134EF"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Sajadi, M.; </w:t>
            </w:r>
            <w:proofErr w:type="spellStart"/>
            <w:r w:rsidRPr="00A52C6D">
              <w:rPr>
                <w:rFonts w:eastAsia="Times New Roman" w:cs="Calibri"/>
                <w:color w:val="000000"/>
                <w:sz w:val="20"/>
                <w:szCs w:val="20"/>
                <w:lang w:val="en-AU" w:eastAsia="en-AU"/>
              </w:rPr>
              <w:t>Davodabady</w:t>
            </w:r>
            <w:proofErr w:type="spellEnd"/>
            <w:r w:rsidRPr="00A52C6D">
              <w:rPr>
                <w:rFonts w:eastAsia="Times New Roman" w:cs="Calibri"/>
                <w:color w:val="000000"/>
                <w:sz w:val="20"/>
                <w:szCs w:val="20"/>
                <w:lang w:val="en-AU" w:eastAsia="en-AU"/>
              </w:rPr>
              <w:t>, F.; Naseri-</w:t>
            </w:r>
            <w:proofErr w:type="spellStart"/>
            <w:r w:rsidRPr="00A52C6D">
              <w:rPr>
                <w:rFonts w:eastAsia="Times New Roman" w:cs="Calibri"/>
                <w:color w:val="000000"/>
                <w:sz w:val="20"/>
                <w:szCs w:val="20"/>
                <w:lang w:val="en-AU" w:eastAsia="en-AU"/>
              </w:rPr>
              <w:t>Salahshour</w:t>
            </w:r>
            <w:proofErr w:type="spellEnd"/>
            <w:r w:rsidRPr="00A52C6D">
              <w:rPr>
                <w:rFonts w:eastAsia="Times New Roman" w:cs="Calibri"/>
                <w:color w:val="000000"/>
                <w:sz w:val="20"/>
                <w:szCs w:val="20"/>
                <w:lang w:val="en-AU" w:eastAsia="en-AU"/>
              </w:rPr>
              <w:t xml:space="preserve">, V.; </w:t>
            </w:r>
            <w:proofErr w:type="spellStart"/>
            <w:r w:rsidRPr="00A52C6D">
              <w:rPr>
                <w:rFonts w:eastAsia="Times New Roman" w:cs="Calibri"/>
                <w:color w:val="000000"/>
                <w:sz w:val="20"/>
                <w:szCs w:val="20"/>
                <w:lang w:val="en-AU" w:eastAsia="en-AU"/>
              </w:rPr>
              <w:t>Harorani</w:t>
            </w:r>
            <w:proofErr w:type="spellEnd"/>
            <w:r w:rsidRPr="00A52C6D">
              <w:rPr>
                <w:rFonts w:eastAsia="Times New Roman" w:cs="Calibri"/>
                <w:color w:val="000000"/>
                <w:sz w:val="20"/>
                <w:szCs w:val="20"/>
                <w:lang w:val="en-AU" w:eastAsia="en-AU"/>
              </w:rPr>
              <w:t>, M.; Ebrahimi-</w:t>
            </w:r>
            <w:proofErr w:type="spellStart"/>
            <w:r w:rsidRPr="00A52C6D">
              <w:rPr>
                <w:rFonts w:eastAsia="Times New Roman" w:cs="Calibri"/>
                <w:color w:val="000000"/>
                <w:sz w:val="20"/>
                <w:szCs w:val="20"/>
                <w:lang w:val="en-AU" w:eastAsia="en-AU"/>
              </w:rPr>
              <w:t>monfared</w:t>
            </w:r>
            <w:proofErr w:type="spellEnd"/>
            <w:r w:rsidRPr="00A52C6D">
              <w:rPr>
                <w:rFonts w:eastAsia="Times New Roman" w:cs="Calibri"/>
                <w:color w:val="000000"/>
                <w:sz w:val="20"/>
                <w:szCs w:val="20"/>
                <w:lang w:val="en-AU" w:eastAsia="en-AU"/>
              </w:rPr>
              <w:t xml:space="preserve">, M. The effect of foot reflexology on constipation and quality of life in patients with multiple sclerosis. A randomized controlled trial. Complementary Therapies in Medicine. 2020; 48() 102270-.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10.1016/j.ctim.2019.102270</w:t>
            </w:r>
          </w:p>
        </w:tc>
      </w:tr>
      <w:tr w:rsidR="00C37F09" w:rsidRPr="00A52C6D" w14:paraId="53E10A57" w14:textId="77777777" w:rsidTr="00B76ED3">
        <w:trPr>
          <w:trHeight w:val="1200"/>
        </w:trPr>
        <w:tc>
          <w:tcPr>
            <w:tcW w:w="2156" w:type="dxa"/>
            <w:shd w:val="clear" w:color="auto" w:fill="auto"/>
            <w:noWrap/>
            <w:hideMark/>
          </w:tcPr>
          <w:p w14:paraId="390A3C97"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lastRenderedPageBreak/>
              <w:t>Samarehfekri</w:t>
            </w:r>
            <w:proofErr w:type="spellEnd"/>
            <w:r w:rsidRPr="00A52C6D">
              <w:rPr>
                <w:rFonts w:eastAsia="Times New Roman" w:cs="Calibri"/>
                <w:b/>
                <w:color w:val="002060"/>
                <w:sz w:val="20"/>
                <w:szCs w:val="20"/>
                <w:lang w:val="en-AU" w:eastAsia="en-AU"/>
              </w:rPr>
              <w:t xml:space="preserve"> 2020</w:t>
            </w:r>
          </w:p>
        </w:tc>
        <w:tc>
          <w:tcPr>
            <w:tcW w:w="7371" w:type="dxa"/>
            <w:shd w:val="clear" w:color="auto" w:fill="auto"/>
            <w:hideMark/>
          </w:tcPr>
          <w:p w14:paraId="58C3354F"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Samarehfekri</w:t>
            </w:r>
            <w:proofErr w:type="spellEnd"/>
            <w:r w:rsidRPr="00A52C6D">
              <w:rPr>
                <w:rFonts w:eastAsia="Times New Roman" w:cs="Calibri"/>
                <w:color w:val="000000"/>
                <w:sz w:val="20"/>
                <w:szCs w:val="20"/>
                <w:lang w:val="en-AU" w:eastAsia="en-AU"/>
              </w:rPr>
              <w:t xml:space="preserve">, A.; Dehghan, M.; Arab, M.; </w:t>
            </w:r>
            <w:proofErr w:type="spellStart"/>
            <w:r w:rsidRPr="00A52C6D">
              <w:rPr>
                <w:rFonts w:eastAsia="Times New Roman" w:cs="Calibri"/>
                <w:color w:val="000000"/>
                <w:sz w:val="20"/>
                <w:szCs w:val="20"/>
                <w:lang w:val="en-AU" w:eastAsia="en-AU"/>
              </w:rPr>
              <w:t>Ebadzadeh</w:t>
            </w:r>
            <w:proofErr w:type="spellEnd"/>
            <w:r w:rsidRPr="00A52C6D">
              <w:rPr>
                <w:rFonts w:eastAsia="Times New Roman" w:cs="Calibri"/>
                <w:color w:val="000000"/>
                <w:sz w:val="20"/>
                <w:szCs w:val="20"/>
                <w:lang w:val="en-AU" w:eastAsia="en-AU"/>
              </w:rPr>
              <w:t xml:space="preserve">, M. R. Effect of Foot Reflexology on Pain, Fatigue, and Quality of Sleep after Kidney Transplantation Surgery: A Parallel Randomized Controlled Trial. Evid Based Complement Alternat Med. 2020; 2020() 5095071-.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10.1155/2020/5095071</w:t>
            </w:r>
          </w:p>
        </w:tc>
      </w:tr>
      <w:tr w:rsidR="00C37F09" w:rsidRPr="00A52C6D" w14:paraId="06AF766A" w14:textId="77777777" w:rsidTr="00B76ED3">
        <w:trPr>
          <w:trHeight w:val="3585"/>
        </w:trPr>
        <w:tc>
          <w:tcPr>
            <w:tcW w:w="2156" w:type="dxa"/>
            <w:shd w:val="clear" w:color="auto" w:fill="auto"/>
            <w:noWrap/>
            <w:hideMark/>
          </w:tcPr>
          <w:p w14:paraId="7B5681FF"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Sayari 2021.1</w:t>
            </w:r>
          </w:p>
        </w:tc>
        <w:tc>
          <w:tcPr>
            <w:tcW w:w="7371" w:type="dxa"/>
            <w:shd w:val="clear" w:color="auto" w:fill="auto"/>
            <w:hideMark/>
          </w:tcPr>
          <w:p w14:paraId="40C5FE09"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Sayari, S.; </w:t>
            </w:r>
            <w:proofErr w:type="spellStart"/>
            <w:r w:rsidRPr="00A52C6D">
              <w:rPr>
                <w:rFonts w:eastAsia="Times New Roman" w:cs="Calibri"/>
                <w:color w:val="000000"/>
                <w:sz w:val="20"/>
                <w:szCs w:val="20"/>
                <w:lang w:val="en-AU" w:eastAsia="en-AU"/>
              </w:rPr>
              <w:t>Nobahar</w:t>
            </w:r>
            <w:proofErr w:type="spellEnd"/>
            <w:r w:rsidRPr="00A52C6D">
              <w:rPr>
                <w:rFonts w:eastAsia="Times New Roman" w:cs="Calibri"/>
                <w:color w:val="000000"/>
                <w:sz w:val="20"/>
                <w:szCs w:val="20"/>
                <w:lang w:val="en-AU" w:eastAsia="en-AU"/>
              </w:rPr>
              <w:t xml:space="preserve">, M.; Ghorbani, R. Effect of foot reflexology on chest pain and anxiety in patients with acute myocardial infarction: A double blind randomized clinical trial. Complementary Therapies in Clinical Practice. 2021; 42() 101296-.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https://dx.doi.org/10.1016/j.ctcp.2020.101296</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Sayari, S.; </w:t>
            </w:r>
            <w:proofErr w:type="spellStart"/>
            <w:r w:rsidRPr="00A52C6D">
              <w:rPr>
                <w:rFonts w:eastAsia="Times New Roman" w:cs="Calibri"/>
                <w:color w:val="000000"/>
                <w:sz w:val="20"/>
                <w:szCs w:val="20"/>
                <w:lang w:val="en-AU" w:eastAsia="en-AU"/>
              </w:rPr>
              <w:t>Nobahar</w:t>
            </w:r>
            <w:proofErr w:type="spellEnd"/>
            <w:r w:rsidRPr="00A52C6D">
              <w:rPr>
                <w:rFonts w:eastAsia="Times New Roman" w:cs="Calibri"/>
                <w:color w:val="000000"/>
                <w:sz w:val="20"/>
                <w:szCs w:val="20"/>
                <w:lang w:val="en-AU" w:eastAsia="en-AU"/>
              </w:rPr>
              <w:t xml:space="preserve">, M.; Ghorbani, R. Effect of foot reflexology on sleep quality and severity of fatigue in patients with acute myocardial infarction: a double-blind randomized clinical trial. </w:t>
            </w:r>
            <w:proofErr w:type="spellStart"/>
            <w:r w:rsidRPr="00A52C6D">
              <w:rPr>
                <w:rFonts w:eastAsia="Times New Roman" w:cs="Calibri"/>
                <w:color w:val="000000"/>
                <w:sz w:val="20"/>
                <w:szCs w:val="20"/>
                <w:lang w:val="en-AU" w:eastAsia="en-AU"/>
              </w:rPr>
              <w:t>Koomesh</w:t>
            </w:r>
            <w:proofErr w:type="spellEnd"/>
            <w:r w:rsidRPr="00A52C6D">
              <w:rPr>
                <w:rFonts w:eastAsia="Times New Roman" w:cs="Calibri"/>
                <w:color w:val="000000"/>
                <w:sz w:val="20"/>
                <w:szCs w:val="20"/>
                <w:lang w:val="en-AU" w:eastAsia="en-AU"/>
              </w:rPr>
              <w:t>. 2021; 23(3) 327</w:t>
            </w:r>
            <w:r w:rsidRPr="00A52C6D">
              <w:rPr>
                <w:rFonts w:ascii="Cambria Math" w:eastAsia="Times New Roman" w:hAnsi="Cambria Math" w:cs="Cambria Math"/>
                <w:color w:val="000000"/>
                <w:sz w:val="20"/>
                <w:szCs w:val="20"/>
                <w:lang w:val="en-AU" w:eastAsia="en-AU"/>
              </w:rPr>
              <w:t>‐</w:t>
            </w:r>
            <w:r w:rsidRPr="00A52C6D">
              <w:rPr>
                <w:rFonts w:eastAsia="Times New Roman" w:cs="Calibri"/>
                <w:color w:val="000000"/>
                <w:sz w:val="20"/>
                <w:szCs w:val="20"/>
                <w:lang w:val="en-AU" w:eastAsia="en-AU"/>
              </w:rPr>
              <w:t xml:space="preserve">337.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10.29252/koomesh.23.3.327</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Sayari, S.; </w:t>
            </w:r>
            <w:proofErr w:type="spellStart"/>
            <w:r w:rsidRPr="00A52C6D">
              <w:rPr>
                <w:rFonts w:eastAsia="Times New Roman" w:cs="Calibri"/>
                <w:color w:val="000000"/>
                <w:sz w:val="20"/>
                <w:szCs w:val="20"/>
                <w:lang w:val="en-AU" w:eastAsia="en-AU"/>
              </w:rPr>
              <w:t>Nobahar</w:t>
            </w:r>
            <w:proofErr w:type="spellEnd"/>
            <w:r w:rsidRPr="00A52C6D">
              <w:rPr>
                <w:rFonts w:eastAsia="Times New Roman" w:cs="Calibri"/>
                <w:color w:val="000000"/>
                <w:sz w:val="20"/>
                <w:szCs w:val="20"/>
                <w:lang w:val="en-AU" w:eastAsia="en-AU"/>
              </w:rPr>
              <w:t xml:space="preserve">, M.; Ghorbani, R. Effect of foot reflexology massage on physiological indices in patients with acute myocardial infarction. </w:t>
            </w:r>
            <w:proofErr w:type="spellStart"/>
            <w:r w:rsidRPr="00A52C6D">
              <w:rPr>
                <w:rFonts w:eastAsia="Times New Roman" w:cs="Calibri"/>
                <w:color w:val="000000"/>
                <w:sz w:val="20"/>
                <w:szCs w:val="20"/>
                <w:lang w:val="en-AU" w:eastAsia="en-AU"/>
              </w:rPr>
              <w:t>Koomesh</w:t>
            </w:r>
            <w:proofErr w:type="spellEnd"/>
            <w:r w:rsidRPr="00A52C6D">
              <w:rPr>
                <w:rFonts w:eastAsia="Times New Roman" w:cs="Calibri"/>
                <w:color w:val="000000"/>
                <w:sz w:val="20"/>
                <w:szCs w:val="20"/>
                <w:lang w:val="en-AU" w:eastAsia="en-AU"/>
              </w:rPr>
              <w:t>. 2018; 20(3) 469</w:t>
            </w:r>
            <w:r w:rsidRPr="00A52C6D">
              <w:rPr>
                <w:rFonts w:ascii="Cambria Math" w:eastAsia="Times New Roman" w:hAnsi="Cambria Math" w:cs="Cambria Math"/>
                <w:color w:val="000000"/>
                <w:sz w:val="20"/>
                <w:szCs w:val="20"/>
                <w:lang w:val="en-AU" w:eastAsia="en-AU"/>
              </w:rPr>
              <w:t>‐</w:t>
            </w:r>
            <w:r w:rsidRPr="00A52C6D">
              <w:rPr>
                <w:rFonts w:eastAsia="Times New Roman" w:cs="Calibri"/>
                <w:color w:val="000000"/>
                <w:sz w:val="20"/>
                <w:szCs w:val="20"/>
                <w:lang w:val="en-AU" w:eastAsia="en-AU"/>
              </w:rPr>
              <w:t>477.</w:t>
            </w:r>
          </w:p>
        </w:tc>
      </w:tr>
      <w:tr w:rsidR="00C37F09" w:rsidRPr="00A52C6D" w14:paraId="399131D9" w14:textId="77777777" w:rsidTr="00B76ED3">
        <w:trPr>
          <w:trHeight w:val="1200"/>
        </w:trPr>
        <w:tc>
          <w:tcPr>
            <w:tcW w:w="2156" w:type="dxa"/>
            <w:shd w:val="clear" w:color="auto" w:fill="auto"/>
            <w:noWrap/>
            <w:hideMark/>
          </w:tcPr>
          <w:p w14:paraId="145E7D81"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Sehhatti</w:t>
            </w:r>
            <w:proofErr w:type="spellEnd"/>
            <w:r w:rsidRPr="00A52C6D">
              <w:rPr>
                <w:rFonts w:eastAsia="Times New Roman" w:cs="Calibri"/>
                <w:b/>
                <w:color w:val="002060"/>
                <w:sz w:val="20"/>
                <w:szCs w:val="20"/>
                <w:lang w:val="en-AU" w:eastAsia="en-AU"/>
              </w:rPr>
              <w:t xml:space="preserve"> 2020</w:t>
            </w:r>
          </w:p>
        </w:tc>
        <w:tc>
          <w:tcPr>
            <w:tcW w:w="7371" w:type="dxa"/>
            <w:shd w:val="clear" w:color="auto" w:fill="auto"/>
            <w:hideMark/>
          </w:tcPr>
          <w:p w14:paraId="08016BCC"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Sehhatti</w:t>
            </w:r>
            <w:proofErr w:type="spellEnd"/>
            <w:r w:rsidRPr="00A52C6D">
              <w:rPr>
                <w:rFonts w:eastAsia="Times New Roman" w:cs="Calibri"/>
                <w:color w:val="000000"/>
                <w:sz w:val="20"/>
                <w:szCs w:val="20"/>
                <w:lang w:val="en-AU" w:eastAsia="en-AU"/>
              </w:rPr>
              <w:t xml:space="preserve">, F.; Hughes, C.; </w:t>
            </w:r>
            <w:proofErr w:type="spellStart"/>
            <w:r w:rsidRPr="00A52C6D">
              <w:rPr>
                <w:rFonts w:eastAsia="Times New Roman" w:cs="Calibri"/>
                <w:color w:val="000000"/>
                <w:sz w:val="20"/>
                <w:szCs w:val="20"/>
                <w:lang w:val="en-AU" w:eastAsia="en-AU"/>
              </w:rPr>
              <w:t>Mirghafourvand</w:t>
            </w:r>
            <w:proofErr w:type="spellEnd"/>
            <w:r w:rsidRPr="00A52C6D">
              <w:rPr>
                <w:rFonts w:eastAsia="Times New Roman" w:cs="Calibri"/>
                <w:color w:val="000000"/>
                <w:sz w:val="20"/>
                <w:szCs w:val="20"/>
                <w:lang w:val="en-AU" w:eastAsia="en-AU"/>
              </w:rPr>
              <w:t xml:space="preserve">, M.; Azari, Z. A. The effect of short-term foot reflexology in improving constipation symptoms during pregnancy: A two-armed, randomized controlled trial. International Journal of Women's Health and Reproduction Sciences. 2020; 8(3) 303-310.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10.15296/ijwhr.2020.49</w:t>
            </w:r>
          </w:p>
        </w:tc>
      </w:tr>
      <w:tr w:rsidR="00C37F09" w:rsidRPr="00A52C6D" w14:paraId="51FD966B" w14:textId="77777777" w:rsidTr="00B76ED3">
        <w:trPr>
          <w:trHeight w:val="1500"/>
        </w:trPr>
        <w:tc>
          <w:tcPr>
            <w:tcW w:w="2156" w:type="dxa"/>
            <w:shd w:val="clear" w:color="auto" w:fill="auto"/>
            <w:noWrap/>
            <w:hideMark/>
          </w:tcPr>
          <w:p w14:paraId="12322947"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Shaermoghadam</w:t>
            </w:r>
            <w:proofErr w:type="spellEnd"/>
            <w:r w:rsidRPr="00A52C6D">
              <w:rPr>
                <w:rFonts w:eastAsia="Times New Roman" w:cs="Calibri"/>
                <w:b/>
                <w:color w:val="002060"/>
                <w:sz w:val="20"/>
                <w:szCs w:val="20"/>
                <w:lang w:val="en-AU" w:eastAsia="en-AU"/>
              </w:rPr>
              <w:t xml:space="preserve"> 2016</w:t>
            </w:r>
          </w:p>
        </w:tc>
        <w:tc>
          <w:tcPr>
            <w:tcW w:w="7371" w:type="dxa"/>
            <w:shd w:val="clear" w:color="auto" w:fill="auto"/>
            <w:hideMark/>
          </w:tcPr>
          <w:p w14:paraId="29663B4C"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Shaermoghadam</w:t>
            </w:r>
            <w:proofErr w:type="spellEnd"/>
            <w:r w:rsidRPr="00A52C6D">
              <w:rPr>
                <w:rFonts w:eastAsia="Times New Roman" w:cs="Calibri"/>
                <w:color w:val="000000"/>
                <w:sz w:val="20"/>
                <w:szCs w:val="20"/>
                <w:lang w:val="en-AU" w:eastAsia="en-AU"/>
              </w:rPr>
              <w:t xml:space="preserve">, S.; </w:t>
            </w:r>
            <w:proofErr w:type="spellStart"/>
            <w:r w:rsidRPr="00A52C6D">
              <w:rPr>
                <w:rFonts w:eastAsia="Times New Roman" w:cs="Calibri"/>
                <w:color w:val="000000"/>
                <w:sz w:val="20"/>
                <w:szCs w:val="20"/>
                <w:lang w:val="en-AU" w:eastAsia="en-AU"/>
              </w:rPr>
              <w:t>Shahdadi</w:t>
            </w:r>
            <w:proofErr w:type="spellEnd"/>
            <w:r w:rsidRPr="00A52C6D">
              <w:rPr>
                <w:rFonts w:eastAsia="Times New Roman" w:cs="Calibri"/>
                <w:color w:val="000000"/>
                <w:sz w:val="20"/>
                <w:szCs w:val="20"/>
                <w:lang w:val="en-AU" w:eastAsia="en-AU"/>
              </w:rPr>
              <w:t xml:space="preserve">, H.; </w:t>
            </w:r>
            <w:proofErr w:type="spellStart"/>
            <w:r w:rsidRPr="00A52C6D">
              <w:rPr>
                <w:rFonts w:eastAsia="Times New Roman" w:cs="Calibri"/>
                <w:color w:val="000000"/>
                <w:sz w:val="20"/>
                <w:szCs w:val="20"/>
                <w:lang w:val="en-AU" w:eastAsia="en-AU"/>
              </w:rPr>
              <w:t>Khorsandvakilzadeh</w:t>
            </w:r>
            <w:proofErr w:type="spellEnd"/>
            <w:r w:rsidRPr="00A52C6D">
              <w:rPr>
                <w:rFonts w:eastAsia="Times New Roman" w:cs="Calibri"/>
                <w:color w:val="000000"/>
                <w:sz w:val="20"/>
                <w:szCs w:val="20"/>
                <w:lang w:val="en-AU" w:eastAsia="en-AU"/>
              </w:rPr>
              <w:t xml:space="preserve">, A.; Afshari, M.; </w:t>
            </w:r>
            <w:proofErr w:type="spellStart"/>
            <w:r w:rsidRPr="00A52C6D">
              <w:rPr>
                <w:rFonts w:eastAsia="Times New Roman" w:cs="Calibri"/>
                <w:color w:val="000000"/>
                <w:sz w:val="20"/>
                <w:szCs w:val="20"/>
                <w:lang w:val="en-AU" w:eastAsia="en-AU"/>
              </w:rPr>
              <w:t>Badakhsh</w:t>
            </w:r>
            <w:proofErr w:type="spellEnd"/>
            <w:r w:rsidRPr="00A52C6D">
              <w:rPr>
                <w:rFonts w:eastAsia="Times New Roman" w:cs="Calibri"/>
                <w:color w:val="000000"/>
                <w:sz w:val="20"/>
                <w:szCs w:val="20"/>
                <w:lang w:val="en-AU" w:eastAsia="en-AU"/>
              </w:rPr>
              <w:t xml:space="preserve">, M. Comparison of the effects of foot and hand reflexology massages on stress and anxiety in candidate patients undergoing upper gastrointestinal endoscopy. International journal of pharmaceutical and clinical research. 2016; 8(8) 1254-1259.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5C00563B" w14:textId="77777777" w:rsidTr="00B76ED3">
        <w:trPr>
          <w:trHeight w:val="1200"/>
        </w:trPr>
        <w:tc>
          <w:tcPr>
            <w:tcW w:w="2156" w:type="dxa"/>
            <w:shd w:val="clear" w:color="auto" w:fill="auto"/>
            <w:noWrap/>
            <w:hideMark/>
          </w:tcPr>
          <w:p w14:paraId="08806F7A"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Shahgholian</w:t>
            </w:r>
            <w:proofErr w:type="spellEnd"/>
            <w:r w:rsidRPr="00A52C6D">
              <w:rPr>
                <w:rFonts w:eastAsia="Times New Roman" w:cs="Calibri"/>
                <w:b/>
                <w:color w:val="002060"/>
                <w:sz w:val="20"/>
                <w:szCs w:val="20"/>
                <w:lang w:val="en-AU" w:eastAsia="en-AU"/>
              </w:rPr>
              <w:t xml:space="preserve"> 2016</w:t>
            </w:r>
          </w:p>
        </w:tc>
        <w:tc>
          <w:tcPr>
            <w:tcW w:w="7371" w:type="dxa"/>
            <w:shd w:val="clear" w:color="auto" w:fill="auto"/>
            <w:hideMark/>
          </w:tcPr>
          <w:p w14:paraId="42413E50"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Shahgholian</w:t>
            </w:r>
            <w:proofErr w:type="spellEnd"/>
            <w:r w:rsidRPr="00A52C6D">
              <w:rPr>
                <w:rFonts w:eastAsia="Times New Roman" w:cs="Calibri"/>
                <w:color w:val="000000"/>
                <w:sz w:val="20"/>
                <w:szCs w:val="20"/>
                <w:lang w:val="en-AU" w:eastAsia="en-AU"/>
              </w:rPr>
              <w:t xml:space="preserve">, N.; </w:t>
            </w:r>
            <w:proofErr w:type="spellStart"/>
            <w:r w:rsidRPr="00A52C6D">
              <w:rPr>
                <w:rFonts w:eastAsia="Times New Roman" w:cs="Calibri"/>
                <w:color w:val="000000"/>
                <w:sz w:val="20"/>
                <w:szCs w:val="20"/>
                <w:lang w:val="en-AU" w:eastAsia="en-AU"/>
              </w:rPr>
              <w:t>Jazi</w:t>
            </w:r>
            <w:proofErr w:type="spellEnd"/>
            <w:r w:rsidRPr="00A52C6D">
              <w:rPr>
                <w:rFonts w:eastAsia="Times New Roman" w:cs="Calibri"/>
                <w:color w:val="000000"/>
                <w:sz w:val="20"/>
                <w:szCs w:val="20"/>
                <w:lang w:val="en-AU" w:eastAsia="en-AU"/>
              </w:rPr>
              <w:t xml:space="preserve">, S. K.; Karimian, J.; Valiani, M. The effects of two methods of reflexology and stretching exercises on the severity of restless leg syndrome among </w:t>
            </w:r>
            <w:proofErr w:type="spellStart"/>
            <w:r w:rsidRPr="00A52C6D">
              <w:rPr>
                <w:rFonts w:eastAsia="Times New Roman" w:cs="Calibri"/>
                <w:color w:val="000000"/>
                <w:sz w:val="20"/>
                <w:szCs w:val="20"/>
                <w:lang w:val="en-AU" w:eastAsia="en-AU"/>
              </w:rPr>
              <w:t>hemodialysis</w:t>
            </w:r>
            <w:proofErr w:type="spellEnd"/>
            <w:r w:rsidRPr="00A52C6D">
              <w:rPr>
                <w:rFonts w:eastAsia="Times New Roman" w:cs="Calibri"/>
                <w:color w:val="000000"/>
                <w:sz w:val="20"/>
                <w:szCs w:val="20"/>
                <w:lang w:val="en-AU" w:eastAsia="en-AU"/>
              </w:rPr>
              <w:t xml:space="preserve"> patients. Iran J </w:t>
            </w:r>
            <w:proofErr w:type="spellStart"/>
            <w:r w:rsidRPr="00A52C6D">
              <w:rPr>
                <w:rFonts w:eastAsia="Times New Roman" w:cs="Calibri"/>
                <w:color w:val="000000"/>
                <w:sz w:val="20"/>
                <w:szCs w:val="20"/>
                <w:lang w:val="en-AU" w:eastAsia="en-AU"/>
              </w:rPr>
              <w:t>Nurs</w:t>
            </w:r>
            <w:proofErr w:type="spellEnd"/>
            <w:r w:rsidRPr="00A52C6D">
              <w:rPr>
                <w:rFonts w:eastAsia="Times New Roman" w:cs="Calibri"/>
                <w:color w:val="000000"/>
                <w:sz w:val="20"/>
                <w:szCs w:val="20"/>
                <w:lang w:val="en-AU" w:eastAsia="en-AU"/>
              </w:rPr>
              <w:t xml:space="preserve"> Midwifery Res. 2016; 21(3) 219-24.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10.4103/1735-9066.180381</w:t>
            </w:r>
          </w:p>
        </w:tc>
      </w:tr>
      <w:tr w:rsidR="00C37F09" w:rsidRPr="00A52C6D" w14:paraId="2BA0A211" w14:textId="77777777" w:rsidTr="00B76ED3">
        <w:trPr>
          <w:trHeight w:val="900"/>
        </w:trPr>
        <w:tc>
          <w:tcPr>
            <w:tcW w:w="2156" w:type="dxa"/>
            <w:shd w:val="clear" w:color="auto" w:fill="auto"/>
            <w:noWrap/>
            <w:hideMark/>
          </w:tcPr>
          <w:p w14:paraId="13F9071A"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Shahriari 2021</w:t>
            </w:r>
          </w:p>
        </w:tc>
        <w:tc>
          <w:tcPr>
            <w:tcW w:w="7371" w:type="dxa"/>
            <w:shd w:val="clear" w:color="auto" w:fill="auto"/>
            <w:hideMark/>
          </w:tcPr>
          <w:p w14:paraId="539238FA"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Shahriari, A.; Sarani, H.; Sheikh, S.; </w:t>
            </w:r>
            <w:proofErr w:type="spellStart"/>
            <w:r w:rsidRPr="00A52C6D">
              <w:rPr>
                <w:rFonts w:eastAsia="Times New Roman" w:cs="Calibri"/>
                <w:color w:val="000000"/>
                <w:sz w:val="20"/>
                <w:szCs w:val="20"/>
                <w:lang w:val="en-AU" w:eastAsia="en-AU"/>
              </w:rPr>
              <w:t>Arbabisarjou</w:t>
            </w:r>
            <w:proofErr w:type="spellEnd"/>
            <w:r w:rsidRPr="00A52C6D">
              <w:rPr>
                <w:rFonts w:eastAsia="Times New Roman" w:cs="Calibri"/>
                <w:color w:val="000000"/>
                <w:sz w:val="20"/>
                <w:szCs w:val="20"/>
                <w:lang w:val="en-AU" w:eastAsia="en-AU"/>
              </w:rPr>
              <w:t xml:space="preserve">, A. The effect of foot reflexology massage on pruritus in </w:t>
            </w:r>
            <w:proofErr w:type="spellStart"/>
            <w:r w:rsidRPr="00A52C6D">
              <w:rPr>
                <w:rFonts w:eastAsia="Times New Roman" w:cs="Calibri"/>
                <w:color w:val="000000"/>
                <w:sz w:val="20"/>
                <w:szCs w:val="20"/>
                <w:lang w:val="en-AU" w:eastAsia="en-AU"/>
              </w:rPr>
              <w:t>hemodialysis</w:t>
            </w:r>
            <w:proofErr w:type="spellEnd"/>
            <w:r w:rsidRPr="00A52C6D">
              <w:rPr>
                <w:rFonts w:eastAsia="Times New Roman" w:cs="Calibri"/>
                <w:color w:val="000000"/>
                <w:sz w:val="20"/>
                <w:szCs w:val="20"/>
                <w:lang w:val="en-AU" w:eastAsia="en-AU"/>
              </w:rPr>
              <w:t xml:space="preserve"> patients. J Educ Health </w:t>
            </w:r>
            <w:proofErr w:type="spellStart"/>
            <w:r w:rsidRPr="00A52C6D">
              <w:rPr>
                <w:rFonts w:eastAsia="Times New Roman" w:cs="Calibri"/>
                <w:color w:val="000000"/>
                <w:sz w:val="20"/>
                <w:szCs w:val="20"/>
                <w:lang w:val="en-AU" w:eastAsia="en-AU"/>
              </w:rPr>
              <w:t>Promot</w:t>
            </w:r>
            <w:proofErr w:type="spellEnd"/>
            <w:r w:rsidRPr="00A52C6D">
              <w:rPr>
                <w:rFonts w:eastAsia="Times New Roman" w:cs="Calibri"/>
                <w:color w:val="000000"/>
                <w:sz w:val="20"/>
                <w:szCs w:val="20"/>
                <w:lang w:val="en-AU" w:eastAsia="en-AU"/>
              </w:rPr>
              <w:t xml:space="preserve">. 2021; 10() 81-.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10.4103/jehp.jehp_494_20</w:t>
            </w:r>
          </w:p>
        </w:tc>
      </w:tr>
      <w:tr w:rsidR="00C37F09" w:rsidRPr="00A52C6D" w14:paraId="0123FD10" w14:textId="77777777" w:rsidTr="00B76ED3">
        <w:trPr>
          <w:trHeight w:val="1200"/>
        </w:trPr>
        <w:tc>
          <w:tcPr>
            <w:tcW w:w="2156" w:type="dxa"/>
            <w:shd w:val="clear" w:color="auto" w:fill="auto"/>
            <w:noWrap/>
            <w:hideMark/>
          </w:tcPr>
          <w:p w14:paraId="4C763872"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Shahsavari 2017</w:t>
            </w:r>
          </w:p>
        </w:tc>
        <w:tc>
          <w:tcPr>
            <w:tcW w:w="7371" w:type="dxa"/>
            <w:shd w:val="clear" w:color="auto" w:fill="auto"/>
            <w:hideMark/>
          </w:tcPr>
          <w:p w14:paraId="6E60582F"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Shahsavari, H.; Abad, M. E. E.; </w:t>
            </w:r>
            <w:proofErr w:type="spellStart"/>
            <w:r w:rsidRPr="00A52C6D">
              <w:rPr>
                <w:rFonts w:eastAsia="Times New Roman" w:cs="Calibri"/>
                <w:color w:val="000000"/>
                <w:sz w:val="20"/>
                <w:szCs w:val="20"/>
                <w:lang w:val="en-AU" w:eastAsia="en-AU"/>
              </w:rPr>
              <w:t>Yekaninejad</w:t>
            </w:r>
            <w:proofErr w:type="spellEnd"/>
            <w:r w:rsidRPr="00A52C6D">
              <w:rPr>
                <w:rFonts w:eastAsia="Times New Roman" w:cs="Calibri"/>
                <w:color w:val="000000"/>
                <w:sz w:val="20"/>
                <w:szCs w:val="20"/>
                <w:lang w:val="en-AU" w:eastAsia="en-AU"/>
              </w:rPr>
              <w:t xml:space="preserve">, M. S. The effects of foot reflexology on anxiety and physiological parameters among candidates for bronchoscopy: A randomized controlled trial. European Journal of Integrative Medicine. 2017; 12() 177-181.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https://dx.doi.org/10.1016/j.eujim.2017.05.008</w:t>
            </w:r>
          </w:p>
        </w:tc>
      </w:tr>
      <w:tr w:rsidR="00C37F09" w:rsidRPr="00A52C6D" w14:paraId="7437CE9E" w14:textId="77777777" w:rsidTr="00B76ED3">
        <w:trPr>
          <w:trHeight w:val="2497"/>
        </w:trPr>
        <w:tc>
          <w:tcPr>
            <w:tcW w:w="2156" w:type="dxa"/>
            <w:shd w:val="clear" w:color="auto" w:fill="auto"/>
            <w:noWrap/>
            <w:hideMark/>
          </w:tcPr>
          <w:p w14:paraId="5CAFF733"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Sharifi 2022</w:t>
            </w:r>
          </w:p>
        </w:tc>
        <w:tc>
          <w:tcPr>
            <w:tcW w:w="7371" w:type="dxa"/>
            <w:shd w:val="clear" w:color="auto" w:fill="auto"/>
            <w:hideMark/>
          </w:tcPr>
          <w:p w14:paraId="65AB35B2"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Sharifi, N.; Bahri, N.; Hadizadeh-</w:t>
            </w:r>
            <w:proofErr w:type="spellStart"/>
            <w:r w:rsidRPr="00A52C6D">
              <w:rPr>
                <w:rFonts w:eastAsia="Times New Roman" w:cs="Calibri"/>
                <w:color w:val="000000"/>
                <w:sz w:val="20"/>
                <w:szCs w:val="20"/>
                <w:lang w:val="en-AU" w:eastAsia="en-AU"/>
              </w:rPr>
              <w:t>Talasaz</w:t>
            </w:r>
            <w:proofErr w:type="spellEnd"/>
            <w:r w:rsidRPr="00A52C6D">
              <w:rPr>
                <w:rFonts w:eastAsia="Times New Roman" w:cs="Calibri"/>
                <w:color w:val="000000"/>
                <w:sz w:val="20"/>
                <w:szCs w:val="20"/>
                <w:lang w:val="en-AU" w:eastAsia="en-AU"/>
              </w:rPr>
              <w:t xml:space="preserve">, F.; Azizi, H.; Nezami, H.; </w:t>
            </w:r>
            <w:proofErr w:type="spellStart"/>
            <w:r w:rsidRPr="00A52C6D">
              <w:rPr>
                <w:rFonts w:eastAsia="Times New Roman" w:cs="Calibri"/>
                <w:color w:val="000000"/>
                <w:sz w:val="20"/>
                <w:szCs w:val="20"/>
                <w:lang w:val="en-AU" w:eastAsia="en-AU"/>
              </w:rPr>
              <w:t>Tohidinik</w:t>
            </w:r>
            <w:proofErr w:type="spellEnd"/>
            <w:r w:rsidRPr="00A52C6D">
              <w:rPr>
                <w:rFonts w:eastAsia="Times New Roman" w:cs="Calibri"/>
                <w:color w:val="000000"/>
                <w:sz w:val="20"/>
                <w:szCs w:val="20"/>
                <w:lang w:val="en-AU" w:eastAsia="en-AU"/>
              </w:rPr>
              <w:t xml:space="preserve">, H. R. A randomized clinical trial on the effect of foot reflexology performed in the fourth stage of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on uterine afterpain. BMC Pregnancy and Childbirth. 2022; 22(1) 57-.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10.1186/s12884-022-04376-w</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Sharifi, N.; Bahri, N.; Hadizadeh-</w:t>
            </w:r>
            <w:proofErr w:type="spellStart"/>
            <w:r w:rsidRPr="00A52C6D">
              <w:rPr>
                <w:rFonts w:eastAsia="Times New Roman" w:cs="Calibri"/>
                <w:color w:val="000000"/>
                <w:sz w:val="20"/>
                <w:szCs w:val="20"/>
                <w:lang w:val="en-AU" w:eastAsia="en-AU"/>
              </w:rPr>
              <w:t>Talasaz</w:t>
            </w:r>
            <w:proofErr w:type="spellEnd"/>
            <w:r w:rsidRPr="00A52C6D">
              <w:rPr>
                <w:rFonts w:eastAsia="Times New Roman" w:cs="Calibri"/>
                <w:color w:val="000000"/>
                <w:sz w:val="20"/>
                <w:szCs w:val="20"/>
                <w:lang w:val="en-AU" w:eastAsia="en-AU"/>
              </w:rPr>
              <w:t xml:space="preserve">, F.; Azizi, H.; Nezami, H. The effect of foot reflexology in the fourth stage of </w:t>
            </w:r>
            <w:proofErr w:type="spellStart"/>
            <w:r w:rsidRPr="00A52C6D">
              <w:rPr>
                <w:rFonts w:eastAsia="Times New Roman" w:cs="Calibri"/>
                <w:color w:val="000000"/>
                <w:sz w:val="20"/>
                <w:szCs w:val="20"/>
                <w:lang w:val="en-AU" w:eastAsia="en-AU"/>
              </w:rPr>
              <w:t>labor</w:t>
            </w:r>
            <w:proofErr w:type="spellEnd"/>
            <w:r w:rsidRPr="00A52C6D">
              <w:rPr>
                <w:rFonts w:eastAsia="Times New Roman" w:cs="Calibri"/>
                <w:color w:val="000000"/>
                <w:sz w:val="20"/>
                <w:szCs w:val="20"/>
                <w:lang w:val="en-AU" w:eastAsia="en-AU"/>
              </w:rPr>
              <w:t xml:space="preserve"> on postpartum </w:t>
            </w:r>
            <w:proofErr w:type="spellStart"/>
            <w:r w:rsidRPr="00A52C6D">
              <w:rPr>
                <w:rFonts w:eastAsia="Times New Roman" w:cs="Calibri"/>
                <w:color w:val="000000"/>
                <w:sz w:val="20"/>
                <w:szCs w:val="20"/>
                <w:lang w:val="en-AU" w:eastAsia="en-AU"/>
              </w:rPr>
              <w:t>hemorrhage</w:t>
            </w:r>
            <w:proofErr w:type="spellEnd"/>
            <w:r w:rsidRPr="00A52C6D">
              <w:rPr>
                <w:rFonts w:eastAsia="Times New Roman" w:cs="Calibri"/>
                <w:color w:val="000000"/>
                <w:sz w:val="20"/>
                <w:szCs w:val="20"/>
                <w:lang w:val="en-AU" w:eastAsia="en-AU"/>
              </w:rPr>
              <w:t xml:space="preserve"> and after pain: Study protocol for a randomized controlled trial. Advances in Integrative Medicine. 2021; 8(1) 63-67.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https://dx.doi.org/10.1016/j.aimed.2020.06.004</w:t>
            </w:r>
          </w:p>
        </w:tc>
      </w:tr>
      <w:tr w:rsidR="00C37F09" w:rsidRPr="00A52C6D" w14:paraId="63C88C40" w14:textId="77777777" w:rsidTr="00B76ED3">
        <w:trPr>
          <w:trHeight w:val="5254"/>
        </w:trPr>
        <w:tc>
          <w:tcPr>
            <w:tcW w:w="2156" w:type="dxa"/>
            <w:shd w:val="clear" w:color="auto" w:fill="auto"/>
            <w:noWrap/>
            <w:hideMark/>
          </w:tcPr>
          <w:p w14:paraId="1BFE8540"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lastRenderedPageBreak/>
              <w:t>Sharp 2010.1</w:t>
            </w:r>
          </w:p>
        </w:tc>
        <w:tc>
          <w:tcPr>
            <w:tcW w:w="7371" w:type="dxa"/>
            <w:shd w:val="clear" w:color="auto" w:fill="auto"/>
            <w:hideMark/>
          </w:tcPr>
          <w:p w14:paraId="0E4AB9DA"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Sharp, D. M.; Walker, M. B.; Chaturvedi, A.; Upadhyay, S.; Hamid, A.; Walker, A. A.; Bateman, J. S.; Braid, F.; Ellwood, K.; </w:t>
            </w:r>
            <w:proofErr w:type="spellStart"/>
            <w:r w:rsidRPr="00A52C6D">
              <w:rPr>
                <w:rFonts w:eastAsia="Times New Roman" w:cs="Calibri"/>
                <w:color w:val="000000"/>
                <w:sz w:val="20"/>
                <w:szCs w:val="20"/>
                <w:lang w:val="en-AU" w:eastAsia="en-AU"/>
              </w:rPr>
              <w:t>Hebblewhite</w:t>
            </w:r>
            <w:proofErr w:type="spellEnd"/>
            <w:r w:rsidRPr="00A52C6D">
              <w:rPr>
                <w:rFonts w:eastAsia="Times New Roman" w:cs="Calibri"/>
                <w:color w:val="000000"/>
                <w:sz w:val="20"/>
                <w:szCs w:val="20"/>
                <w:lang w:val="en-AU" w:eastAsia="en-AU"/>
              </w:rPr>
              <w:t xml:space="preserve">, C.; et al., A randomised, controlled trial of the psychological effects of reflexology in early breast cancer. European journal of cancer (Oxford, </w:t>
            </w:r>
            <w:proofErr w:type="gramStart"/>
            <w:r w:rsidRPr="00A52C6D">
              <w:rPr>
                <w:rFonts w:eastAsia="Times New Roman" w:cs="Calibri"/>
                <w:color w:val="000000"/>
                <w:sz w:val="20"/>
                <w:szCs w:val="20"/>
                <w:lang w:val="en-AU" w:eastAsia="en-AU"/>
              </w:rPr>
              <w:t>England :</w:t>
            </w:r>
            <w:proofErr w:type="gramEnd"/>
            <w:r w:rsidRPr="00A52C6D">
              <w:rPr>
                <w:rFonts w:eastAsia="Times New Roman" w:cs="Calibri"/>
                <w:color w:val="000000"/>
                <w:sz w:val="20"/>
                <w:szCs w:val="20"/>
                <w:lang w:val="en-AU" w:eastAsia="en-AU"/>
              </w:rPr>
              <w:t xml:space="preserve"> 1990). 2010; 46(2) 312-322.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10.1016/j.ejca.2009.10.006</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Sharp, D. M.; Walker, M. B.; Chaturvedi, A.; Upadhyay, S.; Hamid, A.; Walker, A. A.; Bateman, J.; Braid, F.; Ellwood, K.; </w:t>
            </w:r>
            <w:proofErr w:type="spellStart"/>
            <w:r w:rsidRPr="00A52C6D">
              <w:rPr>
                <w:rFonts w:eastAsia="Times New Roman" w:cs="Calibri"/>
                <w:color w:val="000000"/>
                <w:sz w:val="20"/>
                <w:szCs w:val="20"/>
                <w:lang w:val="en-AU" w:eastAsia="en-AU"/>
              </w:rPr>
              <w:t>Hebblewhite</w:t>
            </w:r>
            <w:proofErr w:type="spellEnd"/>
            <w:r w:rsidRPr="00A52C6D">
              <w:rPr>
                <w:rFonts w:eastAsia="Times New Roman" w:cs="Calibri"/>
                <w:color w:val="000000"/>
                <w:sz w:val="20"/>
                <w:szCs w:val="20"/>
                <w:lang w:val="en-AU" w:eastAsia="en-AU"/>
              </w:rPr>
              <w:t xml:space="preserve">, C.; et al., A randomised controlled trial of the psychoneuroimmunological effects of reflexology in women with early-stage breast cancer. Breast cancer research. 2010; 12() S9.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10.1186/bcr2523    </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Green, V.; Greenman, J.; </w:t>
            </w:r>
            <w:proofErr w:type="spellStart"/>
            <w:r w:rsidRPr="00A52C6D">
              <w:rPr>
                <w:rFonts w:eastAsia="Times New Roman" w:cs="Calibri"/>
                <w:color w:val="000000"/>
                <w:sz w:val="20"/>
                <w:szCs w:val="20"/>
                <w:lang w:val="en-AU" w:eastAsia="en-AU"/>
              </w:rPr>
              <w:t>Alexandropolou</w:t>
            </w:r>
            <w:proofErr w:type="spellEnd"/>
            <w:r w:rsidRPr="00A52C6D">
              <w:rPr>
                <w:rFonts w:eastAsia="Times New Roman" w:cs="Calibri"/>
                <w:color w:val="000000"/>
                <w:sz w:val="20"/>
                <w:szCs w:val="20"/>
                <w:lang w:val="en-AU" w:eastAsia="en-AU"/>
              </w:rPr>
              <w:t xml:space="preserve">, A.; Walker, A. A.; Walker, L. G.; Sharp, D. M. The endocrine and immunological effects of reflexology in women with early breast cancer: a randomised controlled trial. Psycho-Oncology. 2009; 18() S141-S142.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10.1002/pon.1594</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Green, V. L.; Alexandropoulou, A.; Walker, M. B.; Walker, A. A.; Sharp, D. M.; Walker, L. G.; Greenman, J. Alterations in the Th1/Th2 balance in breast cancer patients using reflexology and scalp massage. Exp Ther Med. 2010; 1(1) 97-108.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10.3892/etm_00000018</w:t>
            </w:r>
          </w:p>
        </w:tc>
      </w:tr>
      <w:tr w:rsidR="00C37F09" w:rsidRPr="00A52C6D" w14:paraId="7CB779E2" w14:textId="77777777" w:rsidTr="00B76ED3">
        <w:trPr>
          <w:trHeight w:val="900"/>
        </w:trPr>
        <w:tc>
          <w:tcPr>
            <w:tcW w:w="2156" w:type="dxa"/>
            <w:shd w:val="clear" w:color="auto" w:fill="auto"/>
            <w:noWrap/>
            <w:hideMark/>
          </w:tcPr>
          <w:p w14:paraId="1FB96BF6"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t>Shobeiri</w:t>
            </w:r>
            <w:proofErr w:type="spellEnd"/>
            <w:r w:rsidRPr="00A52C6D">
              <w:rPr>
                <w:rFonts w:eastAsia="Times New Roman" w:cs="Calibri"/>
                <w:b/>
                <w:color w:val="002060"/>
                <w:sz w:val="20"/>
                <w:szCs w:val="20"/>
                <w:lang w:val="en-AU" w:eastAsia="en-AU"/>
              </w:rPr>
              <w:t xml:space="preserve"> 2017</w:t>
            </w:r>
          </w:p>
        </w:tc>
        <w:tc>
          <w:tcPr>
            <w:tcW w:w="7371" w:type="dxa"/>
            <w:shd w:val="clear" w:color="auto" w:fill="auto"/>
            <w:hideMark/>
          </w:tcPr>
          <w:p w14:paraId="276F87BF"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Shobeiri</w:t>
            </w:r>
            <w:proofErr w:type="spellEnd"/>
            <w:r w:rsidRPr="00A52C6D">
              <w:rPr>
                <w:rFonts w:eastAsia="Times New Roman" w:cs="Calibri"/>
                <w:color w:val="000000"/>
                <w:sz w:val="20"/>
                <w:szCs w:val="20"/>
                <w:lang w:val="en-AU" w:eastAsia="en-AU"/>
              </w:rPr>
              <w:t xml:space="preserve">, F.; </w:t>
            </w:r>
            <w:proofErr w:type="spellStart"/>
            <w:r w:rsidRPr="00A52C6D">
              <w:rPr>
                <w:rFonts w:eastAsia="Times New Roman" w:cs="Calibri"/>
                <w:color w:val="000000"/>
                <w:sz w:val="20"/>
                <w:szCs w:val="20"/>
                <w:lang w:val="en-AU" w:eastAsia="en-AU"/>
              </w:rPr>
              <w:t>Manoucheri</w:t>
            </w:r>
            <w:proofErr w:type="spellEnd"/>
            <w:r w:rsidRPr="00A52C6D">
              <w:rPr>
                <w:rFonts w:eastAsia="Times New Roman" w:cs="Calibri"/>
                <w:color w:val="000000"/>
                <w:sz w:val="20"/>
                <w:szCs w:val="20"/>
                <w:lang w:val="en-AU" w:eastAsia="en-AU"/>
              </w:rPr>
              <w:t xml:space="preserve">, B.; Parsa, P.; </w:t>
            </w:r>
            <w:proofErr w:type="spellStart"/>
            <w:r w:rsidRPr="00A52C6D">
              <w:rPr>
                <w:rFonts w:eastAsia="Times New Roman" w:cs="Calibri"/>
                <w:color w:val="000000"/>
                <w:sz w:val="20"/>
                <w:szCs w:val="20"/>
                <w:lang w:val="en-AU" w:eastAsia="en-AU"/>
              </w:rPr>
              <w:t>Roshanaei</w:t>
            </w:r>
            <w:proofErr w:type="spellEnd"/>
            <w:r w:rsidRPr="00A52C6D">
              <w:rPr>
                <w:rFonts w:eastAsia="Times New Roman" w:cs="Calibri"/>
                <w:color w:val="000000"/>
                <w:sz w:val="20"/>
                <w:szCs w:val="20"/>
                <w:lang w:val="en-AU" w:eastAsia="en-AU"/>
              </w:rPr>
              <w:t xml:space="preserve">, G. Effects of Counselling and Sole Reflexology on Fatigue in Pregnant Women: A Randomized Clinical Trial. J Clin </w:t>
            </w:r>
            <w:proofErr w:type="spellStart"/>
            <w:r w:rsidRPr="00A52C6D">
              <w:rPr>
                <w:rFonts w:eastAsia="Times New Roman" w:cs="Calibri"/>
                <w:color w:val="000000"/>
                <w:sz w:val="20"/>
                <w:szCs w:val="20"/>
                <w:lang w:val="en-AU" w:eastAsia="en-AU"/>
              </w:rPr>
              <w:t>Diagn</w:t>
            </w:r>
            <w:proofErr w:type="spellEnd"/>
            <w:r w:rsidRPr="00A52C6D">
              <w:rPr>
                <w:rFonts w:eastAsia="Times New Roman" w:cs="Calibri"/>
                <w:color w:val="000000"/>
                <w:sz w:val="20"/>
                <w:szCs w:val="20"/>
                <w:lang w:val="en-AU" w:eastAsia="en-AU"/>
              </w:rPr>
              <w:t xml:space="preserve"> Res. 2017; 11(6) Qc01-qc04.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10.7860/</w:t>
            </w:r>
            <w:proofErr w:type="spellStart"/>
            <w:r w:rsidRPr="00A52C6D">
              <w:rPr>
                <w:rFonts w:eastAsia="Times New Roman" w:cs="Calibri"/>
                <w:color w:val="000000"/>
                <w:sz w:val="20"/>
                <w:szCs w:val="20"/>
                <w:lang w:val="en-AU" w:eastAsia="en-AU"/>
              </w:rPr>
              <w:t>jcdr</w:t>
            </w:r>
            <w:proofErr w:type="spellEnd"/>
            <w:r w:rsidRPr="00A52C6D">
              <w:rPr>
                <w:rFonts w:eastAsia="Times New Roman" w:cs="Calibri"/>
                <w:color w:val="000000"/>
                <w:sz w:val="20"/>
                <w:szCs w:val="20"/>
                <w:lang w:val="en-AU" w:eastAsia="en-AU"/>
              </w:rPr>
              <w:t>/2017/22681.9972</w:t>
            </w:r>
          </w:p>
        </w:tc>
      </w:tr>
      <w:tr w:rsidR="00C37F09" w:rsidRPr="00A52C6D" w14:paraId="11BAE4C1" w14:textId="77777777" w:rsidTr="00B76ED3">
        <w:trPr>
          <w:trHeight w:val="1200"/>
        </w:trPr>
        <w:tc>
          <w:tcPr>
            <w:tcW w:w="2156" w:type="dxa"/>
            <w:shd w:val="clear" w:color="auto" w:fill="auto"/>
            <w:noWrap/>
            <w:hideMark/>
          </w:tcPr>
          <w:p w14:paraId="25CBC897"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Shokrollahi 2022</w:t>
            </w:r>
          </w:p>
        </w:tc>
        <w:tc>
          <w:tcPr>
            <w:tcW w:w="7371" w:type="dxa"/>
            <w:shd w:val="clear" w:color="auto" w:fill="auto"/>
            <w:hideMark/>
          </w:tcPr>
          <w:p w14:paraId="15DB1B81"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Shokrollahi, </w:t>
            </w:r>
            <w:proofErr w:type="spellStart"/>
            <w:r w:rsidRPr="00A52C6D">
              <w:rPr>
                <w:rFonts w:eastAsia="Times New Roman" w:cs="Calibri"/>
                <w:color w:val="000000"/>
                <w:sz w:val="20"/>
                <w:szCs w:val="20"/>
                <w:lang w:val="en-AU" w:eastAsia="en-AU"/>
              </w:rPr>
              <w:t>Paymaneh</w:t>
            </w:r>
            <w:proofErr w:type="spellEnd"/>
            <w:r w:rsidRPr="00A52C6D">
              <w:rPr>
                <w:rFonts w:eastAsia="Times New Roman" w:cs="Calibri"/>
                <w:color w:val="000000"/>
                <w:sz w:val="20"/>
                <w:szCs w:val="20"/>
                <w:lang w:val="en-AU" w:eastAsia="en-AU"/>
              </w:rPr>
              <w:t xml:space="preserve">; Farahi, Farzaneh Comparison of the Effects of Foot Trigger Reflexology with Aromatherapy on Anxiety, Pain, and Outcomes of Pregnancy in Women: A Randomized Controlled Trial. Women's Health Bulletin. 2022; 9(4) 191-199.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10.30476/WHB.2022.96397.1191</w:t>
            </w:r>
          </w:p>
        </w:tc>
      </w:tr>
      <w:tr w:rsidR="00C37F09" w:rsidRPr="00A52C6D" w14:paraId="06207C99" w14:textId="77777777" w:rsidTr="00B76ED3">
        <w:trPr>
          <w:trHeight w:val="1200"/>
        </w:trPr>
        <w:tc>
          <w:tcPr>
            <w:tcW w:w="2156" w:type="dxa"/>
            <w:shd w:val="clear" w:color="auto" w:fill="auto"/>
            <w:noWrap/>
            <w:hideMark/>
          </w:tcPr>
          <w:p w14:paraId="49E67F2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Şimşek 2022</w:t>
            </w:r>
          </w:p>
        </w:tc>
        <w:tc>
          <w:tcPr>
            <w:tcW w:w="7371" w:type="dxa"/>
            <w:shd w:val="clear" w:color="auto" w:fill="auto"/>
            <w:hideMark/>
          </w:tcPr>
          <w:p w14:paraId="2AA7E59D"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Simsek, N. Y.; </w:t>
            </w:r>
            <w:proofErr w:type="spellStart"/>
            <w:r w:rsidRPr="00A52C6D">
              <w:rPr>
                <w:rFonts w:eastAsia="Times New Roman" w:cs="Calibri"/>
                <w:color w:val="000000"/>
                <w:sz w:val="20"/>
                <w:szCs w:val="20"/>
                <w:lang w:val="en-AU" w:eastAsia="en-AU"/>
              </w:rPr>
              <w:t>Nacir</w:t>
            </w:r>
            <w:proofErr w:type="spellEnd"/>
            <w:r w:rsidRPr="00A52C6D">
              <w:rPr>
                <w:rFonts w:eastAsia="Times New Roman" w:cs="Calibri"/>
                <w:color w:val="000000"/>
                <w:sz w:val="20"/>
                <w:szCs w:val="20"/>
                <w:lang w:val="en-AU" w:eastAsia="en-AU"/>
              </w:rPr>
              <w:t xml:space="preserve">, B.; Demir, A. Determining the Effect of Reflexology on Nausea, Vomiting and Anxiety in Patients with Breast Cancer Receiving Chemotherapy: A Randomized Controlled Study. Complementary Medicine Research. 2022; 29(5) 382-392.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https://dx.doi.org/10.1159/000525034</w:t>
            </w:r>
          </w:p>
        </w:tc>
      </w:tr>
      <w:tr w:rsidR="00C37F09" w:rsidRPr="00A52C6D" w14:paraId="79BE1B63" w14:textId="77777777" w:rsidTr="00B76ED3">
        <w:trPr>
          <w:trHeight w:val="1200"/>
        </w:trPr>
        <w:tc>
          <w:tcPr>
            <w:tcW w:w="2156" w:type="dxa"/>
            <w:shd w:val="clear" w:color="auto" w:fill="auto"/>
            <w:noWrap/>
            <w:hideMark/>
          </w:tcPr>
          <w:p w14:paraId="2758B4C7"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Soheili 2017</w:t>
            </w:r>
          </w:p>
        </w:tc>
        <w:tc>
          <w:tcPr>
            <w:tcW w:w="7371" w:type="dxa"/>
            <w:shd w:val="clear" w:color="auto" w:fill="auto"/>
            <w:hideMark/>
          </w:tcPr>
          <w:p w14:paraId="111BFCCE"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Soheili, M.; Nazari, F.; </w:t>
            </w:r>
            <w:proofErr w:type="spellStart"/>
            <w:r w:rsidRPr="00A52C6D">
              <w:rPr>
                <w:rFonts w:eastAsia="Times New Roman" w:cs="Calibri"/>
                <w:color w:val="000000"/>
                <w:sz w:val="20"/>
                <w:szCs w:val="20"/>
                <w:lang w:val="en-AU" w:eastAsia="en-AU"/>
              </w:rPr>
              <w:t>Shaygannejad</w:t>
            </w:r>
            <w:proofErr w:type="spellEnd"/>
            <w:r w:rsidRPr="00A52C6D">
              <w:rPr>
                <w:rFonts w:eastAsia="Times New Roman" w:cs="Calibri"/>
                <w:color w:val="000000"/>
                <w:sz w:val="20"/>
                <w:szCs w:val="20"/>
                <w:lang w:val="en-AU" w:eastAsia="en-AU"/>
              </w:rPr>
              <w:t xml:space="preserve">, V.; Valiani, M. A comparison the effects of reflexology and relaxation on the psychological symptoms in women with multiple sclerosis. J Educ Health </w:t>
            </w:r>
            <w:proofErr w:type="spellStart"/>
            <w:r w:rsidRPr="00A52C6D">
              <w:rPr>
                <w:rFonts w:eastAsia="Times New Roman" w:cs="Calibri"/>
                <w:color w:val="000000"/>
                <w:sz w:val="20"/>
                <w:szCs w:val="20"/>
                <w:lang w:val="en-AU" w:eastAsia="en-AU"/>
              </w:rPr>
              <w:t>Promot</w:t>
            </w:r>
            <w:proofErr w:type="spellEnd"/>
            <w:r w:rsidRPr="00A52C6D">
              <w:rPr>
                <w:rFonts w:eastAsia="Times New Roman" w:cs="Calibri"/>
                <w:color w:val="000000"/>
                <w:sz w:val="20"/>
                <w:szCs w:val="20"/>
                <w:lang w:val="en-AU" w:eastAsia="en-AU"/>
              </w:rPr>
              <w:t xml:space="preserve">. 2017; 6() 11-.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10.4103/jehp.jehp_166_14</w:t>
            </w:r>
          </w:p>
        </w:tc>
      </w:tr>
      <w:tr w:rsidR="00C37F09" w:rsidRPr="00A52C6D" w14:paraId="79E4FB1F" w14:textId="77777777" w:rsidTr="00B76ED3">
        <w:trPr>
          <w:trHeight w:val="900"/>
        </w:trPr>
        <w:tc>
          <w:tcPr>
            <w:tcW w:w="2156" w:type="dxa"/>
            <w:shd w:val="clear" w:color="auto" w:fill="auto"/>
            <w:noWrap/>
            <w:hideMark/>
          </w:tcPr>
          <w:p w14:paraId="0D2D99C8"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Stephenson 2007</w:t>
            </w:r>
          </w:p>
        </w:tc>
        <w:tc>
          <w:tcPr>
            <w:tcW w:w="7371" w:type="dxa"/>
            <w:shd w:val="clear" w:color="auto" w:fill="auto"/>
            <w:hideMark/>
          </w:tcPr>
          <w:p w14:paraId="29714807"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Stephenson, N. L.; Swanson, M.; Dalton, J.; Keefe, F. J.; Engelke, M. Partner-delivered reflexology: effects on cancer pain and anxiety. Oncology Nursing Forum. 2007; 34(1) 127-132.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https://dx.doi.org/10.1188/07.ONF.127-132</w:t>
            </w:r>
          </w:p>
        </w:tc>
      </w:tr>
      <w:tr w:rsidR="00C37F09" w:rsidRPr="00A52C6D" w14:paraId="4E0F6F46" w14:textId="77777777" w:rsidTr="00B76ED3">
        <w:trPr>
          <w:trHeight w:val="900"/>
        </w:trPr>
        <w:tc>
          <w:tcPr>
            <w:tcW w:w="2156" w:type="dxa"/>
            <w:shd w:val="clear" w:color="auto" w:fill="auto"/>
            <w:noWrap/>
            <w:hideMark/>
          </w:tcPr>
          <w:p w14:paraId="6082D882"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Stephenson 2000</w:t>
            </w:r>
          </w:p>
        </w:tc>
        <w:tc>
          <w:tcPr>
            <w:tcW w:w="7371" w:type="dxa"/>
            <w:shd w:val="clear" w:color="auto" w:fill="auto"/>
            <w:hideMark/>
          </w:tcPr>
          <w:p w14:paraId="16B8E3FF"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Stephenson, N. L.; Weinrich, S. P.; Tavakoli, A. S. The effects of foot reflexology on anxiety and pain in patients with breast and lung cancer. Oncology Nursing Forum. 2000; 27(1) 67-72.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3696FF7E" w14:textId="77777777" w:rsidTr="00B76ED3">
        <w:trPr>
          <w:trHeight w:val="600"/>
        </w:trPr>
        <w:tc>
          <w:tcPr>
            <w:tcW w:w="2156" w:type="dxa"/>
            <w:shd w:val="clear" w:color="auto" w:fill="auto"/>
            <w:noWrap/>
            <w:hideMark/>
          </w:tcPr>
          <w:p w14:paraId="412CAEC4"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Tan 2014</w:t>
            </w:r>
          </w:p>
        </w:tc>
        <w:tc>
          <w:tcPr>
            <w:tcW w:w="7371" w:type="dxa"/>
            <w:shd w:val="clear" w:color="auto" w:fill="auto"/>
            <w:hideMark/>
          </w:tcPr>
          <w:p w14:paraId="6A3962FA"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Tan, R. D. G. Hand reflexology's effect on level of pain among postpartum mothers. Philippine Journal of Nursing. 2014; 84(1) 61-67.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p>
        </w:tc>
      </w:tr>
      <w:tr w:rsidR="00C37F09" w:rsidRPr="00A52C6D" w14:paraId="389DF145" w14:textId="77777777" w:rsidTr="00B76ED3">
        <w:trPr>
          <w:trHeight w:val="1001"/>
        </w:trPr>
        <w:tc>
          <w:tcPr>
            <w:tcW w:w="2156" w:type="dxa"/>
            <w:shd w:val="clear" w:color="auto" w:fill="auto"/>
            <w:noWrap/>
            <w:hideMark/>
          </w:tcPr>
          <w:p w14:paraId="59D4431D"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Toygar 2020</w:t>
            </w:r>
          </w:p>
        </w:tc>
        <w:tc>
          <w:tcPr>
            <w:tcW w:w="7371" w:type="dxa"/>
            <w:shd w:val="clear" w:color="auto" w:fill="auto"/>
            <w:hideMark/>
          </w:tcPr>
          <w:p w14:paraId="3F1F8E2C"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Toygar, İ; </w:t>
            </w:r>
            <w:proofErr w:type="spellStart"/>
            <w:r w:rsidRPr="00A52C6D">
              <w:rPr>
                <w:rFonts w:eastAsia="Times New Roman" w:cs="Calibri"/>
                <w:color w:val="000000"/>
                <w:sz w:val="20"/>
                <w:szCs w:val="20"/>
                <w:lang w:val="en-AU" w:eastAsia="en-AU"/>
              </w:rPr>
              <w:t>Yeşilbalkan</w:t>
            </w:r>
            <w:proofErr w:type="spellEnd"/>
            <w:r w:rsidRPr="00A52C6D">
              <w:rPr>
                <w:rFonts w:eastAsia="Times New Roman" w:cs="Calibri"/>
                <w:color w:val="000000"/>
                <w:sz w:val="20"/>
                <w:szCs w:val="20"/>
                <w:lang w:val="en-AU" w:eastAsia="en-AU"/>
              </w:rPr>
              <w:t xml:space="preserve">, ÖU; </w:t>
            </w:r>
            <w:proofErr w:type="spellStart"/>
            <w:r w:rsidRPr="00A52C6D">
              <w:rPr>
                <w:rFonts w:eastAsia="Times New Roman" w:cs="Calibri"/>
                <w:color w:val="000000"/>
                <w:sz w:val="20"/>
                <w:szCs w:val="20"/>
                <w:lang w:val="en-AU" w:eastAsia="en-AU"/>
              </w:rPr>
              <w:t>Malseven</w:t>
            </w:r>
            <w:proofErr w:type="spellEnd"/>
            <w:r w:rsidRPr="00A52C6D">
              <w:rPr>
                <w:rFonts w:eastAsia="Times New Roman" w:cs="Calibri"/>
                <w:color w:val="000000"/>
                <w:sz w:val="20"/>
                <w:szCs w:val="20"/>
                <w:lang w:val="en-AU" w:eastAsia="en-AU"/>
              </w:rPr>
              <w:t xml:space="preserve">, Y. G.; Sönmez, E. Effect of reflexology on anxiety and sleep of informal cancer caregiver: randomized controlled trial. Complementary Therapies in Clinical Practice. 2020; 39() 101143.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10.1016/j.ctcp.2020.101143</w:t>
            </w:r>
          </w:p>
        </w:tc>
      </w:tr>
      <w:tr w:rsidR="00C37F09" w:rsidRPr="00A52C6D" w14:paraId="5D8EEDB0" w14:textId="77777777" w:rsidTr="00B76ED3">
        <w:trPr>
          <w:trHeight w:val="1200"/>
        </w:trPr>
        <w:tc>
          <w:tcPr>
            <w:tcW w:w="2156" w:type="dxa"/>
            <w:shd w:val="clear" w:color="auto" w:fill="auto"/>
            <w:noWrap/>
            <w:hideMark/>
          </w:tcPr>
          <w:p w14:paraId="1E3DC24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Tsay 2008</w:t>
            </w:r>
          </w:p>
        </w:tc>
        <w:tc>
          <w:tcPr>
            <w:tcW w:w="7371" w:type="dxa"/>
            <w:shd w:val="clear" w:color="auto" w:fill="auto"/>
            <w:hideMark/>
          </w:tcPr>
          <w:p w14:paraId="4251F774"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Tsay, S. L.; Chen, H. L.; Chen, S. C.; Lin, H. R.; Lin, K. C. Effects of </w:t>
            </w:r>
            <w:proofErr w:type="spellStart"/>
            <w:r w:rsidRPr="00A52C6D">
              <w:rPr>
                <w:rFonts w:eastAsia="Times New Roman" w:cs="Calibri"/>
                <w:color w:val="000000"/>
                <w:sz w:val="20"/>
                <w:szCs w:val="20"/>
                <w:lang w:val="en-AU" w:eastAsia="en-AU"/>
              </w:rPr>
              <w:t>reflexotherapy</w:t>
            </w:r>
            <w:proofErr w:type="spellEnd"/>
            <w:r w:rsidRPr="00A52C6D">
              <w:rPr>
                <w:rFonts w:eastAsia="Times New Roman" w:cs="Calibri"/>
                <w:color w:val="000000"/>
                <w:sz w:val="20"/>
                <w:szCs w:val="20"/>
                <w:lang w:val="en-AU" w:eastAsia="en-AU"/>
              </w:rPr>
              <w:t xml:space="preserve"> on acute postoperative pain and anxiety among patients with digestive cancer. Cancer Nursing. 2008; 31(2) 109-115.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https://dx.doi.org/10.1097/01.NCC.0000305694.74754.7b</w:t>
            </w:r>
          </w:p>
        </w:tc>
      </w:tr>
      <w:tr w:rsidR="00C37F09" w:rsidRPr="00A52C6D" w14:paraId="16D64D5D" w14:textId="77777777" w:rsidTr="00B76ED3">
        <w:trPr>
          <w:trHeight w:val="900"/>
        </w:trPr>
        <w:tc>
          <w:tcPr>
            <w:tcW w:w="2156" w:type="dxa"/>
            <w:shd w:val="clear" w:color="auto" w:fill="auto"/>
            <w:noWrap/>
            <w:hideMark/>
          </w:tcPr>
          <w:p w14:paraId="4F415CE4"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lastRenderedPageBreak/>
              <w:t>Uguryol</w:t>
            </w:r>
            <w:proofErr w:type="spellEnd"/>
            <w:r w:rsidRPr="00A52C6D">
              <w:rPr>
                <w:rFonts w:eastAsia="Times New Roman" w:cs="Calibri"/>
                <w:b/>
                <w:color w:val="002060"/>
                <w:sz w:val="20"/>
                <w:szCs w:val="20"/>
                <w:lang w:val="en-AU" w:eastAsia="en-AU"/>
              </w:rPr>
              <w:t xml:space="preserve"> 2022</w:t>
            </w:r>
          </w:p>
        </w:tc>
        <w:tc>
          <w:tcPr>
            <w:tcW w:w="7371" w:type="dxa"/>
            <w:shd w:val="clear" w:color="auto" w:fill="auto"/>
            <w:hideMark/>
          </w:tcPr>
          <w:p w14:paraId="19957C82"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Uguryol</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Donmez</w:t>
            </w:r>
            <w:proofErr w:type="spellEnd"/>
            <w:r w:rsidRPr="00A52C6D">
              <w:rPr>
                <w:rFonts w:eastAsia="Times New Roman" w:cs="Calibri"/>
                <w:color w:val="000000"/>
                <w:sz w:val="20"/>
                <w:szCs w:val="20"/>
                <w:lang w:val="en-AU" w:eastAsia="en-AU"/>
              </w:rPr>
              <w:t xml:space="preserve">, A. The effect of reflexology treatment on anxiety. Journal of Psychiatric Nursing. 2022; 13(1) 24-30.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https://dx.doi.org/10.14744/phd.2021.05579</w:t>
            </w:r>
          </w:p>
        </w:tc>
      </w:tr>
      <w:tr w:rsidR="00C37F09" w:rsidRPr="00A52C6D" w14:paraId="2DCF039B" w14:textId="77777777" w:rsidTr="00B76ED3">
        <w:trPr>
          <w:trHeight w:val="900"/>
        </w:trPr>
        <w:tc>
          <w:tcPr>
            <w:tcW w:w="2156" w:type="dxa"/>
            <w:shd w:val="clear" w:color="auto" w:fill="auto"/>
            <w:noWrap/>
            <w:hideMark/>
          </w:tcPr>
          <w:p w14:paraId="36629CDC"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Unal 2016</w:t>
            </w:r>
          </w:p>
        </w:tc>
        <w:tc>
          <w:tcPr>
            <w:tcW w:w="7371" w:type="dxa"/>
            <w:shd w:val="clear" w:color="auto" w:fill="auto"/>
            <w:hideMark/>
          </w:tcPr>
          <w:p w14:paraId="002886FB"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Unal, K. S.; Balci </w:t>
            </w:r>
            <w:proofErr w:type="spellStart"/>
            <w:r w:rsidRPr="00A52C6D">
              <w:rPr>
                <w:rFonts w:eastAsia="Times New Roman" w:cs="Calibri"/>
                <w:color w:val="000000"/>
                <w:sz w:val="20"/>
                <w:szCs w:val="20"/>
                <w:lang w:val="en-AU" w:eastAsia="en-AU"/>
              </w:rPr>
              <w:t>Akpinar</w:t>
            </w:r>
            <w:proofErr w:type="spellEnd"/>
            <w:r w:rsidRPr="00A52C6D">
              <w:rPr>
                <w:rFonts w:eastAsia="Times New Roman" w:cs="Calibri"/>
                <w:color w:val="000000"/>
                <w:sz w:val="20"/>
                <w:szCs w:val="20"/>
                <w:lang w:val="en-AU" w:eastAsia="en-AU"/>
              </w:rPr>
              <w:t xml:space="preserve">, R. The effect of foot reflexology and back massage on </w:t>
            </w:r>
            <w:proofErr w:type="spellStart"/>
            <w:r w:rsidRPr="00A52C6D">
              <w:rPr>
                <w:rFonts w:eastAsia="Times New Roman" w:cs="Calibri"/>
                <w:color w:val="000000"/>
                <w:sz w:val="20"/>
                <w:szCs w:val="20"/>
                <w:lang w:val="en-AU" w:eastAsia="en-AU"/>
              </w:rPr>
              <w:t>hemodialysis</w:t>
            </w:r>
            <w:proofErr w:type="spellEnd"/>
            <w:r w:rsidRPr="00A52C6D">
              <w:rPr>
                <w:rFonts w:eastAsia="Times New Roman" w:cs="Calibri"/>
                <w:color w:val="000000"/>
                <w:sz w:val="20"/>
                <w:szCs w:val="20"/>
                <w:lang w:val="en-AU" w:eastAsia="en-AU"/>
              </w:rPr>
              <w:t xml:space="preserve"> patients' fatigue and sleep quality. Complementary Therapies in Clinical Practice. 2016; 24() 139-144.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10.1016/j.ctcp.2016.06.004</w:t>
            </w:r>
          </w:p>
        </w:tc>
      </w:tr>
      <w:tr w:rsidR="00C37F09" w:rsidRPr="00A52C6D" w14:paraId="1F4BD188" w14:textId="77777777" w:rsidTr="00B76ED3">
        <w:trPr>
          <w:trHeight w:val="1200"/>
        </w:trPr>
        <w:tc>
          <w:tcPr>
            <w:tcW w:w="2156" w:type="dxa"/>
            <w:shd w:val="clear" w:color="auto" w:fill="auto"/>
            <w:noWrap/>
            <w:hideMark/>
          </w:tcPr>
          <w:p w14:paraId="79CA2287"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Us 2022</w:t>
            </w:r>
          </w:p>
        </w:tc>
        <w:tc>
          <w:tcPr>
            <w:tcW w:w="7371" w:type="dxa"/>
            <w:shd w:val="clear" w:color="auto" w:fill="auto"/>
            <w:hideMark/>
          </w:tcPr>
          <w:p w14:paraId="5A9B9FBC"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Us, M. C.; Saran, M. G.; Cebeci, B.; Akkuş, E.; Şeker, E.; Aybar, ŞSŞ A Randomized Comparative Effectiveness Study of Reflexology, Sucrose, and Other Treatments for Needle Procedures in Newborns. </w:t>
            </w:r>
            <w:proofErr w:type="spellStart"/>
            <w:r w:rsidRPr="00A52C6D">
              <w:rPr>
                <w:rFonts w:eastAsia="Times New Roman" w:cs="Calibri"/>
                <w:color w:val="000000"/>
                <w:sz w:val="20"/>
                <w:szCs w:val="20"/>
                <w:lang w:val="en-AU" w:eastAsia="en-AU"/>
              </w:rPr>
              <w:t>Pediatr</w:t>
            </w:r>
            <w:proofErr w:type="spellEnd"/>
            <w:r w:rsidRPr="00A52C6D">
              <w:rPr>
                <w:rFonts w:eastAsia="Times New Roman" w:cs="Calibri"/>
                <w:color w:val="000000"/>
                <w:sz w:val="20"/>
                <w:szCs w:val="20"/>
                <w:lang w:val="en-AU" w:eastAsia="en-AU"/>
              </w:rPr>
              <w:t xml:space="preserve"> Neurol. 2022; 140() 47-54.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10.1016/j.pediatrneurol.2022.11.019</w:t>
            </w:r>
          </w:p>
        </w:tc>
      </w:tr>
      <w:tr w:rsidR="00C37F09" w:rsidRPr="00A52C6D" w14:paraId="050797FF" w14:textId="77777777" w:rsidTr="00B76ED3">
        <w:trPr>
          <w:trHeight w:val="1048"/>
        </w:trPr>
        <w:tc>
          <w:tcPr>
            <w:tcW w:w="2156" w:type="dxa"/>
            <w:shd w:val="clear" w:color="auto" w:fill="auto"/>
            <w:noWrap/>
            <w:hideMark/>
          </w:tcPr>
          <w:p w14:paraId="3AB206E7"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Uysal 2017</w:t>
            </w:r>
          </w:p>
        </w:tc>
        <w:tc>
          <w:tcPr>
            <w:tcW w:w="7371" w:type="dxa"/>
            <w:shd w:val="clear" w:color="auto" w:fill="auto"/>
            <w:hideMark/>
          </w:tcPr>
          <w:p w14:paraId="5ABFA41B"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Uysal, N.; </w:t>
            </w:r>
            <w:proofErr w:type="spellStart"/>
            <w:r w:rsidRPr="00A52C6D">
              <w:rPr>
                <w:rFonts w:eastAsia="Times New Roman" w:cs="Calibri"/>
                <w:color w:val="000000"/>
                <w:sz w:val="20"/>
                <w:szCs w:val="20"/>
                <w:lang w:val="en-AU" w:eastAsia="en-AU"/>
              </w:rPr>
              <w:t>Kutluturkan</w:t>
            </w:r>
            <w:proofErr w:type="spellEnd"/>
            <w:r w:rsidRPr="00A52C6D">
              <w:rPr>
                <w:rFonts w:eastAsia="Times New Roman" w:cs="Calibri"/>
                <w:color w:val="000000"/>
                <w:sz w:val="20"/>
                <w:szCs w:val="20"/>
                <w:lang w:val="en-AU" w:eastAsia="en-AU"/>
              </w:rPr>
              <w:t xml:space="preserve">, S.; Ugur, I. Effects of foot massage applied in two different methods on symptom control in colorectal cancer patients: Randomised control trial. International Journal of Nursing Practice. 2017; 23(3) e12532.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10.1111/ijn.12532</w:t>
            </w:r>
          </w:p>
        </w:tc>
      </w:tr>
      <w:tr w:rsidR="00C37F09" w:rsidRPr="00A52C6D" w14:paraId="09E92DF7" w14:textId="77777777" w:rsidTr="00B76ED3">
        <w:trPr>
          <w:trHeight w:val="991"/>
        </w:trPr>
        <w:tc>
          <w:tcPr>
            <w:tcW w:w="2156" w:type="dxa"/>
            <w:shd w:val="clear" w:color="auto" w:fill="auto"/>
            <w:noWrap/>
            <w:hideMark/>
          </w:tcPr>
          <w:p w14:paraId="0F5ED29A"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Valizadeh 2015</w:t>
            </w:r>
          </w:p>
        </w:tc>
        <w:tc>
          <w:tcPr>
            <w:tcW w:w="7371" w:type="dxa"/>
            <w:shd w:val="clear" w:color="auto" w:fill="auto"/>
            <w:hideMark/>
          </w:tcPr>
          <w:p w14:paraId="43C223EE"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Valizadeh, L.; </w:t>
            </w:r>
            <w:proofErr w:type="spellStart"/>
            <w:r w:rsidRPr="00A52C6D">
              <w:rPr>
                <w:rFonts w:eastAsia="Times New Roman" w:cs="Calibri"/>
                <w:color w:val="000000"/>
                <w:sz w:val="20"/>
                <w:szCs w:val="20"/>
                <w:lang w:val="en-AU" w:eastAsia="en-AU"/>
              </w:rPr>
              <w:t>Seyyedrasooli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Zamanazadeh</w:t>
            </w:r>
            <w:proofErr w:type="spellEnd"/>
            <w:r w:rsidRPr="00A52C6D">
              <w:rPr>
                <w:rFonts w:eastAsia="Times New Roman" w:cs="Calibri"/>
                <w:color w:val="000000"/>
                <w:sz w:val="20"/>
                <w:szCs w:val="20"/>
                <w:lang w:val="en-AU" w:eastAsia="en-AU"/>
              </w:rPr>
              <w:t xml:space="preserve">, V.; Nasiri, K. Comparing the Effects of Reflexology and Footbath on Sleep Quality in the Elderly: A Controlled Clinical Trial. Iran Red Crescent Med J. 2015; 17(11) e20111.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10.5812/ircmj.20111</w:t>
            </w:r>
          </w:p>
        </w:tc>
      </w:tr>
      <w:tr w:rsidR="00C37F09" w:rsidRPr="00A52C6D" w14:paraId="6F76C802" w14:textId="77777777" w:rsidTr="00B76ED3">
        <w:trPr>
          <w:trHeight w:val="992"/>
        </w:trPr>
        <w:tc>
          <w:tcPr>
            <w:tcW w:w="2156" w:type="dxa"/>
            <w:shd w:val="clear" w:color="auto" w:fill="auto"/>
            <w:noWrap/>
            <w:hideMark/>
          </w:tcPr>
          <w:p w14:paraId="519521AA"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Wilkinson 2006</w:t>
            </w:r>
          </w:p>
        </w:tc>
        <w:tc>
          <w:tcPr>
            <w:tcW w:w="7371" w:type="dxa"/>
            <w:shd w:val="clear" w:color="auto" w:fill="auto"/>
            <w:hideMark/>
          </w:tcPr>
          <w:p w14:paraId="613954CB"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Wilkinson, I. S.; Prigmore, S.; Rayner, C. F. A randomised-controlled trail examining the effects of reflexology of patients with chronic obstructive pulmonary disease (COPD). Complement Ther Clin </w:t>
            </w:r>
            <w:proofErr w:type="spellStart"/>
            <w:r w:rsidRPr="00A52C6D">
              <w:rPr>
                <w:rFonts w:eastAsia="Times New Roman" w:cs="Calibri"/>
                <w:color w:val="000000"/>
                <w:sz w:val="20"/>
                <w:szCs w:val="20"/>
                <w:lang w:val="en-AU" w:eastAsia="en-AU"/>
              </w:rPr>
              <w:t>Pract</w:t>
            </w:r>
            <w:proofErr w:type="spellEnd"/>
            <w:r w:rsidRPr="00A52C6D">
              <w:rPr>
                <w:rFonts w:eastAsia="Times New Roman" w:cs="Calibri"/>
                <w:color w:val="000000"/>
                <w:sz w:val="20"/>
                <w:szCs w:val="20"/>
                <w:lang w:val="en-AU" w:eastAsia="en-AU"/>
              </w:rPr>
              <w:t xml:space="preserve">. 2006; 12(2) 141-7.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0.1016/j.ctcp.2005.10.004</w:t>
            </w:r>
          </w:p>
        </w:tc>
      </w:tr>
      <w:tr w:rsidR="00C37F09" w:rsidRPr="00A52C6D" w14:paraId="3A5EA725" w14:textId="77777777" w:rsidTr="00B76ED3">
        <w:trPr>
          <w:trHeight w:val="1200"/>
        </w:trPr>
        <w:tc>
          <w:tcPr>
            <w:tcW w:w="2156" w:type="dxa"/>
            <w:shd w:val="clear" w:color="auto" w:fill="auto"/>
            <w:noWrap/>
            <w:hideMark/>
          </w:tcPr>
          <w:p w14:paraId="3AE3F3E1"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Williamson 2002</w:t>
            </w:r>
          </w:p>
        </w:tc>
        <w:tc>
          <w:tcPr>
            <w:tcW w:w="7371" w:type="dxa"/>
            <w:shd w:val="clear" w:color="auto" w:fill="auto"/>
            <w:hideMark/>
          </w:tcPr>
          <w:p w14:paraId="560FE204"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Williamson, J.; White, A.; Hart, A.; Ernst, E. Randomised controlled trial of reflexology for menopausal symptoms. BJOG: An International Journal of Obstetrics and Gynaecology. 2002; 109(9) 1050-1055.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10.1016/S1470-0328%2802%2901504-5</w:t>
            </w:r>
          </w:p>
        </w:tc>
      </w:tr>
      <w:tr w:rsidR="00C37F09" w:rsidRPr="00A52C6D" w14:paraId="4311AC05" w14:textId="77777777" w:rsidTr="00B76ED3">
        <w:trPr>
          <w:trHeight w:val="1206"/>
        </w:trPr>
        <w:tc>
          <w:tcPr>
            <w:tcW w:w="2156" w:type="dxa"/>
            <w:shd w:val="clear" w:color="auto" w:fill="auto"/>
            <w:noWrap/>
            <w:hideMark/>
          </w:tcPr>
          <w:p w14:paraId="5C3EFB4D"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Wyatt 2021</w:t>
            </w:r>
          </w:p>
        </w:tc>
        <w:tc>
          <w:tcPr>
            <w:tcW w:w="7371" w:type="dxa"/>
            <w:shd w:val="clear" w:color="auto" w:fill="auto"/>
            <w:hideMark/>
          </w:tcPr>
          <w:p w14:paraId="773B9009"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Wyatt, G.; Lehto, R.; Guha-Niyogi, P.; Brewer, S.; Victorson, D.; Pace, T.; Badger, T.;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Reflexology and meditative practices for symptom management among people with cancer: Results from a sequential multiple assignment randomized trial. Research in Nursing and Health. 2021; 44() 796-810.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10.1002/nur.22169</w:t>
            </w:r>
          </w:p>
        </w:tc>
      </w:tr>
      <w:tr w:rsidR="00C37F09" w:rsidRPr="00A52C6D" w14:paraId="2538444F" w14:textId="77777777" w:rsidTr="00B76ED3">
        <w:trPr>
          <w:trHeight w:val="8190"/>
        </w:trPr>
        <w:tc>
          <w:tcPr>
            <w:tcW w:w="2156" w:type="dxa"/>
            <w:shd w:val="clear" w:color="auto" w:fill="auto"/>
            <w:noWrap/>
            <w:hideMark/>
          </w:tcPr>
          <w:p w14:paraId="1801144F"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lastRenderedPageBreak/>
              <w:t>Wyatt 2012.1</w:t>
            </w:r>
          </w:p>
        </w:tc>
        <w:tc>
          <w:tcPr>
            <w:tcW w:w="7371" w:type="dxa"/>
            <w:shd w:val="clear" w:color="auto" w:fill="auto"/>
            <w:hideMark/>
          </w:tcPr>
          <w:p w14:paraId="7C74E207" w14:textId="77777777" w:rsidR="00C37F09"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A.; Rahbar, M. H.; Victorson, D.; You, M. Health-related quality-of-life outcomes: A reflexology trial with patients with advanced-stage breast cancer. Oncology Nursing Forum. 2012; 39(6) 568-77.</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Rahbar, M. H.; Victorson, D. Reflexology improves </w:t>
            </w:r>
            <w:proofErr w:type="spellStart"/>
            <w:r w:rsidRPr="00A52C6D">
              <w:rPr>
                <w:rFonts w:eastAsia="Times New Roman" w:cs="Calibri"/>
                <w:color w:val="000000"/>
                <w:sz w:val="20"/>
                <w:szCs w:val="20"/>
                <w:lang w:val="en-AU" w:eastAsia="en-AU"/>
              </w:rPr>
              <w:t>self reported</w:t>
            </w:r>
            <w:proofErr w:type="spellEnd"/>
            <w:r w:rsidRPr="00A52C6D">
              <w:rPr>
                <w:rFonts w:eastAsia="Times New Roman" w:cs="Calibri"/>
                <w:color w:val="000000"/>
                <w:sz w:val="20"/>
                <w:szCs w:val="20"/>
                <w:lang w:val="en-AU" w:eastAsia="en-AU"/>
              </w:rPr>
              <w:t xml:space="preserve"> physical functioning in advanced breast cancer: results from an NCI-funded randomized controlled trial. Psycho-Oncology. 2011; 20(1) 45082.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10.1111/j.1755-148X.</w:t>
            </w:r>
            <w:proofErr w:type="gramStart"/>
            <w:r w:rsidRPr="00A52C6D">
              <w:rPr>
                <w:rFonts w:eastAsia="Times New Roman" w:cs="Calibri"/>
                <w:color w:val="000000"/>
                <w:sz w:val="20"/>
                <w:szCs w:val="20"/>
                <w:lang w:val="en-AU" w:eastAsia="en-AU"/>
              </w:rPr>
              <w:t>2011.01915.x</w:t>
            </w:r>
            <w:proofErr w:type="gramEnd"/>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Tamkus</w:t>
            </w:r>
            <w:proofErr w:type="spellEnd"/>
            <w:r w:rsidRPr="00A52C6D">
              <w:rPr>
                <w:rFonts w:eastAsia="Times New Roman" w:cs="Calibri"/>
                <w:color w:val="000000"/>
                <w:sz w:val="20"/>
                <w:szCs w:val="20"/>
                <w:lang w:val="en-AU" w:eastAsia="en-AU"/>
              </w:rPr>
              <w:t xml:space="preserve">, D.; You, M. Quality of life among advanced breast cancer patients with and without metastasis. Psycho-Oncology. 2012; 21() 96-97.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10.1111/j.1099-1611.2011.03029_1.x</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Tamkus</w:t>
            </w:r>
            <w:proofErr w:type="spellEnd"/>
            <w:r w:rsidRPr="00A52C6D">
              <w:rPr>
                <w:rFonts w:eastAsia="Times New Roman" w:cs="Calibri"/>
                <w:color w:val="000000"/>
                <w:sz w:val="20"/>
                <w:szCs w:val="20"/>
                <w:lang w:val="en-AU" w:eastAsia="en-AU"/>
              </w:rPr>
              <w:t xml:space="preserve">, D.; You, M. Quality of life among advanced breast cancer patients with and without distant metastasis. European Journal of Cancer Care. 2013; 22(2) 272-280.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https://dx.doi.org/10.1111/ecc.12028</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Wyatt, G. K.; Siddiqi, A. E.; </w:t>
            </w:r>
            <w:proofErr w:type="spellStart"/>
            <w:r w:rsidRPr="00A52C6D">
              <w:rPr>
                <w:rFonts w:eastAsia="Times New Roman" w:cs="Calibri"/>
                <w:color w:val="000000"/>
                <w:sz w:val="20"/>
                <w:szCs w:val="20"/>
                <w:lang w:val="en-AU" w:eastAsia="en-AU"/>
              </w:rPr>
              <w:t>Tamkus</w:t>
            </w:r>
            <w:proofErr w:type="spellEnd"/>
            <w:r w:rsidRPr="00A52C6D">
              <w:rPr>
                <w:rFonts w:eastAsia="Times New Roman" w:cs="Calibri"/>
                <w:color w:val="000000"/>
                <w:sz w:val="20"/>
                <w:szCs w:val="20"/>
                <w:lang w:val="en-AU" w:eastAsia="en-AU"/>
              </w:rPr>
              <w:t xml:space="preserve">, D. Recruitment and early retention of women with advanced breast cancer in a complementary and alternative medicine trial. Evid Based Complement Alternat Med. 2011; 2011() 734517.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10.1093/</w:t>
            </w:r>
            <w:proofErr w:type="spellStart"/>
            <w:r w:rsidRPr="00A52C6D">
              <w:rPr>
                <w:rFonts w:eastAsia="Times New Roman" w:cs="Calibri"/>
                <w:color w:val="000000"/>
                <w:sz w:val="20"/>
                <w:szCs w:val="20"/>
                <w:lang w:val="en-AU" w:eastAsia="en-AU"/>
              </w:rPr>
              <w:t>ecam</w:t>
            </w:r>
            <w:proofErr w:type="spellEnd"/>
            <w:r w:rsidRPr="00A52C6D">
              <w:rPr>
                <w:rFonts w:eastAsia="Times New Roman" w:cs="Calibri"/>
                <w:color w:val="000000"/>
                <w:sz w:val="20"/>
                <w:szCs w:val="20"/>
                <w:lang w:val="en-AU" w:eastAsia="en-AU"/>
              </w:rPr>
              <w:t>/nep051</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Treatment interruptions and associated factors. Psycho-Oncology. 2014; 23() 104-105.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10.1002/pon.3478</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Tesnjak</w:t>
            </w:r>
            <w:proofErr w:type="spellEnd"/>
            <w:r w:rsidRPr="00A52C6D">
              <w:rPr>
                <w:rFonts w:eastAsia="Times New Roman" w:cs="Calibri"/>
                <w:color w:val="000000"/>
                <w:sz w:val="20"/>
                <w:szCs w:val="20"/>
                <w:lang w:val="en-AU" w:eastAsia="en-AU"/>
              </w:rPr>
              <w:t xml:space="preserve">, I.; Victorson, D.; </w:t>
            </w:r>
            <w:proofErr w:type="spellStart"/>
            <w:r w:rsidRPr="00A52C6D">
              <w:rPr>
                <w:rFonts w:eastAsia="Times New Roman" w:cs="Calibri"/>
                <w:color w:val="000000"/>
                <w:sz w:val="20"/>
                <w:szCs w:val="20"/>
                <w:lang w:val="en-AU" w:eastAsia="en-AU"/>
              </w:rPr>
              <w:t>Srkalovic</w:t>
            </w:r>
            <w:proofErr w:type="spellEnd"/>
            <w:r w:rsidRPr="00A52C6D">
              <w:rPr>
                <w:rFonts w:eastAsia="Times New Roman" w:cs="Calibri"/>
                <w:color w:val="000000"/>
                <w:sz w:val="20"/>
                <w:szCs w:val="20"/>
                <w:lang w:val="en-AU" w:eastAsia="en-AU"/>
              </w:rPr>
              <w:t xml:space="preserve">, G. Chemotherapy interruptions in relation to symptom severity in advanced breast cancer. Supportive Care in Cancer. 2015; 23(11) 3183-3191.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https://dx.doi.org/10.1007/s00520-015-2698-5</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Rahbar, M. H.; Wyatt G Fau -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Alla</w:t>
            </w:r>
            <w:proofErr w:type="spell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Fau - Victorson, David; Victorson D Fau - </w:t>
            </w:r>
            <w:proofErr w:type="spellStart"/>
            <w:r w:rsidRPr="00A52C6D">
              <w:rPr>
                <w:rFonts w:eastAsia="Times New Roman" w:cs="Calibri"/>
                <w:color w:val="000000"/>
                <w:sz w:val="20"/>
                <w:szCs w:val="20"/>
                <w:lang w:val="en-AU" w:eastAsia="en-AU"/>
              </w:rPr>
              <w:t>Ardjomand-Hessabi</w:t>
            </w:r>
            <w:proofErr w:type="spellEnd"/>
            <w:r w:rsidRPr="00A52C6D">
              <w:rPr>
                <w:rFonts w:eastAsia="Times New Roman" w:cs="Calibri"/>
                <w:color w:val="000000"/>
                <w:sz w:val="20"/>
                <w:szCs w:val="20"/>
                <w:lang w:val="en-AU" w:eastAsia="en-AU"/>
              </w:rPr>
              <w:t xml:space="preserve">, Manouchehr; </w:t>
            </w:r>
            <w:proofErr w:type="spellStart"/>
            <w:r w:rsidRPr="00A52C6D">
              <w:rPr>
                <w:rFonts w:eastAsia="Times New Roman" w:cs="Calibri"/>
                <w:color w:val="000000"/>
                <w:sz w:val="20"/>
                <w:szCs w:val="20"/>
                <w:lang w:val="en-AU" w:eastAsia="en-AU"/>
              </w:rPr>
              <w:t>Ardjomand-Hessabi</w:t>
            </w:r>
            <w:proofErr w:type="spellEnd"/>
            <w:r w:rsidRPr="00A52C6D">
              <w:rPr>
                <w:rFonts w:eastAsia="Times New Roman" w:cs="Calibri"/>
                <w:color w:val="000000"/>
                <w:sz w:val="20"/>
                <w:szCs w:val="20"/>
                <w:lang w:val="en-AU" w:eastAsia="en-AU"/>
              </w:rPr>
              <w:t xml:space="preserve">, M.; </w:t>
            </w:r>
            <w:proofErr w:type="spellStart"/>
            <w:r w:rsidRPr="00A52C6D">
              <w:rPr>
                <w:rFonts w:eastAsia="Times New Roman" w:cs="Calibri"/>
                <w:color w:val="000000"/>
                <w:sz w:val="20"/>
                <w:szCs w:val="20"/>
                <w:lang w:val="en-AU" w:eastAsia="en-AU"/>
              </w:rPr>
              <w:t>Contemp</w:t>
            </w:r>
            <w:proofErr w:type="spellEnd"/>
            <w:r w:rsidRPr="00A52C6D">
              <w:rPr>
                <w:rFonts w:eastAsia="Times New Roman" w:cs="Calibri"/>
                <w:color w:val="000000"/>
                <w:sz w:val="20"/>
                <w:szCs w:val="20"/>
                <w:lang w:val="en-AU" w:eastAsia="en-AU"/>
              </w:rPr>
              <w:t xml:space="preserve"> Clin, Trials Coordination and management of multisite complementary and alternative medicine (CAM) therapies: experience from a multisite reflexology intervention trial. </w:t>
            </w:r>
            <w:proofErr w:type="spellStart"/>
            <w:r w:rsidRPr="00A52C6D">
              <w:rPr>
                <w:rFonts w:eastAsia="Times New Roman" w:cs="Calibri"/>
                <w:color w:val="000000"/>
                <w:sz w:val="20"/>
                <w:szCs w:val="20"/>
                <w:lang w:val="en-AU" w:eastAsia="en-AU"/>
              </w:rPr>
              <w:t>Contemp</w:t>
            </w:r>
            <w:proofErr w:type="spellEnd"/>
            <w:r w:rsidRPr="00A52C6D">
              <w:rPr>
                <w:rFonts w:eastAsia="Times New Roman" w:cs="Calibri"/>
                <w:color w:val="000000"/>
                <w:sz w:val="20"/>
                <w:szCs w:val="20"/>
                <w:lang w:val="en-AU" w:eastAsia="en-AU"/>
              </w:rPr>
              <w:t xml:space="preserve"> Clin Trials. 2011; 32(1559-2030 (Electronic)</w:t>
            </w:r>
            <w:proofErr w:type="gramStart"/>
            <w:r w:rsidRPr="00A52C6D">
              <w:rPr>
                <w:rFonts w:eastAsia="Times New Roman" w:cs="Calibri"/>
                <w:color w:val="000000"/>
                <w:sz w:val="20"/>
                <w:szCs w:val="20"/>
                <w:lang w:val="en-AU" w:eastAsia="en-AU"/>
              </w:rPr>
              <w:t>) .</w:t>
            </w:r>
            <w:proofErr w:type="gramEnd"/>
            <w:r w:rsidRPr="00A52C6D">
              <w:rPr>
                <w:rFonts w:eastAsia="Times New Roman" w:cs="Calibri"/>
                <w:color w:val="000000"/>
                <w:sz w:val="20"/>
                <w:szCs w:val="20"/>
                <w:lang w:val="en-AU" w:eastAsia="en-AU"/>
              </w:rPr>
              <w:t xml:space="preserve"> </w:t>
            </w:r>
            <w:r w:rsidRPr="00A52C6D">
              <w:rPr>
                <w:rFonts w:eastAsia="Times New Roman" w:cs="Calibri"/>
                <w:color w:val="000000"/>
                <w:sz w:val="20"/>
                <w:szCs w:val="20"/>
                <w:lang w:val="en-AU" w:eastAsia="en-AU"/>
              </w:rPr>
              <w:b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A.; You, M. Self-reported use of complementary and alternative medicine therapies in a reflexology randomized clinical trial. Alternative Therapies in Health and Medicine. 2013; 19(5) 45138.</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Rahbar, M. H.; Victorson, D.; Adams, L. Intervention fidelity: Aspects of complementary and alternative medicine research. Cancer Nursing. 2010; 33(5) 331-342.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w:t>
            </w:r>
            <w:hyperlink r:id="rId26" w:history="1">
              <w:r w:rsidRPr="00531F34">
                <w:rPr>
                  <w:rStyle w:val="Hyperlink"/>
                  <w:rFonts w:eastAsia="Times New Roman" w:cs="Calibri"/>
                  <w:sz w:val="20"/>
                  <w:szCs w:val="20"/>
                  <w:lang w:val="en-AU" w:eastAsia="en-AU"/>
                </w:rPr>
                <w:t>https://dx.doi.org/10.1097/NCC.0b013e3181d0b4b7</w:t>
              </w:r>
            </w:hyperlink>
          </w:p>
          <w:p w14:paraId="2B1023C0" w14:textId="77777777" w:rsidR="00C37F09" w:rsidRPr="00A52C6D" w:rsidRDefault="00C37F09" w:rsidP="00B76ED3">
            <w:pPr>
              <w:spacing w:after="0"/>
              <w:rPr>
                <w:rFonts w:eastAsia="Times New Roman" w:cs="Calibri"/>
                <w:color w:val="000000"/>
                <w:sz w:val="20"/>
                <w:szCs w:val="20"/>
                <w:lang w:val="en-AU" w:eastAsia="en-AU"/>
              </w:rPr>
            </w:pPr>
          </w:p>
        </w:tc>
      </w:tr>
      <w:tr w:rsidR="00C37F09" w:rsidRPr="00A52C6D" w14:paraId="61A57326" w14:textId="77777777" w:rsidTr="00B76ED3">
        <w:trPr>
          <w:trHeight w:val="3191"/>
        </w:trPr>
        <w:tc>
          <w:tcPr>
            <w:tcW w:w="2156" w:type="dxa"/>
            <w:shd w:val="clear" w:color="auto" w:fill="auto"/>
            <w:noWrap/>
            <w:hideMark/>
          </w:tcPr>
          <w:p w14:paraId="7AA15014" w14:textId="77777777" w:rsidR="00C37F09" w:rsidRPr="00A52C6D" w:rsidRDefault="00C37F09" w:rsidP="00B76ED3">
            <w:pPr>
              <w:spacing w:after="0"/>
              <w:rPr>
                <w:rFonts w:eastAsia="Times New Roman" w:cs="Calibri"/>
                <w:b/>
                <w:color w:val="002060"/>
                <w:sz w:val="20"/>
                <w:szCs w:val="20"/>
                <w:lang w:val="en-AU" w:eastAsia="en-AU"/>
              </w:rPr>
            </w:pPr>
            <w:r w:rsidRPr="00A52C6D">
              <w:rPr>
                <w:rFonts w:eastAsia="Times New Roman" w:cs="Calibri"/>
                <w:b/>
                <w:color w:val="002060"/>
                <w:sz w:val="20"/>
                <w:szCs w:val="20"/>
                <w:lang w:val="en-AU" w:eastAsia="en-AU"/>
              </w:rPr>
              <w:t>Wyatt 2017.1</w:t>
            </w:r>
          </w:p>
        </w:tc>
        <w:tc>
          <w:tcPr>
            <w:tcW w:w="7371" w:type="dxa"/>
            <w:shd w:val="clear" w:color="auto" w:fill="auto"/>
            <w:hideMark/>
          </w:tcPr>
          <w:p w14:paraId="198A171D" w14:textId="77777777" w:rsidR="00C37F09" w:rsidRPr="00A52C6D" w:rsidRDefault="00C37F09" w:rsidP="00B76ED3">
            <w:pPr>
              <w:spacing w:after="0"/>
              <w:rPr>
                <w:rFonts w:eastAsia="Times New Roman" w:cs="Calibri"/>
                <w:color w:val="000000"/>
                <w:sz w:val="20"/>
                <w:szCs w:val="20"/>
                <w:lang w:val="en-AU" w:eastAsia="en-AU"/>
              </w:rPr>
            </w:pPr>
            <w:r w:rsidRPr="00A52C6D">
              <w:rPr>
                <w:rFonts w:eastAsia="Times New Roman" w:cs="Calibri"/>
                <w:color w:val="000000"/>
                <w:sz w:val="20"/>
                <w:szCs w:val="20"/>
                <w:lang w:val="en-AU" w:eastAsia="en-AU"/>
              </w:rP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Tesnjak</w:t>
            </w:r>
            <w:proofErr w:type="spellEnd"/>
            <w:r w:rsidRPr="00A52C6D">
              <w:rPr>
                <w:rFonts w:eastAsia="Times New Roman" w:cs="Calibri"/>
                <w:color w:val="000000"/>
                <w:sz w:val="20"/>
                <w:szCs w:val="20"/>
                <w:lang w:val="en-AU" w:eastAsia="en-AU"/>
              </w:rPr>
              <w:t xml:space="preserve">, I.; Frambes, D.; Holmstrom, A.; Luo, Z.; Victorson, D.; </w:t>
            </w:r>
            <w:proofErr w:type="spellStart"/>
            <w:r w:rsidRPr="00A52C6D">
              <w:rPr>
                <w:rFonts w:eastAsia="Times New Roman" w:cs="Calibri"/>
                <w:color w:val="000000"/>
                <w:sz w:val="20"/>
                <w:szCs w:val="20"/>
                <w:lang w:val="en-AU" w:eastAsia="en-AU"/>
              </w:rPr>
              <w:t>Tamkus</w:t>
            </w:r>
            <w:proofErr w:type="spellEnd"/>
            <w:r w:rsidRPr="00A52C6D">
              <w:rPr>
                <w:rFonts w:eastAsia="Times New Roman" w:cs="Calibri"/>
                <w:color w:val="000000"/>
                <w:sz w:val="20"/>
                <w:szCs w:val="20"/>
                <w:lang w:val="en-AU" w:eastAsia="en-AU"/>
              </w:rPr>
              <w:t xml:space="preserve">, D. A Randomized Clinical Trial of Caregiver-Delivered Reflexology for Symptom Management During Breast Cancer Treatment. Journal of Pain and Symptom Management. 2017; 54(5) 670-679.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10.1016/j.jpainsymman.2017.07.037</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Miller, M.; Xu, D.; Lehto, R.; Moser, J.; Wu, H. S.; Wyatt, G. Pain and spirituality outcomes among women with advanced breast cancer participating in a foot reflexology trial. Oncology Nursing Forum. 2021; 48(1) 31-43.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https://dx.doi.org/10.1188/21.ONF.31-43          </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Niyogi, P. G.; Victorson, D.; </w:t>
            </w:r>
            <w:proofErr w:type="spellStart"/>
            <w:r w:rsidRPr="00A52C6D">
              <w:rPr>
                <w:rFonts w:eastAsia="Times New Roman" w:cs="Calibri"/>
                <w:color w:val="000000"/>
                <w:sz w:val="20"/>
                <w:szCs w:val="20"/>
                <w:lang w:val="en-AU" w:eastAsia="en-AU"/>
              </w:rPr>
              <w:t>Tamkus</w:t>
            </w:r>
            <w:proofErr w:type="spellEnd"/>
            <w:r w:rsidRPr="00A52C6D">
              <w:rPr>
                <w:rFonts w:eastAsia="Times New Roman" w:cs="Calibri"/>
                <w:color w:val="000000"/>
                <w:sz w:val="20"/>
                <w:szCs w:val="20"/>
                <w:lang w:val="en-AU" w:eastAsia="en-AU"/>
              </w:rPr>
              <w:t xml:space="preserve">, D.; Wyatt, G. Symptom response analysis of a randomized controlled trial of reflexology for symptom management among women with advanced breast cancer. Supportive Care in Cancer. 2020; 28(3) 1395-1404.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https://dx.doi.org/10.1007/s00520-019-04959-y</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lastRenderedPageBreak/>
              <w:br/>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Niyogi, P. G.; Victorson, D.; </w:t>
            </w:r>
            <w:proofErr w:type="spellStart"/>
            <w:r w:rsidRPr="00A52C6D">
              <w:rPr>
                <w:rFonts w:eastAsia="Times New Roman" w:cs="Calibri"/>
                <w:color w:val="000000"/>
                <w:sz w:val="20"/>
                <w:szCs w:val="20"/>
                <w:lang w:val="en-AU" w:eastAsia="en-AU"/>
              </w:rPr>
              <w:t>Tamkus</w:t>
            </w:r>
            <w:proofErr w:type="spellEnd"/>
            <w:r w:rsidRPr="00A52C6D">
              <w:rPr>
                <w:rFonts w:eastAsia="Times New Roman" w:cs="Calibri"/>
                <w:color w:val="000000"/>
                <w:sz w:val="20"/>
                <w:szCs w:val="20"/>
                <w:lang w:val="en-AU" w:eastAsia="en-AU"/>
              </w:rPr>
              <w:t xml:space="preserve">, D.; Wyatt, G. Managing symptoms via home-based caregiver-delivered reflexology: symptom response analysis of a randomized controlled trial. Psycho-Oncology. 2019; 28() 12.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xml:space="preserve">: 10.1002/pon.4986     </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Frambes, D.;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Tesnjak</w:t>
            </w:r>
            <w:proofErr w:type="spellEnd"/>
            <w:r w:rsidRPr="00A52C6D">
              <w:rPr>
                <w:rFonts w:eastAsia="Times New Roman" w:cs="Calibri"/>
                <w:color w:val="000000"/>
                <w:sz w:val="20"/>
                <w:szCs w:val="20"/>
                <w:lang w:val="en-AU" w:eastAsia="en-AU"/>
              </w:rPr>
              <w:t xml:space="preserve">, I.; Wyatt, G.; Lehto, R.; Given, B. Caregiver-reported health outcomes: Effects of providing reflexology for symptom management to women with advanced breast cancer. Oncology Nursing Forum. 2017; 44(5) 596-605.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https://dx.doi.org/10.1188/17.ONF.596-605</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Frambes, D. Intervention fidelity: promoting health-related quality of life in a reflexology randomized control trial using lay-providers. Psycho-Oncology. 2014; 23() 118-119.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10.1002/pon.3478</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Frambes, D.; Lehto, R.;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Tesnjak</w:t>
            </w:r>
            <w:proofErr w:type="spellEnd"/>
            <w:r w:rsidRPr="00A52C6D">
              <w:rPr>
                <w:rFonts w:eastAsia="Times New Roman" w:cs="Calibri"/>
                <w:color w:val="000000"/>
                <w:sz w:val="20"/>
                <w:szCs w:val="20"/>
                <w:lang w:val="en-AU" w:eastAsia="en-AU"/>
              </w:rPr>
              <w:t xml:space="preserve">, I.; Given, B.; Wyatt, G. Fidelity scorecard: evaluation of a caregiver-delivered symptom management intervention. Journal of Advanced Nursing. 2017; 73(8) 2012-2021.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https://dx.doi.org/10.1111/jan.13266</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Holmstrom, A. J.; Wyatt, G. K.;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Musatics</w:t>
            </w:r>
            <w:proofErr w:type="spellEnd"/>
            <w:r w:rsidRPr="00A52C6D">
              <w:rPr>
                <w:rFonts w:eastAsia="Times New Roman" w:cs="Calibri"/>
                <w:color w:val="000000"/>
                <w:sz w:val="20"/>
                <w:szCs w:val="20"/>
                <w:lang w:val="en-AU" w:eastAsia="en-AU"/>
              </w:rPr>
              <w:t xml:space="preserve">, C.; Stolz, E.; Havener, N. Dyadic recruitment in complementary therapy studies: Experience from a clinical trial of caregiver-delivered reflexology. Applied Nursing Research. 2016; 29() 136-139.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https://dx.doi.org/10.1016/j.apnr.2015.05.019</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Tesnjak</w:t>
            </w:r>
            <w:proofErr w:type="spellEnd"/>
            <w:r w:rsidRPr="00A52C6D">
              <w:rPr>
                <w:rFonts w:eastAsia="Times New Roman" w:cs="Calibri"/>
                <w:color w:val="000000"/>
                <w:sz w:val="20"/>
                <w:szCs w:val="20"/>
                <w:lang w:val="en-AU" w:eastAsia="en-AU"/>
              </w:rPr>
              <w:t xml:space="preserve">, I.; Frambes, D.; Holmstrom, A.; Luo, Z. Psychosocial outcomes of a </w:t>
            </w:r>
            <w:proofErr w:type="spellStart"/>
            <w:r w:rsidRPr="00A52C6D">
              <w:rPr>
                <w:rFonts w:eastAsia="Times New Roman" w:cs="Calibri"/>
                <w:color w:val="000000"/>
                <w:sz w:val="20"/>
                <w:szCs w:val="20"/>
                <w:lang w:val="en-AU" w:eastAsia="en-AU"/>
              </w:rPr>
              <w:t>caregiverdelivered</w:t>
            </w:r>
            <w:proofErr w:type="spellEnd"/>
            <w:r w:rsidRPr="00A52C6D">
              <w:rPr>
                <w:rFonts w:eastAsia="Times New Roman" w:cs="Calibri"/>
                <w:color w:val="000000"/>
                <w:sz w:val="20"/>
                <w:szCs w:val="20"/>
                <w:lang w:val="en-AU" w:eastAsia="en-AU"/>
              </w:rPr>
              <w:t xml:space="preserve"> intervention. Psycho-Oncology. 2017; 26() 99.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10.1002/pon.4354</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Wyatt, G.; Rottman, B.; Crane, T. The role of expectancy in supportive care therapy </w:t>
            </w:r>
            <w:proofErr w:type="gramStart"/>
            <w:r w:rsidRPr="00A52C6D">
              <w:rPr>
                <w:rFonts w:eastAsia="Times New Roman" w:cs="Calibri"/>
                <w:color w:val="000000"/>
                <w:sz w:val="20"/>
                <w:szCs w:val="20"/>
                <w:lang w:val="en-AU" w:eastAsia="en-AU"/>
              </w:rPr>
              <w:t>use</w:t>
            </w:r>
            <w:proofErr w:type="gramEnd"/>
            <w:r w:rsidRPr="00A52C6D">
              <w:rPr>
                <w:rFonts w:eastAsia="Times New Roman" w:cs="Calibri"/>
                <w:color w:val="000000"/>
                <w:sz w:val="20"/>
                <w:szCs w:val="20"/>
                <w:lang w:val="en-AU" w:eastAsia="en-AU"/>
              </w:rPr>
              <w:t xml:space="preserve"> and symptom outcomes among women with advanced breast cancer. Psycho-Oncology. 2018; 27() 89.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10.1002/pon.4623</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Victorson, D.; O'Connor, P.; Hankin, V.; </w:t>
            </w:r>
            <w:proofErr w:type="spellStart"/>
            <w:r w:rsidRPr="00A52C6D">
              <w:rPr>
                <w:rFonts w:eastAsia="Times New Roman" w:cs="Calibri"/>
                <w:color w:val="000000"/>
                <w:sz w:val="20"/>
                <w:szCs w:val="20"/>
                <w:lang w:val="en-AU" w:eastAsia="en-AU"/>
              </w:rPr>
              <w:t>Safikhani</w:t>
            </w:r>
            <w:proofErr w:type="spellEnd"/>
            <w:r w:rsidRPr="00A52C6D">
              <w:rPr>
                <w:rFonts w:eastAsia="Times New Roman" w:cs="Calibri"/>
                <w:color w:val="000000"/>
                <w:sz w:val="20"/>
                <w:szCs w:val="20"/>
                <w:lang w:val="en-AU" w:eastAsia="en-AU"/>
              </w:rPr>
              <w:t xml:space="preserve">, A.; Crane, T.; Badger, T.; Wyatt, G. PROMIS and legacy measures compared in a supportive care intervention for breast cancer patients and caregivers: Experience from a randomized trial. Psycho-Oncology. 2018; 27(9) 2265-2273.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https://dx.doi.org/10.1002/pon.4825</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Luo, Z.; Wang, L.;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Wyatt, G. Healthcare service utilization and work-related productivity in reflexology intervention for advanced breast cancer women. Supportive Care in Cancer. 2019; 27(8) 2837-2847.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https://dx.doi.org/10.1007/s00520-018-4592-4</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Rottman, B. M.; Wyatt, G.; Crane, T. E.;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Expectancy and Utilisation of Reflexology among Women with Advanced Breast Cancer. Applied Psychology: Health and Well-Being. 2020; 12(2) 493-512.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https://dx.doi.org/10.1111/aphw.12194</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Patient reported outcomes: </w:t>
            </w:r>
            <w:proofErr w:type="spellStart"/>
            <w:r w:rsidRPr="00A52C6D">
              <w:rPr>
                <w:rFonts w:eastAsia="Times New Roman" w:cs="Calibri"/>
                <w:color w:val="000000"/>
                <w:sz w:val="20"/>
                <w:szCs w:val="20"/>
                <w:lang w:val="en-AU" w:eastAsia="en-AU"/>
              </w:rPr>
              <w:t>promis</w:t>
            </w:r>
            <w:proofErr w:type="spellEnd"/>
            <w:r w:rsidRPr="00A52C6D">
              <w:rPr>
                <w:rFonts w:eastAsia="Times New Roman" w:cs="Calibri"/>
                <w:color w:val="000000"/>
                <w:sz w:val="20"/>
                <w:szCs w:val="20"/>
                <w:lang w:val="en-AU" w:eastAsia="en-AU"/>
              </w:rPr>
              <w:t xml:space="preserve"> and legacy measures. Psycho-Oncology. 2013; 22() 21.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10.10002/pon.3245</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t xml:space="preserve">Wyatt, G.; </w:t>
            </w:r>
            <w:proofErr w:type="spellStart"/>
            <w:r w:rsidRPr="00A52C6D">
              <w:rPr>
                <w:rFonts w:eastAsia="Times New Roman" w:cs="Calibri"/>
                <w:color w:val="000000"/>
                <w:sz w:val="20"/>
                <w:szCs w:val="20"/>
                <w:lang w:val="en-AU" w:eastAsia="en-AU"/>
              </w:rPr>
              <w:t>Sikorskii</w:t>
            </w:r>
            <w:proofErr w:type="spellEnd"/>
            <w:r w:rsidRPr="00A52C6D">
              <w:rPr>
                <w:rFonts w:eastAsia="Times New Roman" w:cs="Calibri"/>
                <w:color w:val="000000"/>
                <w:sz w:val="20"/>
                <w:szCs w:val="20"/>
                <w:lang w:val="en-AU" w:eastAsia="en-AU"/>
              </w:rPr>
              <w:t xml:space="preserve">, A.; </w:t>
            </w:r>
            <w:proofErr w:type="spellStart"/>
            <w:r w:rsidRPr="00A52C6D">
              <w:rPr>
                <w:rFonts w:eastAsia="Times New Roman" w:cs="Calibri"/>
                <w:color w:val="000000"/>
                <w:sz w:val="20"/>
                <w:szCs w:val="20"/>
                <w:lang w:val="en-AU" w:eastAsia="en-AU"/>
              </w:rPr>
              <w:t>Tesnjak</w:t>
            </w:r>
            <w:proofErr w:type="spellEnd"/>
            <w:r w:rsidRPr="00A52C6D">
              <w:rPr>
                <w:rFonts w:eastAsia="Times New Roman" w:cs="Calibri"/>
                <w:color w:val="000000"/>
                <w:sz w:val="20"/>
                <w:szCs w:val="20"/>
                <w:lang w:val="en-AU" w:eastAsia="en-AU"/>
              </w:rPr>
              <w:t xml:space="preserve">, I.; Frambes, D.; Holmstrom, A.; Luo, Z. Psychosocial care: caregiver involvement in symptom management. Psycho-Oncology. 2016; 25() 103.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10.1002/pon.4272</w:t>
            </w:r>
          </w:p>
        </w:tc>
      </w:tr>
      <w:tr w:rsidR="00C37F09" w:rsidRPr="00A52C6D" w14:paraId="18A65782" w14:textId="77777777" w:rsidTr="00B76ED3">
        <w:trPr>
          <w:trHeight w:val="900"/>
        </w:trPr>
        <w:tc>
          <w:tcPr>
            <w:tcW w:w="2156" w:type="dxa"/>
            <w:shd w:val="clear" w:color="auto" w:fill="auto"/>
            <w:noWrap/>
            <w:hideMark/>
          </w:tcPr>
          <w:p w14:paraId="233F5AD0"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lastRenderedPageBreak/>
              <w:t>Yılar</w:t>
            </w:r>
            <w:proofErr w:type="spellEnd"/>
            <w:r w:rsidRPr="00A52C6D">
              <w:rPr>
                <w:rFonts w:eastAsia="Times New Roman" w:cs="Calibri"/>
                <w:b/>
                <w:color w:val="002060"/>
                <w:sz w:val="20"/>
                <w:szCs w:val="20"/>
                <w:lang w:val="en-AU" w:eastAsia="en-AU"/>
              </w:rPr>
              <w:t xml:space="preserve"> Erkek 2018</w:t>
            </w:r>
          </w:p>
        </w:tc>
        <w:tc>
          <w:tcPr>
            <w:tcW w:w="7371" w:type="dxa"/>
            <w:shd w:val="clear" w:color="auto" w:fill="auto"/>
            <w:hideMark/>
          </w:tcPr>
          <w:p w14:paraId="508BA784"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Yılar</w:t>
            </w:r>
            <w:proofErr w:type="spellEnd"/>
            <w:r w:rsidRPr="00A52C6D">
              <w:rPr>
                <w:rFonts w:eastAsia="Times New Roman" w:cs="Calibri"/>
                <w:color w:val="000000"/>
                <w:sz w:val="20"/>
                <w:szCs w:val="20"/>
                <w:lang w:val="en-AU" w:eastAsia="en-AU"/>
              </w:rPr>
              <w:t xml:space="preserve"> Erkek, Z.; </w:t>
            </w:r>
            <w:proofErr w:type="spellStart"/>
            <w:r w:rsidRPr="00A52C6D">
              <w:rPr>
                <w:rFonts w:eastAsia="Times New Roman" w:cs="Calibri"/>
                <w:color w:val="000000"/>
                <w:sz w:val="20"/>
                <w:szCs w:val="20"/>
                <w:lang w:val="en-AU" w:eastAsia="en-AU"/>
              </w:rPr>
              <w:t>Aktas</w:t>
            </w:r>
            <w:proofErr w:type="spellEnd"/>
            <w:r w:rsidRPr="00A52C6D">
              <w:rPr>
                <w:rFonts w:eastAsia="Times New Roman" w:cs="Calibri"/>
                <w:color w:val="000000"/>
                <w:sz w:val="20"/>
                <w:szCs w:val="20"/>
                <w:lang w:val="en-AU" w:eastAsia="en-AU"/>
              </w:rPr>
              <w:t xml:space="preserve">, S. The Effect of Foot Reflexology on the Anxiety Levels of Women in Labor. Journal of alternative and complementary medicine (New York, N.Y.). 2018; 24(4) 352-360.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10.1089/acm.2017.0263</w:t>
            </w:r>
          </w:p>
        </w:tc>
      </w:tr>
      <w:tr w:rsidR="00C37F09" w:rsidRPr="00A52C6D" w14:paraId="645D208F" w14:textId="77777777" w:rsidTr="00B76ED3">
        <w:trPr>
          <w:trHeight w:val="4200"/>
        </w:trPr>
        <w:tc>
          <w:tcPr>
            <w:tcW w:w="2156" w:type="dxa"/>
            <w:shd w:val="clear" w:color="auto" w:fill="auto"/>
            <w:noWrap/>
            <w:hideMark/>
          </w:tcPr>
          <w:p w14:paraId="4077E6ED" w14:textId="77777777" w:rsidR="00C37F09" w:rsidRPr="00A52C6D" w:rsidRDefault="00C37F09" w:rsidP="00B76ED3">
            <w:pPr>
              <w:spacing w:after="0"/>
              <w:rPr>
                <w:rFonts w:eastAsia="Times New Roman" w:cs="Calibri"/>
                <w:b/>
                <w:color w:val="002060"/>
                <w:sz w:val="20"/>
                <w:szCs w:val="20"/>
                <w:lang w:val="en-AU" w:eastAsia="en-AU"/>
              </w:rPr>
            </w:pPr>
            <w:proofErr w:type="spellStart"/>
            <w:r w:rsidRPr="00A52C6D">
              <w:rPr>
                <w:rFonts w:eastAsia="Times New Roman" w:cs="Calibri"/>
                <w:b/>
                <w:color w:val="002060"/>
                <w:sz w:val="20"/>
                <w:szCs w:val="20"/>
                <w:lang w:val="en-AU" w:eastAsia="en-AU"/>
              </w:rPr>
              <w:lastRenderedPageBreak/>
              <w:t>Topcu</w:t>
            </w:r>
            <w:proofErr w:type="spellEnd"/>
            <w:r w:rsidRPr="00A52C6D">
              <w:rPr>
                <w:rFonts w:eastAsia="Times New Roman" w:cs="Calibri"/>
                <w:b/>
                <w:color w:val="002060"/>
                <w:sz w:val="20"/>
                <w:szCs w:val="20"/>
                <w:lang w:val="en-AU" w:eastAsia="en-AU"/>
              </w:rPr>
              <w:t xml:space="preserve"> 2020.1</w:t>
            </w:r>
          </w:p>
        </w:tc>
        <w:tc>
          <w:tcPr>
            <w:tcW w:w="7371" w:type="dxa"/>
            <w:shd w:val="clear" w:color="auto" w:fill="auto"/>
            <w:hideMark/>
          </w:tcPr>
          <w:p w14:paraId="52E2DDA0" w14:textId="77777777" w:rsidR="00C37F09" w:rsidRPr="00A52C6D" w:rsidRDefault="00C37F09" w:rsidP="00B76ED3">
            <w:pPr>
              <w:spacing w:after="0"/>
              <w:rPr>
                <w:rFonts w:eastAsia="Times New Roman" w:cs="Calibri"/>
                <w:color w:val="000000"/>
                <w:sz w:val="20"/>
                <w:szCs w:val="20"/>
                <w:lang w:val="en-AU" w:eastAsia="en-AU"/>
              </w:rPr>
            </w:pPr>
            <w:proofErr w:type="spellStart"/>
            <w:r w:rsidRPr="00A52C6D">
              <w:rPr>
                <w:rFonts w:eastAsia="Times New Roman" w:cs="Calibri"/>
                <w:color w:val="000000"/>
                <w:sz w:val="20"/>
                <w:szCs w:val="20"/>
                <w:lang w:val="en-AU" w:eastAsia="en-AU"/>
              </w:rPr>
              <w:t>Topcu</w:t>
            </w:r>
            <w:proofErr w:type="spellEnd"/>
            <w:r w:rsidRPr="00A52C6D">
              <w:rPr>
                <w:rFonts w:eastAsia="Times New Roman" w:cs="Calibri"/>
                <w:color w:val="000000"/>
                <w:sz w:val="20"/>
                <w:szCs w:val="20"/>
                <w:lang w:val="en-AU" w:eastAsia="en-AU"/>
              </w:rPr>
              <w:t xml:space="preserve">, A.; Løkke, A.; Eriksen, L.; Nielsen, L. P.; Dahl, R. Evaluating the effect on asthma quality of life of added reflexology or homeopathy to conventional asthma management - an investigator-blinded, randomised, controlled parallel group study. </w:t>
            </w:r>
            <w:proofErr w:type="spellStart"/>
            <w:r w:rsidRPr="00A52C6D">
              <w:rPr>
                <w:rFonts w:eastAsia="Times New Roman" w:cs="Calibri"/>
                <w:color w:val="000000"/>
                <w:sz w:val="20"/>
                <w:szCs w:val="20"/>
                <w:lang w:val="en-AU" w:eastAsia="en-AU"/>
              </w:rPr>
              <w:t>Eur</w:t>
            </w:r>
            <w:proofErr w:type="spellEnd"/>
            <w:r w:rsidRPr="00A52C6D">
              <w:rPr>
                <w:rFonts w:eastAsia="Times New Roman" w:cs="Calibri"/>
                <w:color w:val="000000"/>
                <w:sz w:val="20"/>
                <w:szCs w:val="20"/>
                <w:lang w:val="en-AU" w:eastAsia="en-AU"/>
              </w:rPr>
              <w:t xml:space="preserve"> Clin Respir J. 2020; 7(1) 1793526.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10.1080/20018525.2020.1793526</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Topcu</w:t>
            </w:r>
            <w:proofErr w:type="spellEnd"/>
            <w:r w:rsidRPr="00A52C6D">
              <w:rPr>
                <w:rFonts w:eastAsia="Times New Roman" w:cs="Calibri"/>
                <w:color w:val="000000"/>
                <w:sz w:val="20"/>
                <w:szCs w:val="20"/>
                <w:lang w:val="en-AU" w:eastAsia="en-AU"/>
              </w:rPr>
              <w:t xml:space="preserve">, A.; Løkke, A.; Eriksen, L.; Nielsen, L. P.; Dahl, R. The impact of reflexology and homeopathy added to conventional asthma treatment on markers of airway inflammation - a randomised study. </w:t>
            </w:r>
            <w:proofErr w:type="spellStart"/>
            <w:r w:rsidRPr="00A52C6D">
              <w:rPr>
                <w:rFonts w:eastAsia="Times New Roman" w:cs="Calibri"/>
                <w:color w:val="000000"/>
                <w:sz w:val="20"/>
                <w:szCs w:val="20"/>
                <w:lang w:val="en-AU" w:eastAsia="en-AU"/>
              </w:rPr>
              <w:t>Eur</w:t>
            </w:r>
            <w:proofErr w:type="spellEnd"/>
            <w:r w:rsidRPr="00A52C6D">
              <w:rPr>
                <w:rFonts w:eastAsia="Times New Roman" w:cs="Calibri"/>
                <w:color w:val="000000"/>
                <w:sz w:val="20"/>
                <w:szCs w:val="20"/>
                <w:lang w:val="en-AU" w:eastAsia="en-AU"/>
              </w:rPr>
              <w:t xml:space="preserve"> Clin Respir J. 2020; 7(1) 1726153.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10.1080/20018525.2020.1726153</w:t>
            </w:r>
            <w:r w:rsidRPr="00A52C6D">
              <w:rPr>
                <w:rFonts w:eastAsia="Times New Roman" w:cs="Calibri"/>
                <w:color w:val="000000"/>
                <w:sz w:val="20"/>
                <w:szCs w:val="20"/>
                <w:lang w:val="en-AU" w:eastAsia="en-AU"/>
              </w:rPr>
              <w:br/>
            </w:r>
            <w:r w:rsidRPr="00A52C6D">
              <w:rPr>
                <w:rFonts w:eastAsia="Times New Roman" w:cs="Calibri"/>
                <w:color w:val="000000"/>
                <w:sz w:val="20"/>
                <w:szCs w:val="20"/>
                <w:lang w:val="en-AU" w:eastAsia="en-AU"/>
              </w:rPr>
              <w:br/>
            </w:r>
            <w:proofErr w:type="spellStart"/>
            <w:r w:rsidRPr="00A52C6D">
              <w:rPr>
                <w:rFonts w:eastAsia="Times New Roman" w:cs="Calibri"/>
                <w:color w:val="000000"/>
                <w:sz w:val="20"/>
                <w:szCs w:val="20"/>
                <w:lang w:val="en-AU" w:eastAsia="en-AU"/>
              </w:rPr>
              <w:t>Topcu</w:t>
            </w:r>
            <w:proofErr w:type="spellEnd"/>
            <w:r w:rsidRPr="00A52C6D">
              <w:rPr>
                <w:rFonts w:eastAsia="Times New Roman" w:cs="Calibri"/>
                <w:color w:val="000000"/>
                <w:sz w:val="20"/>
                <w:szCs w:val="20"/>
                <w:lang w:val="en-AU" w:eastAsia="en-AU"/>
              </w:rPr>
              <w:t>, A.; Ottesen, A. L.; Eriksen, L.; Nielsen, L. P.; Dahl, R. The Impact of Reflexology and Homeopathy Added to Conventional ASTHMA Treatment on Markers of Airway Inflammation - A Randomised Study. European respiratory journal. 2020; 56(</w:t>
            </w:r>
            <w:proofErr w:type="gramStart"/>
            <w:r w:rsidRPr="00A52C6D">
              <w:rPr>
                <w:rFonts w:eastAsia="Times New Roman" w:cs="Calibri"/>
                <w:color w:val="000000"/>
                <w:sz w:val="20"/>
                <w:szCs w:val="20"/>
                <w:lang w:val="en-AU" w:eastAsia="en-AU"/>
              </w:rPr>
              <w:t>) .</w:t>
            </w:r>
            <w:proofErr w:type="gramEnd"/>
            <w:r w:rsidRPr="00A52C6D">
              <w:rPr>
                <w:rFonts w:eastAsia="Times New Roman" w:cs="Calibri"/>
                <w:color w:val="000000"/>
                <w:sz w:val="20"/>
                <w:szCs w:val="20"/>
                <w:lang w:val="en-AU" w:eastAsia="en-AU"/>
              </w:rPr>
              <w:t xml:space="preserve"> </w:t>
            </w:r>
            <w:proofErr w:type="spellStart"/>
            <w:r w:rsidRPr="00A52C6D">
              <w:rPr>
                <w:rFonts w:eastAsia="Times New Roman" w:cs="Calibri"/>
                <w:color w:val="000000"/>
                <w:sz w:val="20"/>
                <w:szCs w:val="20"/>
                <w:lang w:val="en-AU" w:eastAsia="en-AU"/>
              </w:rPr>
              <w:t>doi</w:t>
            </w:r>
            <w:proofErr w:type="spellEnd"/>
            <w:r w:rsidRPr="00A52C6D">
              <w:rPr>
                <w:rFonts w:eastAsia="Times New Roman" w:cs="Calibri"/>
                <w:color w:val="000000"/>
                <w:sz w:val="20"/>
                <w:szCs w:val="20"/>
                <w:lang w:val="en-AU" w:eastAsia="en-AU"/>
              </w:rPr>
              <w:t>: 10.1183/13993003.congress-2020.2620</w:t>
            </w:r>
          </w:p>
        </w:tc>
      </w:tr>
    </w:tbl>
    <w:p w14:paraId="60ED3596" w14:textId="7258F150" w:rsidR="009A45C2" w:rsidRPr="009A45C2" w:rsidRDefault="009A45C2" w:rsidP="009A45C2"/>
    <w:sectPr w:rsidR="009A45C2" w:rsidRPr="009A45C2" w:rsidSect="006F1F3C">
      <w:headerReference w:type="default" r:id="rId27"/>
      <w:pgSz w:w="11900" w:h="16840"/>
      <w:pgMar w:top="720" w:right="720" w:bottom="720" w:left="720" w:header="680" w:footer="62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0402D" w14:textId="77777777" w:rsidR="003E34EE" w:rsidRDefault="003E34EE" w:rsidP="009B2B1B">
      <w:r>
        <w:separator/>
      </w:r>
    </w:p>
  </w:endnote>
  <w:endnote w:type="continuationSeparator" w:id="0">
    <w:p w14:paraId="07DB2D76" w14:textId="77777777" w:rsidR="003E34EE" w:rsidRDefault="003E34EE" w:rsidP="009B2B1B">
      <w:r>
        <w:continuationSeparator/>
      </w:r>
    </w:p>
  </w:endnote>
  <w:endnote w:type="continuationNotice" w:id="1">
    <w:p w14:paraId="06638C1E" w14:textId="77777777" w:rsidR="003E34EE" w:rsidRDefault="003E34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2926" w14:textId="77777777" w:rsidR="00E91762" w:rsidRPr="000D65FA" w:rsidRDefault="00E91762" w:rsidP="009B2B1B">
    <w:pPr>
      <w:pStyle w:val="Footer"/>
    </w:pPr>
    <w:r w:rsidRPr="000D65FA">
      <w:t>Trusted evidence.</w:t>
    </w:r>
  </w:p>
  <w:p w14:paraId="0AE27704" w14:textId="77777777" w:rsidR="00E91762" w:rsidRPr="000D65FA" w:rsidRDefault="00E91762" w:rsidP="009B2B1B">
    <w:pPr>
      <w:pStyle w:val="Footer"/>
    </w:pPr>
    <w:r w:rsidRPr="000D65FA">
      <w:t>Informed decisions.</w:t>
    </w:r>
  </w:p>
  <w:p w14:paraId="2CFC909F" w14:textId="77777777" w:rsidR="00E91762" w:rsidRPr="000D65FA" w:rsidRDefault="00E91762" w:rsidP="009B2B1B">
    <w:pPr>
      <w:pStyle w:val="Footer"/>
    </w:pPr>
    <w:r w:rsidRPr="000D65FA">
      <w:t>Better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EE7F" w14:textId="77777777" w:rsidR="00E91762" w:rsidRPr="00230F3C" w:rsidRDefault="00E91762" w:rsidP="00A31ABF">
    <w:pPr>
      <w:pStyle w:val="Footer"/>
      <w:spacing w:after="0"/>
      <w:rPr>
        <w:rFonts w:eastAsia="Source Sans Pro"/>
        <w:color w:val="000000"/>
        <w:sz w:val="6"/>
        <w:szCs w:val="6"/>
      </w:rPr>
    </w:pPr>
  </w:p>
  <w:p w14:paraId="04A476BA" w14:textId="68CE654B" w:rsidR="00E91762" w:rsidRPr="00A31ABF" w:rsidRDefault="00E91762" w:rsidP="00CB6DB3">
    <w:pPr>
      <w:pStyle w:val="Footer"/>
      <w:tabs>
        <w:tab w:val="clear" w:pos="9026"/>
        <w:tab w:val="right" w:pos="10348"/>
      </w:tabs>
      <w:rPr>
        <w:sz w:val="18"/>
        <w:szCs w:val="18"/>
      </w:rPr>
    </w:pPr>
    <w:r w:rsidRPr="0051183C">
      <w:rPr>
        <w:sz w:val="18"/>
        <w:szCs w:val="18"/>
      </w:rPr>
      <w:t>Reflexology f</w:t>
    </w:r>
    <w:r w:rsidRPr="00A14A99">
      <w:rPr>
        <w:sz w:val="18"/>
        <w:szCs w:val="18"/>
      </w:rPr>
      <w:t>or any health condition: systematic review</w:t>
    </w:r>
    <w:r>
      <w:rPr>
        <w:sz w:val="18"/>
        <w:szCs w:val="18"/>
      </w:rPr>
      <w:t xml:space="preserve"> report Appendix D</w:t>
    </w:r>
    <w:r w:rsidRPr="00A14A99">
      <w:rPr>
        <w:sz w:val="18"/>
        <w:szCs w:val="18"/>
      </w:rPr>
      <w:t xml:space="preserve"> (PROSPERO ID. </w:t>
    </w:r>
    <w:r w:rsidRPr="00C37F09">
      <w:rPr>
        <w:sz w:val="18"/>
        <w:szCs w:val="18"/>
      </w:rPr>
      <w:t>CRD42023394291</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Pr>
        <w:sz w:val="18"/>
        <w:szCs w:val="18"/>
      </w:rPr>
      <w:t>15</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29424" w14:textId="77777777" w:rsidR="003E34EE" w:rsidRDefault="003E34EE" w:rsidP="009B2B1B">
      <w:r>
        <w:separator/>
      </w:r>
    </w:p>
  </w:footnote>
  <w:footnote w:type="continuationSeparator" w:id="0">
    <w:p w14:paraId="7883AF62" w14:textId="77777777" w:rsidR="003E34EE" w:rsidRDefault="003E34EE" w:rsidP="009B2B1B">
      <w:r>
        <w:continuationSeparator/>
      </w:r>
    </w:p>
  </w:footnote>
  <w:footnote w:type="continuationNotice" w:id="1">
    <w:p w14:paraId="76D78115" w14:textId="77777777" w:rsidR="003E34EE" w:rsidRDefault="003E34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03EE" w14:textId="3A415E87" w:rsidR="00E91762" w:rsidRDefault="00E91762" w:rsidP="009B2B1B">
    <w:pPr>
      <w:pStyle w:val="Header"/>
    </w:pPr>
    <w:r>
      <w:rPr>
        <w:noProof/>
        <w:lang w:eastAsia="zh-CN"/>
      </w:rPr>
      <w:drawing>
        <wp:anchor distT="0" distB="0" distL="114300" distR="114300" simplePos="0" relativeHeight="251657216" behindDoc="0" locked="0" layoutInCell="1" allowOverlap="1" wp14:anchorId="79D10159" wp14:editId="4DC38E60">
          <wp:simplePos x="0" y="0"/>
          <wp:positionH relativeFrom="page">
            <wp:posOffset>4012565</wp:posOffset>
          </wp:positionH>
          <wp:positionV relativeFrom="page">
            <wp:posOffset>-12065</wp:posOffset>
          </wp:positionV>
          <wp:extent cx="3115945" cy="10728960"/>
          <wp:effectExtent l="0" t="0" r="0" b="0"/>
          <wp:wrapThrough wrapText="bothSides">
            <wp:wrapPolygon edited="0">
              <wp:start x="13206" y="0"/>
              <wp:lineTo x="13206" y="4295"/>
              <wp:lineTo x="8716" y="4794"/>
              <wp:lineTo x="8716" y="5446"/>
              <wp:lineTo x="9376" y="5523"/>
              <wp:lineTo x="13206" y="5523"/>
              <wp:lineTo x="13206" y="6136"/>
              <wp:lineTo x="1189" y="6366"/>
              <wp:lineTo x="1189" y="7095"/>
              <wp:lineTo x="6735" y="7364"/>
              <wp:lineTo x="13206" y="7364"/>
              <wp:lineTo x="13206" y="7977"/>
              <wp:lineTo x="3169" y="7977"/>
              <wp:lineTo x="2641" y="8016"/>
              <wp:lineTo x="2641" y="8706"/>
              <wp:lineTo x="11489" y="9205"/>
              <wp:lineTo x="13206" y="9205"/>
              <wp:lineTo x="7263" y="9665"/>
              <wp:lineTo x="7263" y="10278"/>
              <wp:lineTo x="8848" y="10432"/>
              <wp:lineTo x="13206" y="10432"/>
              <wp:lineTo x="13206" y="11045"/>
              <wp:lineTo x="1189" y="11237"/>
              <wp:lineTo x="1189" y="11928"/>
              <wp:lineTo x="8320" y="12273"/>
              <wp:lineTo x="13206" y="12273"/>
              <wp:lineTo x="0" y="12848"/>
              <wp:lineTo x="0" y="13538"/>
              <wp:lineTo x="13206" y="14114"/>
              <wp:lineTo x="11489" y="14420"/>
              <wp:lineTo x="10961" y="14536"/>
              <wp:lineTo x="10961" y="15072"/>
              <wp:lineTo x="11885" y="15341"/>
              <wp:lineTo x="13206" y="15341"/>
              <wp:lineTo x="9640" y="15724"/>
              <wp:lineTo x="8584" y="15878"/>
              <wp:lineTo x="6867" y="16491"/>
              <wp:lineTo x="9112" y="17182"/>
              <wp:lineTo x="13074" y="17795"/>
              <wp:lineTo x="13206" y="21554"/>
              <wp:lineTo x="15979" y="21554"/>
              <wp:lineTo x="15979" y="15341"/>
              <wp:lineTo x="17431" y="15341"/>
              <wp:lineTo x="18620" y="15034"/>
              <wp:lineTo x="18752" y="14574"/>
              <wp:lineTo x="18092" y="14420"/>
              <wp:lineTo x="15979" y="14114"/>
              <wp:lineTo x="15979" y="12273"/>
              <wp:lineTo x="16639" y="12273"/>
              <wp:lineTo x="18224" y="11813"/>
              <wp:lineTo x="18356" y="11391"/>
              <wp:lineTo x="17828" y="11237"/>
              <wp:lineTo x="15979" y="11045"/>
              <wp:lineTo x="15979" y="10432"/>
              <wp:lineTo x="21525" y="10317"/>
              <wp:lineTo x="21525" y="9626"/>
              <wp:lineTo x="15979" y="9205"/>
              <wp:lineTo x="15979" y="7364"/>
              <wp:lineTo x="16639" y="7364"/>
              <wp:lineTo x="17828" y="6942"/>
              <wp:lineTo x="17828" y="6520"/>
              <wp:lineTo x="17431" y="6366"/>
              <wp:lineTo x="15979" y="6136"/>
              <wp:lineTo x="15979" y="0"/>
              <wp:lineTo x="13206" y="0"/>
            </wp:wrapPolygon>
          </wp:wrapThrough>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945"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5FA">
      <w:rPr>
        <w:noProof/>
        <w:color w:val="FFFFFF"/>
        <w:lang w:eastAsia="zh-CN"/>
      </w:rPr>
      <w:drawing>
        <wp:inline distT="0" distB="0" distL="0" distR="0" wp14:anchorId="622DA4FF" wp14:editId="128ECDBB">
          <wp:extent cx="1695450" cy="57785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F80F" w14:textId="2800CC82" w:rsidR="00E91762" w:rsidRPr="00C5519D" w:rsidRDefault="00E91762" w:rsidP="009B2B1B">
    <w:pPr>
      <w:pStyle w:val="Header"/>
    </w:pPr>
    <w:r w:rsidRPr="000D65FA">
      <w:rPr>
        <w:color w:val="002D64"/>
      </w:rPr>
      <w:tab/>
    </w:r>
    <w:r w:rsidRPr="00C5519D">
      <w:fldChar w:fldCharType="begin"/>
    </w:r>
    <w:r w:rsidRPr="00C5519D">
      <w:instrText xml:space="preserve"> PAGE   \* MERGEFORMAT </w:instrText>
    </w:r>
    <w:r w:rsidRPr="00C5519D">
      <w:fldChar w:fldCharType="separate"/>
    </w:r>
    <w:r>
      <w:rPr>
        <w:noProof/>
      </w:rPr>
      <w:t>4</w:t>
    </w:r>
    <w:r w:rsidRPr="00C5519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748F" w14:textId="7A4B90DA" w:rsidR="00E91762" w:rsidRPr="00484F6F" w:rsidRDefault="00E91762" w:rsidP="00484F6F">
    <w:pPr>
      <w:pStyle w:val="Header"/>
      <w:spacing w:after="0"/>
      <w:rPr>
        <w:b/>
        <w:sz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85F0A" w14:textId="77777777" w:rsidR="00E91762" w:rsidRDefault="00E91762" w:rsidP="00A71FB4">
    <w:pPr>
      <w:pBdr>
        <w:top w:val="nil"/>
        <w:left w:val="nil"/>
        <w:bottom w:val="nil"/>
        <w:right w:val="nil"/>
        <w:between w:val="nil"/>
      </w:pBdr>
      <w:tabs>
        <w:tab w:val="center" w:pos="4513"/>
        <w:tab w:val="right" w:pos="9026"/>
      </w:tabs>
      <w:rPr>
        <w:rFonts w:eastAsia="Source Sans Pro"/>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5ED"/>
    <w:multiLevelType w:val="hybridMultilevel"/>
    <w:tmpl w:val="0B36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C92BFE"/>
    <w:multiLevelType w:val="multilevel"/>
    <w:tmpl w:val="52EC7D9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72962D3"/>
    <w:multiLevelType w:val="multilevel"/>
    <w:tmpl w:val="C17E6F44"/>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B0576C6"/>
    <w:multiLevelType w:val="hybridMultilevel"/>
    <w:tmpl w:val="0D7A4044"/>
    <w:lvl w:ilvl="0" w:tplc="3AC87D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20767A"/>
    <w:multiLevelType w:val="hybridMultilevel"/>
    <w:tmpl w:val="15082520"/>
    <w:lvl w:ilvl="0" w:tplc="4B44030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7B25AC"/>
    <w:multiLevelType w:val="hybridMultilevel"/>
    <w:tmpl w:val="15B2B0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0E0439"/>
    <w:multiLevelType w:val="hybridMultilevel"/>
    <w:tmpl w:val="4A784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AA47DD"/>
    <w:multiLevelType w:val="hybridMultilevel"/>
    <w:tmpl w:val="662883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922682"/>
    <w:multiLevelType w:val="multilevel"/>
    <w:tmpl w:val="B5283B52"/>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670697B"/>
    <w:multiLevelType w:val="multilevel"/>
    <w:tmpl w:val="02B2C61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8995B3F"/>
    <w:multiLevelType w:val="hybridMultilevel"/>
    <w:tmpl w:val="B0B2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2264BC"/>
    <w:multiLevelType w:val="hybridMultilevel"/>
    <w:tmpl w:val="A330D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D545A3"/>
    <w:multiLevelType w:val="multilevel"/>
    <w:tmpl w:val="A67C95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A2952F5"/>
    <w:multiLevelType w:val="multilevel"/>
    <w:tmpl w:val="3DBE0B42"/>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1E097260"/>
    <w:multiLevelType w:val="hybridMultilevel"/>
    <w:tmpl w:val="2A02DA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E873F1"/>
    <w:multiLevelType w:val="multilevel"/>
    <w:tmpl w:val="A67C95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0076D77"/>
    <w:multiLevelType w:val="hybridMultilevel"/>
    <w:tmpl w:val="FC88B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2E0E07"/>
    <w:multiLevelType w:val="multilevel"/>
    <w:tmpl w:val="9EF00AD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21A31DA4"/>
    <w:multiLevelType w:val="hybridMultilevel"/>
    <w:tmpl w:val="4878853A"/>
    <w:lvl w:ilvl="0" w:tplc="BCB4DCD0">
      <w:numFmt w:val="bullet"/>
      <w:pStyle w:val="Dotpointlis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B01922"/>
    <w:multiLevelType w:val="multilevel"/>
    <w:tmpl w:val="C7C6B3B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260302D2"/>
    <w:multiLevelType w:val="hybridMultilevel"/>
    <w:tmpl w:val="E74AC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155C4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CBE2D3E"/>
    <w:multiLevelType w:val="multilevel"/>
    <w:tmpl w:val="02B2C61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2D8B6DAB"/>
    <w:multiLevelType w:val="hybridMultilevel"/>
    <w:tmpl w:val="F576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536152"/>
    <w:multiLevelType w:val="multilevel"/>
    <w:tmpl w:val="BE86A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681341"/>
    <w:multiLevelType w:val="hybridMultilevel"/>
    <w:tmpl w:val="918059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ED14E12"/>
    <w:multiLevelType w:val="hybridMultilevel"/>
    <w:tmpl w:val="A53C80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30FB42B3"/>
    <w:multiLevelType w:val="hybridMultilevel"/>
    <w:tmpl w:val="0D608AEE"/>
    <w:lvl w:ilvl="0" w:tplc="C6CAAD64">
      <w:start w:val="2"/>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1CD53CE"/>
    <w:multiLevelType w:val="multilevel"/>
    <w:tmpl w:val="3E28D88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34A2736B"/>
    <w:multiLevelType w:val="multilevel"/>
    <w:tmpl w:val="E1B685EE"/>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37091081"/>
    <w:multiLevelType w:val="multilevel"/>
    <w:tmpl w:val="B7A48F0E"/>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3A1F5E9F"/>
    <w:multiLevelType w:val="hybridMultilevel"/>
    <w:tmpl w:val="772C48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3C3A4E11"/>
    <w:multiLevelType w:val="hybridMultilevel"/>
    <w:tmpl w:val="F680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913932"/>
    <w:multiLevelType w:val="multilevel"/>
    <w:tmpl w:val="0D7818FA"/>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3F18454F"/>
    <w:multiLevelType w:val="hybridMultilevel"/>
    <w:tmpl w:val="78E2D3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4523B79"/>
    <w:multiLevelType w:val="hybridMultilevel"/>
    <w:tmpl w:val="FF54CDBC"/>
    <w:lvl w:ilvl="0" w:tplc="8C24B33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000C84"/>
    <w:multiLevelType w:val="hybridMultilevel"/>
    <w:tmpl w:val="9A88F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D52675"/>
    <w:multiLevelType w:val="hybridMultilevel"/>
    <w:tmpl w:val="2F9A80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64D2241"/>
    <w:multiLevelType w:val="multilevel"/>
    <w:tmpl w:val="A67C95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DC46307"/>
    <w:multiLevelType w:val="multilevel"/>
    <w:tmpl w:val="A252CE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5E5F1DB6"/>
    <w:multiLevelType w:val="hybridMultilevel"/>
    <w:tmpl w:val="0BB4758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00037B4"/>
    <w:multiLevelType w:val="hybridMultilevel"/>
    <w:tmpl w:val="5088D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2AF1208"/>
    <w:multiLevelType w:val="hybridMultilevel"/>
    <w:tmpl w:val="DC36BB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3A73FAD"/>
    <w:multiLevelType w:val="hybridMultilevel"/>
    <w:tmpl w:val="1B3C5554"/>
    <w:lvl w:ilvl="0" w:tplc="BA26BD36">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A955A9"/>
    <w:multiLevelType w:val="multilevel"/>
    <w:tmpl w:val="7782215A"/>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15:restartNumberingAfterBreak="0">
    <w:nsid w:val="66481E7A"/>
    <w:multiLevelType w:val="hybridMultilevel"/>
    <w:tmpl w:val="EB3AA7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90A004C"/>
    <w:multiLevelType w:val="hybridMultilevel"/>
    <w:tmpl w:val="3BAA46E4"/>
    <w:lvl w:ilvl="0" w:tplc="369C5DDA">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5B9BD5" w:themeColor="accent1"/>
      </w:rPr>
    </w:lvl>
    <w:lvl w:ilvl="1">
      <w:start w:val="1"/>
      <w:numFmt w:val="bullet"/>
      <w:pStyle w:val="Bullet2"/>
      <w:lvlText w:val="–"/>
      <w:lvlJc w:val="left"/>
      <w:pPr>
        <w:ind w:left="568" w:hanging="284"/>
      </w:pPr>
      <w:rPr>
        <w:rFonts w:ascii="Arial" w:hAnsi="Arial" w:hint="default"/>
        <w:color w:val="5B9BD5" w:themeColor="accent1"/>
      </w:rPr>
    </w:lvl>
    <w:lvl w:ilvl="2">
      <w:start w:val="1"/>
      <w:numFmt w:val="bullet"/>
      <w:pStyle w:val="Bullet3"/>
      <w:lvlText w:val="»"/>
      <w:lvlJc w:val="left"/>
      <w:pPr>
        <w:ind w:left="852" w:hanging="284"/>
      </w:pPr>
      <w:rPr>
        <w:rFonts w:ascii="Arial" w:hAnsi="Arial" w:hint="default"/>
        <w:color w:val="5B9BD5"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0" w15:restartNumberingAfterBreak="0">
    <w:nsid w:val="75370A7A"/>
    <w:multiLevelType w:val="hybridMultilevel"/>
    <w:tmpl w:val="29201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DD65E5"/>
    <w:multiLevelType w:val="hybridMultilevel"/>
    <w:tmpl w:val="510226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8117E43"/>
    <w:multiLevelType w:val="hybridMultilevel"/>
    <w:tmpl w:val="C85E7C8E"/>
    <w:lvl w:ilvl="0" w:tplc="D3FE4404">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616F10"/>
    <w:multiLevelType w:val="hybridMultilevel"/>
    <w:tmpl w:val="17A219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AF42304"/>
    <w:multiLevelType w:val="hybridMultilevel"/>
    <w:tmpl w:val="CE5885F6"/>
    <w:lvl w:ilvl="0" w:tplc="18D866E4">
      <w:start w:val="3"/>
      <w:numFmt w:val="bullet"/>
      <w:lvlText w:val="-"/>
      <w:lvlJc w:val="left"/>
      <w:pPr>
        <w:ind w:left="720" w:hanging="360"/>
      </w:pPr>
      <w:rPr>
        <w:rFonts w:ascii="Source Sans Pro" w:eastAsia="Source Sans Pro SemiBold" w:hAnsi="Source Sans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D01697"/>
    <w:multiLevelType w:val="multilevel"/>
    <w:tmpl w:val="5414EF4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6" w15:restartNumberingAfterBreak="0">
    <w:nsid w:val="7E07210D"/>
    <w:multiLevelType w:val="multilevel"/>
    <w:tmpl w:val="2E5830B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57" w15:restartNumberingAfterBreak="0">
    <w:nsid w:val="7E2231E7"/>
    <w:multiLevelType w:val="hybridMultilevel"/>
    <w:tmpl w:val="6772170C"/>
    <w:lvl w:ilvl="0" w:tplc="04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8" w15:restartNumberingAfterBreak="0">
    <w:nsid w:val="7F0E1094"/>
    <w:multiLevelType w:val="multilevel"/>
    <w:tmpl w:val="517C5C9A"/>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464272316">
    <w:abstractNumId w:val="27"/>
  </w:num>
  <w:num w:numId="2" w16cid:durableId="1699157900">
    <w:abstractNumId w:val="16"/>
  </w:num>
  <w:num w:numId="3" w16cid:durableId="1829856776">
    <w:abstractNumId w:val="45"/>
  </w:num>
  <w:num w:numId="4" w16cid:durableId="1577745706">
    <w:abstractNumId w:val="8"/>
  </w:num>
  <w:num w:numId="5" w16cid:durableId="922034242">
    <w:abstractNumId w:val="53"/>
  </w:num>
  <w:num w:numId="6" w16cid:durableId="121585168">
    <w:abstractNumId w:val="54"/>
  </w:num>
  <w:num w:numId="7" w16cid:durableId="1978217835">
    <w:abstractNumId w:val="18"/>
  </w:num>
  <w:num w:numId="8" w16cid:durableId="11155367">
    <w:abstractNumId w:val="23"/>
  </w:num>
  <w:num w:numId="9" w16cid:durableId="789085601">
    <w:abstractNumId w:val="39"/>
  </w:num>
  <w:num w:numId="10" w16cid:durableId="294678690">
    <w:abstractNumId w:val="49"/>
  </w:num>
  <w:num w:numId="11" w16cid:durableId="1372459215">
    <w:abstractNumId w:val="57"/>
  </w:num>
  <w:num w:numId="12" w16cid:durableId="1398361075">
    <w:abstractNumId w:val="4"/>
  </w:num>
  <w:num w:numId="13" w16cid:durableId="1970209609">
    <w:abstractNumId w:val="52"/>
  </w:num>
  <w:num w:numId="14" w16cid:durableId="1220092403">
    <w:abstractNumId w:val="51"/>
  </w:num>
  <w:num w:numId="15" w16cid:durableId="217057987">
    <w:abstractNumId w:val="32"/>
  </w:num>
  <w:num w:numId="16" w16cid:durableId="2090302138">
    <w:abstractNumId w:val="24"/>
  </w:num>
  <w:num w:numId="17" w16cid:durableId="2095395153">
    <w:abstractNumId w:val="33"/>
  </w:num>
  <w:num w:numId="18" w16cid:durableId="11341049">
    <w:abstractNumId w:val="10"/>
  </w:num>
  <w:num w:numId="19" w16cid:durableId="1346206960">
    <w:abstractNumId w:val="6"/>
  </w:num>
  <w:num w:numId="20" w16cid:durableId="1137409934">
    <w:abstractNumId w:val="37"/>
  </w:num>
  <w:num w:numId="21" w16cid:durableId="1635987959">
    <w:abstractNumId w:val="38"/>
  </w:num>
  <w:num w:numId="22" w16cid:durableId="1746948759">
    <w:abstractNumId w:val="50"/>
  </w:num>
  <w:num w:numId="23" w16cid:durableId="1657371825">
    <w:abstractNumId w:val="12"/>
  </w:num>
  <w:num w:numId="24" w16cid:durableId="1794250291">
    <w:abstractNumId w:val="56"/>
  </w:num>
  <w:num w:numId="25" w16cid:durableId="1350569886">
    <w:abstractNumId w:val="36"/>
  </w:num>
  <w:num w:numId="26" w16cid:durableId="800070817">
    <w:abstractNumId w:val="5"/>
  </w:num>
  <w:num w:numId="27" w16cid:durableId="598830497">
    <w:abstractNumId w:val="20"/>
  </w:num>
  <w:num w:numId="28" w16cid:durableId="2073119597">
    <w:abstractNumId w:val="11"/>
  </w:num>
  <w:num w:numId="29" w16cid:durableId="995647417">
    <w:abstractNumId w:val="43"/>
  </w:num>
  <w:num w:numId="30" w16cid:durableId="2024937709">
    <w:abstractNumId w:val="3"/>
  </w:num>
  <w:num w:numId="31" w16cid:durableId="412319739">
    <w:abstractNumId w:val="0"/>
  </w:num>
  <w:num w:numId="32" w16cid:durableId="1487479325">
    <w:abstractNumId w:val="25"/>
  </w:num>
  <w:num w:numId="33" w16cid:durableId="708534104">
    <w:abstractNumId w:val="21"/>
  </w:num>
  <w:num w:numId="34" w16cid:durableId="719090865">
    <w:abstractNumId w:val="15"/>
  </w:num>
  <w:num w:numId="35" w16cid:durableId="1775902724">
    <w:abstractNumId w:val="9"/>
  </w:num>
  <w:num w:numId="36" w16cid:durableId="2134055894">
    <w:abstractNumId w:val="31"/>
  </w:num>
  <w:num w:numId="37" w16cid:durableId="984968807">
    <w:abstractNumId w:val="58"/>
  </w:num>
  <w:num w:numId="38" w16cid:durableId="1436172972">
    <w:abstractNumId w:val="29"/>
  </w:num>
  <w:num w:numId="39" w16cid:durableId="1128470053">
    <w:abstractNumId w:val="55"/>
  </w:num>
  <w:num w:numId="40" w16cid:durableId="238713390">
    <w:abstractNumId w:val="2"/>
  </w:num>
  <w:num w:numId="41" w16cid:durableId="991787004">
    <w:abstractNumId w:val="1"/>
  </w:num>
  <w:num w:numId="42" w16cid:durableId="1047412811">
    <w:abstractNumId w:val="41"/>
  </w:num>
  <w:num w:numId="43" w16cid:durableId="729890320">
    <w:abstractNumId w:val="34"/>
  </w:num>
  <w:num w:numId="44" w16cid:durableId="1987398123">
    <w:abstractNumId w:val="17"/>
  </w:num>
  <w:num w:numId="45" w16cid:durableId="1636131770">
    <w:abstractNumId w:val="42"/>
  </w:num>
  <w:num w:numId="46" w16cid:durableId="2143114311">
    <w:abstractNumId w:val="19"/>
  </w:num>
  <w:num w:numId="47" w16cid:durableId="253175441">
    <w:abstractNumId w:val="48"/>
  </w:num>
  <w:num w:numId="48" w16cid:durableId="759330185">
    <w:abstractNumId w:val="28"/>
  </w:num>
  <w:num w:numId="49" w16cid:durableId="693194108">
    <w:abstractNumId w:val="13"/>
  </w:num>
  <w:num w:numId="50" w16cid:durableId="1483497977">
    <w:abstractNumId w:val="30"/>
  </w:num>
  <w:num w:numId="51" w16cid:durableId="1762143484">
    <w:abstractNumId w:val="46"/>
  </w:num>
  <w:num w:numId="52" w16cid:durableId="1385249876">
    <w:abstractNumId w:val="40"/>
  </w:num>
  <w:num w:numId="53" w16cid:durableId="1834753942">
    <w:abstractNumId w:val="22"/>
  </w:num>
  <w:num w:numId="54" w16cid:durableId="308483286">
    <w:abstractNumId w:val="44"/>
  </w:num>
  <w:num w:numId="55" w16cid:durableId="1403747358">
    <w:abstractNumId w:val="35"/>
  </w:num>
  <w:num w:numId="56" w16cid:durableId="1998217527">
    <w:abstractNumId w:val="7"/>
  </w:num>
  <w:num w:numId="57" w16cid:durableId="458885290">
    <w:abstractNumId w:val="14"/>
  </w:num>
  <w:num w:numId="58" w16cid:durableId="537360138">
    <w:abstractNumId w:val="47"/>
  </w:num>
  <w:num w:numId="59" w16cid:durableId="457261065">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Med Centr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z20w55lvz9r0eedv4pe20t9zdpezzv0dfe&quot;&gt;20221129_AT_references_for_review_from_protoco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record-ids&gt;&lt;/item&gt;&lt;/Libraries&gt;"/>
  </w:docVars>
  <w:rsids>
    <w:rsidRoot w:val="001C5AD1"/>
    <w:rsid w:val="00001E1E"/>
    <w:rsid w:val="00002BDF"/>
    <w:rsid w:val="00002C0E"/>
    <w:rsid w:val="00004C15"/>
    <w:rsid w:val="00005160"/>
    <w:rsid w:val="00007228"/>
    <w:rsid w:val="0000734F"/>
    <w:rsid w:val="00007605"/>
    <w:rsid w:val="0000775F"/>
    <w:rsid w:val="00010182"/>
    <w:rsid w:val="0001072D"/>
    <w:rsid w:val="0001082C"/>
    <w:rsid w:val="00010D8C"/>
    <w:rsid w:val="000111EA"/>
    <w:rsid w:val="0001134A"/>
    <w:rsid w:val="0001154B"/>
    <w:rsid w:val="0001174C"/>
    <w:rsid w:val="00011896"/>
    <w:rsid w:val="00011998"/>
    <w:rsid w:val="00011AFB"/>
    <w:rsid w:val="00011BEC"/>
    <w:rsid w:val="00012470"/>
    <w:rsid w:val="000126C5"/>
    <w:rsid w:val="00012868"/>
    <w:rsid w:val="00012E79"/>
    <w:rsid w:val="000130C3"/>
    <w:rsid w:val="00013B91"/>
    <w:rsid w:val="00013C1F"/>
    <w:rsid w:val="00016195"/>
    <w:rsid w:val="000164A9"/>
    <w:rsid w:val="000164E4"/>
    <w:rsid w:val="00017C01"/>
    <w:rsid w:val="00017E24"/>
    <w:rsid w:val="000218C0"/>
    <w:rsid w:val="0002237B"/>
    <w:rsid w:val="00022983"/>
    <w:rsid w:val="00022CCC"/>
    <w:rsid w:val="00023528"/>
    <w:rsid w:val="00023EFD"/>
    <w:rsid w:val="0002454F"/>
    <w:rsid w:val="00024750"/>
    <w:rsid w:val="00025CDA"/>
    <w:rsid w:val="00026775"/>
    <w:rsid w:val="00026930"/>
    <w:rsid w:val="00026C44"/>
    <w:rsid w:val="000270CD"/>
    <w:rsid w:val="0002734E"/>
    <w:rsid w:val="00027BFB"/>
    <w:rsid w:val="00030322"/>
    <w:rsid w:val="00030C67"/>
    <w:rsid w:val="00031CC6"/>
    <w:rsid w:val="00032202"/>
    <w:rsid w:val="000329D2"/>
    <w:rsid w:val="00032C7D"/>
    <w:rsid w:val="00033773"/>
    <w:rsid w:val="00033900"/>
    <w:rsid w:val="00033DEF"/>
    <w:rsid w:val="000343F0"/>
    <w:rsid w:val="00034D72"/>
    <w:rsid w:val="00035A00"/>
    <w:rsid w:val="00035A38"/>
    <w:rsid w:val="00035FF5"/>
    <w:rsid w:val="00036307"/>
    <w:rsid w:val="00036A21"/>
    <w:rsid w:val="00036BC2"/>
    <w:rsid w:val="00037C6A"/>
    <w:rsid w:val="00040128"/>
    <w:rsid w:val="0004062C"/>
    <w:rsid w:val="00040931"/>
    <w:rsid w:val="00040BF3"/>
    <w:rsid w:val="00041673"/>
    <w:rsid w:val="000417CF"/>
    <w:rsid w:val="000419B9"/>
    <w:rsid w:val="00041F9D"/>
    <w:rsid w:val="00041FBB"/>
    <w:rsid w:val="00042489"/>
    <w:rsid w:val="00042957"/>
    <w:rsid w:val="000430A1"/>
    <w:rsid w:val="0004369B"/>
    <w:rsid w:val="0004443E"/>
    <w:rsid w:val="000444D3"/>
    <w:rsid w:val="000445D1"/>
    <w:rsid w:val="000448CA"/>
    <w:rsid w:val="00045241"/>
    <w:rsid w:val="00046B52"/>
    <w:rsid w:val="00046E7A"/>
    <w:rsid w:val="00047D1B"/>
    <w:rsid w:val="0005019D"/>
    <w:rsid w:val="000506A8"/>
    <w:rsid w:val="00050B46"/>
    <w:rsid w:val="00050D70"/>
    <w:rsid w:val="00051531"/>
    <w:rsid w:val="00051713"/>
    <w:rsid w:val="00052317"/>
    <w:rsid w:val="00052732"/>
    <w:rsid w:val="00052C0C"/>
    <w:rsid w:val="00052CD9"/>
    <w:rsid w:val="00053B47"/>
    <w:rsid w:val="00054B61"/>
    <w:rsid w:val="00054FB2"/>
    <w:rsid w:val="000553EC"/>
    <w:rsid w:val="000558F9"/>
    <w:rsid w:val="00056939"/>
    <w:rsid w:val="00057061"/>
    <w:rsid w:val="00057164"/>
    <w:rsid w:val="0005796B"/>
    <w:rsid w:val="00057F82"/>
    <w:rsid w:val="0006024A"/>
    <w:rsid w:val="0006031A"/>
    <w:rsid w:val="00060DC6"/>
    <w:rsid w:val="00061DD1"/>
    <w:rsid w:val="00062CC0"/>
    <w:rsid w:val="00062FFC"/>
    <w:rsid w:val="000630AC"/>
    <w:rsid w:val="00063741"/>
    <w:rsid w:val="0006514F"/>
    <w:rsid w:val="000659F5"/>
    <w:rsid w:val="00066568"/>
    <w:rsid w:val="00066BD6"/>
    <w:rsid w:val="0006719B"/>
    <w:rsid w:val="0007032F"/>
    <w:rsid w:val="000704AB"/>
    <w:rsid w:val="000713AF"/>
    <w:rsid w:val="00072736"/>
    <w:rsid w:val="00073C8B"/>
    <w:rsid w:val="00073FEF"/>
    <w:rsid w:val="000742AD"/>
    <w:rsid w:val="0007598C"/>
    <w:rsid w:val="00075BC1"/>
    <w:rsid w:val="00075BE4"/>
    <w:rsid w:val="00075C84"/>
    <w:rsid w:val="0007613D"/>
    <w:rsid w:val="00076F24"/>
    <w:rsid w:val="000812A0"/>
    <w:rsid w:val="00081762"/>
    <w:rsid w:val="00081793"/>
    <w:rsid w:val="00081ADA"/>
    <w:rsid w:val="00081D67"/>
    <w:rsid w:val="00084069"/>
    <w:rsid w:val="0008412D"/>
    <w:rsid w:val="0008466E"/>
    <w:rsid w:val="00084D97"/>
    <w:rsid w:val="000854CE"/>
    <w:rsid w:val="000855AC"/>
    <w:rsid w:val="00085E20"/>
    <w:rsid w:val="0008609B"/>
    <w:rsid w:val="00086417"/>
    <w:rsid w:val="000867FD"/>
    <w:rsid w:val="00086861"/>
    <w:rsid w:val="00086973"/>
    <w:rsid w:val="00086C99"/>
    <w:rsid w:val="000876BE"/>
    <w:rsid w:val="00087C9E"/>
    <w:rsid w:val="00087D31"/>
    <w:rsid w:val="00087FA4"/>
    <w:rsid w:val="0009073A"/>
    <w:rsid w:val="00091A37"/>
    <w:rsid w:val="00092327"/>
    <w:rsid w:val="00093239"/>
    <w:rsid w:val="000939BF"/>
    <w:rsid w:val="00094132"/>
    <w:rsid w:val="00094429"/>
    <w:rsid w:val="00094CBC"/>
    <w:rsid w:val="00095829"/>
    <w:rsid w:val="00095975"/>
    <w:rsid w:val="00096321"/>
    <w:rsid w:val="00096B40"/>
    <w:rsid w:val="000970F4"/>
    <w:rsid w:val="00097112"/>
    <w:rsid w:val="00097C37"/>
    <w:rsid w:val="000A00F3"/>
    <w:rsid w:val="000A0263"/>
    <w:rsid w:val="000A06A5"/>
    <w:rsid w:val="000A0C4B"/>
    <w:rsid w:val="000A2A2B"/>
    <w:rsid w:val="000A3887"/>
    <w:rsid w:val="000A4005"/>
    <w:rsid w:val="000A4466"/>
    <w:rsid w:val="000A458D"/>
    <w:rsid w:val="000A4818"/>
    <w:rsid w:val="000A5C10"/>
    <w:rsid w:val="000A5D06"/>
    <w:rsid w:val="000A5EE4"/>
    <w:rsid w:val="000A6359"/>
    <w:rsid w:val="000A738F"/>
    <w:rsid w:val="000A79D9"/>
    <w:rsid w:val="000A7FAA"/>
    <w:rsid w:val="000B0505"/>
    <w:rsid w:val="000B1010"/>
    <w:rsid w:val="000B24F0"/>
    <w:rsid w:val="000B25DC"/>
    <w:rsid w:val="000B3B62"/>
    <w:rsid w:val="000B3B6D"/>
    <w:rsid w:val="000B3B7A"/>
    <w:rsid w:val="000B4293"/>
    <w:rsid w:val="000B4C80"/>
    <w:rsid w:val="000B57A2"/>
    <w:rsid w:val="000B6464"/>
    <w:rsid w:val="000B6C15"/>
    <w:rsid w:val="000B6F44"/>
    <w:rsid w:val="000B7447"/>
    <w:rsid w:val="000B7A7D"/>
    <w:rsid w:val="000C012D"/>
    <w:rsid w:val="000C02C8"/>
    <w:rsid w:val="000C04EE"/>
    <w:rsid w:val="000C1E19"/>
    <w:rsid w:val="000C1F81"/>
    <w:rsid w:val="000C2CDB"/>
    <w:rsid w:val="000C4399"/>
    <w:rsid w:val="000C4453"/>
    <w:rsid w:val="000C467D"/>
    <w:rsid w:val="000C4948"/>
    <w:rsid w:val="000C4C1C"/>
    <w:rsid w:val="000C5F3E"/>
    <w:rsid w:val="000C7ABF"/>
    <w:rsid w:val="000D0CA2"/>
    <w:rsid w:val="000D0CA6"/>
    <w:rsid w:val="000D1384"/>
    <w:rsid w:val="000D17FA"/>
    <w:rsid w:val="000D1EC4"/>
    <w:rsid w:val="000D276B"/>
    <w:rsid w:val="000D2FC2"/>
    <w:rsid w:val="000D37A5"/>
    <w:rsid w:val="000D41D1"/>
    <w:rsid w:val="000D426A"/>
    <w:rsid w:val="000D42AC"/>
    <w:rsid w:val="000D467F"/>
    <w:rsid w:val="000D4F12"/>
    <w:rsid w:val="000D5352"/>
    <w:rsid w:val="000D5A89"/>
    <w:rsid w:val="000D5CD0"/>
    <w:rsid w:val="000D690D"/>
    <w:rsid w:val="000D76A8"/>
    <w:rsid w:val="000D77D0"/>
    <w:rsid w:val="000D7976"/>
    <w:rsid w:val="000E006A"/>
    <w:rsid w:val="000E20AF"/>
    <w:rsid w:val="000E2423"/>
    <w:rsid w:val="000E25EA"/>
    <w:rsid w:val="000E2CEC"/>
    <w:rsid w:val="000E38E7"/>
    <w:rsid w:val="000E3EAA"/>
    <w:rsid w:val="000E4589"/>
    <w:rsid w:val="000E6083"/>
    <w:rsid w:val="000E636F"/>
    <w:rsid w:val="000E6A9F"/>
    <w:rsid w:val="000E7EF8"/>
    <w:rsid w:val="000F06D6"/>
    <w:rsid w:val="000F099C"/>
    <w:rsid w:val="000F1057"/>
    <w:rsid w:val="000F1F54"/>
    <w:rsid w:val="000F1F89"/>
    <w:rsid w:val="000F4BF1"/>
    <w:rsid w:val="000F53B5"/>
    <w:rsid w:val="000F5470"/>
    <w:rsid w:val="000F57F2"/>
    <w:rsid w:val="000F5D79"/>
    <w:rsid w:val="000F624B"/>
    <w:rsid w:val="000F7DE0"/>
    <w:rsid w:val="001002A9"/>
    <w:rsid w:val="0010097A"/>
    <w:rsid w:val="00100B79"/>
    <w:rsid w:val="00101254"/>
    <w:rsid w:val="001015B3"/>
    <w:rsid w:val="001015DE"/>
    <w:rsid w:val="001022B4"/>
    <w:rsid w:val="0010282B"/>
    <w:rsid w:val="001029A3"/>
    <w:rsid w:val="00102DB5"/>
    <w:rsid w:val="0010368E"/>
    <w:rsid w:val="0010411B"/>
    <w:rsid w:val="001048BE"/>
    <w:rsid w:val="00105341"/>
    <w:rsid w:val="00105C53"/>
    <w:rsid w:val="00105E4E"/>
    <w:rsid w:val="00106556"/>
    <w:rsid w:val="00106C0A"/>
    <w:rsid w:val="0010702C"/>
    <w:rsid w:val="001079C2"/>
    <w:rsid w:val="001079F4"/>
    <w:rsid w:val="00110B1D"/>
    <w:rsid w:val="00110B48"/>
    <w:rsid w:val="00110FF6"/>
    <w:rsid w:val="00111184"/>
    <w:rsid w:val="00111611"/>
    <w:rsid w:val="00111F37"/>
    <w:rsid w:val="00112084"/>
    <w:rsid w:val="00112200"/>
    <w:rsid w:val="00112944"/>
    <w:rsid w:val="001129E1"/>
    <w:rsid w:val="00112A80"/>
    <w:rsid w:val="00112A9D"/>
    <w:rsid w:val="00112E21"/>
    <w:rsid w:val="00113CFD"/>
    <w:rsid w:val="00114111"/>
    <w:rsid w:val="0011424A"/>
    <w:rsid w:val="00114724"/>
    <w:rsid w:val="00115445"/>
    <w:rsid w:val="00115759"/>
    <w:rsid w:val="00117D25"/>
    <w:rsid w:val="00117F3D"/>
    <w:rsid w:val="0012056F"/>
    <w:rsid w:val="0012130C"/>
    <w:rsid w:val="00121920"/>
    <w:rsid w:val="001225FB"/>
    <w:rsid w:val="00122940"/>
    <w:rsid w:val="001239EE"/>
    <w:rsid w:val="00123CD3"/>
    <w:rsid w:val="00124115"/>
    <w:rsid w:val="0012422C"/>
    <w:rsid w:val="001255EC"/>
    <w:rsid w:val="00126780"/>
    <w:rsid w:val="001269AD"/>
    <w:rsid w:val="00127EB1"/>
    <w:rsid w:val="0013001D"/>
    <w:rsid w:val="00130061"/>
    <w:rsid w:val="00130257"/>
    <w:rsid w:val="00130319"/>
    <w:rsid w:val="001306FE"/>
    <w:rsid w:val="00130ADB"/>
    <w:rsid w:val="00131330"/>
    <w:rsid w:val="00132369"/>
    <w:rsid w:val="00132EC8"/>
    <w:rsid w:val="00133DED"/>
    <w:rsid w:val="00134119"/>
    <w:rsid w:val="00134DCF"/>
    <w:rsid w:val="00135E5E"/>
    <w:rsid w:val="00135FC8"/>
    <w:rsid w:val="001375F5"/>
    <w:rsid w:val="001404CB"/>
    <w:rsid w:val="00140DCD"/>
    <w:rsid w:val="00142DD8"/>
    <w:rsid w:val="00142ECE"/>
    <w:rsid w:val="00143F2B"/>
    <w:rsid w:val="00143F99"/>
    <w:rsid w:val="001446F0"/>
    <w:rsid w:val="0014690C"/>
    <w:rsid w:val="001478AA"/>
    <w:rsid w:val="00151AB2"/>
    <w:rsid w:val="00151B7F"/>
    <w:rsid w:val="00151DFA"/>
    <w:rsid w:val="0015274F"/>
    <w:rsid w:val="00152DE8"/>
    <w:rsid w:val="00152F23"/>
    <w:rsid w:val="001534C2"/>
    <w:rsid w:val="00153609"/>
    <w:rsid w:val="00153ACC"/>
    <w:rsid w:val="0015444E"/>
    <w:rsid w:val="001544EC"/>
    <w:rsid w:val="0015454C"/>
    <w:rsid w:val="00154F43"/>
    <w:rsid w:val="00155B9D"/>
    <w:rsid w:val="001567A5"/>
    <w:rsid w:val="00156F5C"/>
    <w:rsid w:val="00157A03"/>
    <w:rsid w:val="00160307"/>
    <w:rsid w:val="001605BD"/>
    <w:rsid w:val="00160D45"/>
    <w:rsid w:val="00160D48"/>
    <w:rsid w:val="00161373"/>
    <w:rsid w:val="0016278C"/>
    <w:rsid w:val="00162D1F"/>
    <w:rsid w:val="0016318B"/>
    <w:rsid w:val="00163CD1"/>
    <w:rsid w:val="00164547"/>
    <w:rsid w:val="00164BBD"/>
    <w:rsid w:val="0016574C"/>
    <w:rsid w:val="00165DF2"/>
    <w:rsid w:val="001673CC"/>
    <w:rsid w:val="00170C60"/>
    <w:rsid w:val="001719A4"/>
    <w:rsid w:val="00171A48"/>
    <w:rsid w:val="00171B1F"/>
    <w:rsid w:val="00172393"/>
    <w:rsid w:val="00172C67"/>
    <w:rsid w:val="00173D60"/>
    <w:rsid w:val="0017430A"/>
    <w:rsid w:val="001744C4"/>
    <w:rsid w:val="0017538C"/>
    <w:rsid w:val="001759B8"/>
    <w:rsid w:val="001763A9"/>
    <w:rsid w:val="00176651"/>
    <w:rsid w:val="001800E0"/>
    <w:rsid w:val="00180181"/>
    <w:rsid w:val="001804D8"/>
    <w:rsid w:val="0018087A"/>
    <w:rsid w:val="00180F4F"/>
    <w:rsid w:val="00181D26"/>
    <w:rsid w:val="001839DE"/>
    <w:rsid w:val="00183C6C"/>
    <w:rsid w:val="00184442"/>
    <w:rsid w:val="00186A03"/>
    <w:rsid w:val="00186B1F"/>
    <w:rsid w:val="00187102"/>
    <w:rsid w:val="0018787F"/>
    <w:rsid w:val="001913D1"/>
    <w:rsid w:val="00191E60"/>
    <w:rsid w:val="00192A72"/>
    <w:rsid w:val="00192DBE"/>
    <w:rsid w:val="0019317B"/>
    <w:rsid w:val="001946DB"/>
    <w:rsid w:val="00194C2F"/>
    <w:rsid w:val="00194DAF"/>
    <w:rsid w:val="0019552D"/>
    <w:rsid w:val="00195734"/>
    <w:rsid w:val="0019690F"/>
    <w:rsid w:val="00197D58"/>
    <w:rsid w:val="001A04A7"/>
    <w:rsid w:val="001A088D"/>
    <w:rsid w:val="001A13AC"/>
    <w:rsid w:val="001A14B1"/>
    <w:rsid w:val="001A187A"/>
    <w:rsid w:val="001A1E6C"/>
    <w:rsid w:val="001A3703"/>
    <w:rsid w:val="001A3A7E"/>
    <w:rsid w:val="001A4AA6"/>
    <w:rsid w:val="001A5012"/>
    <w:rsid w:val="001A5039"/>
    <w:rsid w:val="001A525D"/>
    <w:rsid w:val="001A60AC"/>
    <w:rsid w:val="001A628D"/>
    <w:rsid w:val="001B1FFE"/>
    <w:rsid w:val="001B21D4"/>
    <w:rsid w:val="001B2385"/>
    <w:rsid w:val="001B2E4F"/>
    <w:rsid w:val="001B382F"/>
    <w:rsid w:val="001B38FC"/>
    <w:rsid w:val="001B445A"/>
    <w:rsid w:val="001B523A"/>
    <w:rsid w:val="001B5526"/>
    <w:rsid w:val="001B59DF"/>
    <w:rsid w:val="001B5C0C"/>
    <w:rsid w:val="001B5D18"/>
    <w:rsid w:val="001B6A26"/>
    <w:rsid w:val="001B6B26"/>
    <w:rsid w:val="001B74AB"/>
    <w:rsid w:val="001B75D8"/>
    <w:rsid w:val="001B79D0"/>
    <w:rsid w:val="001B7D77"/>
    <w:rsid w:val="001C0417"/>
    <w:rsid w:val="001C0864"/>
    <w:rsid w:val="001C0904"/>
    <w:rsid w:val="001C26C9"/>
    <w:rsid w:val="001C2D8D"/>
    <w:rsid w:val="001C2E38"/>
    <w:rsid w:val="001C34FA"/>
    <w:rsid w:val="001C38A7"/>
    <w:rsid w:val="001C490E"/>
    <w:rsid w:val="001C4ABD"/>
    <w:rsid w:val="001C5AD1"/>
    <w:rsid w:val="001C5D54"/>
    <w:rsid w:val="001C5D59"/>
    <w:rsid w:val="001C6452"/>
    <w:rsid w:val="001C6491"/>
    <w:rsid w:val="001D02CD"/>
    <w:rsid w:val="001D0464"/>
    <w:rsid w:val="001D0602"/>
    <w:rsid w:val="001D093E"/>
    <w:rsid w:val="001D100A"/>
    <w:rsid w:val="001D1877"/>
    <w:rsid w:val="001D1F51"/>
    <w:rsid w:val="001D2218"/>
    <w:rsid w:val="001D2481"/>
    <w:rsid w:val="001D3DD6"/>
    <w:rsid w:val="001D44F7"/>
    <w:rsid w:val="001D4537"/>
    <w:rsid w:val="001D4613"/>
    <w:rsid w:val="001D4F52"/>
    <w:rsid w:val="001D5E6B"/>
    <w:rsid w:val="001D6F33"/>
    <w:rsid w:val="001D7043"/>
    <w:rsid w:val="001D777E"/>
    <w:rsid w:val="001E00B0"/>
    <w:rsid w:val="001E0609"/>
    <w:rsid w:val="001E070B"/>
    <w:rsid w:val="001E0846"/>
    <w:rsid w:val="001E0D4D"/>
    <w:rsid w:val="001E1050"/>
    <w:rsid w:val="001E1AEA"/>
    <w:rsid w:val="001E1C62"/>
    <w:rsid w:val="001E2E1E"/>
    <w:rsid w:val="001E2EA9"/>
    <w:rsid w:val="001E3B76"/>
    <w:rsid w:val="001E3FAB"/>
    <w:rsid w:val="001E425B"/>
    <w:rsid w:val="001E67DB"/>
    <w:rsid w:val="001E6B99"/>
    <w:rsid w:val="001E7314"/>
    <w:rsid w:val="001E7E63"/>
    <w:rsid w:val="001F0774"/>
    <w:rsid w:val="001F082A"/>
    <w:rsid w:val="001F1B44"/>
    <w:rsid w:val="001F2B05"/>
    <w:rsid w:val="001F2C44"/>
    <w:rsid w:val="001F2C47"/>
    <w:rsid w:val="001F2EF7"/>
    <w:rsid w:val="001F30DB"/>
    <w:rsid w:val="001F37D9"/>
    <w:rsid w:val="001F4FF0"/>
    <w:rsid w:val="001F50C9"/>
    <w:rsid w:val="001F50D4"/>
    <w:rsid w:val="001F5ED5"/>
    <w:rsid w:val="001F6527"/>
    <w:rsid w:val="001F6DB1"/>
    <w:rsid w:val="001F7477"/>
    <w:rsid w:val="00200523"/>
    <w:rsid w:val="0020076C"/>
    <w:rsid w:val="00201230"/>
    <w:rsid w:val="00202742"/>
    <w:rsid w:val="002031BE"/>
    <w:rsid w:val="00204781"/>
    <w:rsid w:val="00205312"/>
    <w:rsid w:val="00205771"/>
    <w:rsid w:val="00205D1F"/>
    <w:rsid w:val="00205F31"/>
    <w:rsid w:val="00205FEC"/>
    <w:rsid w:val="002065BB"/>
    <w:rsid w:val="00206943"/>
    <w:rsid w:val="002075DD"/>
    <w:rsid w:val="00207885"/>
    <w:rsid w:val="0021112A"/>
    <w:rsid w:val="002120D4"/>
    <w:rsid w:val="00213294"/>
    <w:rsid w:val="002150A4"/>
    <w:rsid w:val="00215265"/>
    <w:rsid w:val="00215CCE"/>
    <w:rsid w:val="0021600E"/>
    <w:rsid w:val="00216A1E"/>
    <w:rsid w:val="00216A74"/>
    <w:rsid w:val="00216A9A"/>
    <w:rsid w:val="00216C34"/>
    <w:rsid w:val="00217644"/>
    <w:rsid w:val="00217648"/>
    <w:rsid w:val="00220D0F"/>
    <w:rsid w:val="0022123D"/>
    <w:rsid w:val="00222E80"/>
    <w:rsid w:val="0022318F"/>
    <w:rsid w:val="00224CEB"/>
    <w:rsid w:val="00224D01"/>
    <w:rsid w:val="00224F39"/>
    <w:rsid w:val="002251CB"/>
    <w:rsid w:val="002253A2"/>
    <w:rsid w:val="00225687"/>
    <w:rsid w:val="002256D6"/>
    <w:rsid w:val="0022650D"/>
    <w:rsid w:val="0022695F"/>
    <w:rsid w:val="00226C67"/>
    <w:rsid w:val="00227011"/>
    <w:rsid w:val="002270A2"/>
    <w:rsid w:val="0023004B"/>
    <w:rsid w:val="002300C9"/>
    <w:rsid w:val="002300FF"/>
    <w:rsid w:val="00230344"/>
    <w:rsid w:val="0023075B"/>
    <w:rsid w:val="00230BDD"/>
    <w:rsid w:val="00231F49"/>
    <w:rsid w:val="0023246C"/>
    <w:rsid w:val="00232DF4"/>
    <w:rsid w:val="002337D5"/>
    <w:rsid w:val="00233BDF"/>
    <w:rsid w:val="002349FA"/>
    <w:rsid w:val="00235310"/>
    <w:rsid w:val="00236CB0"/>
    <w:rsid w:val="00236D08"/>
    <w:rsid w:val="00236F00"/>
    <w:rsid w:val="002406F3"/>
    <w:rsid w:val="00243477"/>
    <w:rsid w:val="00243540"/>
    <w:rsid w:val="0024418A"/>
    <w:rsid w:val="00245337"/>
    <w:rsid w:val="00245D7C"/>
    <w:rsid w:val="002461EE"/>
    <w:rsid w:val="002464D0"/>
    <w:rsid w:val="00246D00"/>
    <w:rsid w:val="00247277"/>
    <w:rsid w:val="002472C4"/>
    <w:rsid w:val="002503AC"/>
    <w:rsid w:val="002505CE"/>
    <w:rsid w:val="00250608"/>
    <w:rsid w:val="0025078A"/>
    <w:rsid w:val="00250DD3"/>
    <w:rsid w:val="0025305D"/>
    <w:rsid w:val="00253D1D"/>
    <w:rsid w:val="0025455E"/>
    <w:rsid w:val="00254734"/>
    <w:rsid w:val="002548FC"/>
    <w:rsid w:val="0025615F"/>
    <w:rsid w:val="00256791"/>
    <w:rsid w:val="002569BA"/>
    <w:rsid w:val="00257C7E"/>
    <w:rsid w:val="00260494"/>
    <w:rsid w:val="0026084C"/>
    <w:rsid w:val="00261482"/>
    <w:rsid w:val="00261CA3"/>
    <w:rsid w:val="00261CFA"/>
    <w:rsid w:val="002621E6"/>
    <w:rsid w:val="0026220B"/>
    <w:rsid w:val="0026255D"/>
    <w:rsid w:val="00263D86"/>
    <w:rsid w:val="00264587"/>
    <w:rsid w:val="00264C4F"/>
    <w:rsid w:val="00265233"/>
    <w:rsid w:val="002653BC"/>
    <w:rsid w:val="00267767"/>
    <w:rsid w:val="00267B73"/>
    <w:rsid w:val="002701E6"/>
    <w:rsid w:val="0027039B"/>
    <w:rsid w:val="0027052B"/>
    <w:rsid w:val="0027083A"/>
    <w:rsid w:val="00271159"/>
    <w:rsid w:val="002713BC"/>
    <w:rsid w:val="00271BDD"/>
    <w:rsid w:val="00271E27"/>
    <w:rsid w:val="00272DF9"/>
    <w:rsid w:val="002732FA"/>
    <w:rsid w:val="002733F8"/>
    <w:rsid w:val="0027376F"/>
    <w:rsid w:val="00273987"/>
    <w:rsid w:val="00273D84"/>
    <w:rsid w:val="00273E49"/>
    <w:rsid w:val="00273F6F"/>
    <w:rsid w:val="00274289"/>
    <w:rsid w:val="00274ACF"/>
    <w:rsid w:val="0027553B"/>
    <w:rsid w:val="00275789"/>
    <w:rsid w:val="0027606B"/>
    <w:rsid w:val="0027654C"/>
    <w:rsid w:val="00276EF0"/>
    <w:rsid w:val="0028021E"/>
    <w:rsid w:val="00281386"/>
    <w:rsid w:val="00281D42"/>
    <w:rsid w:val="00281D76"/>
    <w:rsid w:val="0028252A"/>
    <w:rsid w:val="00283803"/>
    <w:rsid w:val="0028399D"/>
    <w:rsid w:val="00283E29"/>
    <w:rsid w:val="00284200"/>
    <w:rsid w:val="00284CB1"/>
    <w:rsid w:val="00285549"/>
    <w:rsid w:val="002858EE"/>
    <w:rsid w:val="00285B7C"/>
    <w:rsid w:val="00287A17"/>
    <w:rsid w:val="002907AE"/>
    <w:rsid w:val="002910F6"/>
    <w:rsid w:val="00291282"/>
    <w:rsid w:val="0029188C"/>
    <w:rsid w:val="00291B73"/>
    <w:rsid w:val="002920A3"/>
    <w:rsid w:val="00292135"/>
    <w:rsid w:val="00293503"/>
    <w:rsid w:val="002944AF"/>
    <w:rsid w:val="00294853"/>
    <w:rsid w:val="00294AF1"/>
    <w:rsid w:val="0029528E"/>
    <w:rsid w:val="002952AA"/>
    <w:rsid w:val="0029534B"/>
    <w:rsid w:val="002958C3"/>
    <w:rsid w:val="00296A85"/>
    <w:rsid w:val="0029743A"/>
    <w:rsid w:val="002979C6"/>
    <w:rsid w:val="002A0D5E"/>
    <w:rsid w:val="002A0FB9"/>
    <w:rsid w:val="002A18E1"/>
    <w:rsid w:val="002A3EB0"/>
    <w:rsid w:val="002A41BA"/>
    <w:rsid w:val="002A434C"/>
    <w:rsid w:val="002A45BA"/>
    <w:rsid w:val="002A4AC9"/>
    <w:rsid w:val="002A5AD3"/>
    <w:rsid w:val="002A6610"/>
    <w:rsid w:val="002A6DDC"/>
    <w:rsid w:val="002A78C7"/>
    <w:rsid w:val="002B035B"/>
    <w:rsid w:val="002B046C"/>
    <w:rsid w:val="002B0B68"/>
    <w:rsid w:val="002B0C89"/>
    <w:rsid w:val="002B1055"/>
    <w:rsid w:val="002B14ED"/>
    <w:rsid w:val="002B1A90"/>
    <w:rsid w:val="002B2033"/>
    <w:rsid w:val="002B25E4"/>
    <w:rsid w:val="002B2E62"/>
    <w:rsid w:val="002B31F3"/>
    <w:rsid w:val="002B3634"/>
    <w:rsid w:val="002B388E"/>
    <w:rsid w:val="002B4DA9"/>
    <w:rsid w:val="002B4EDD"/>
    <w:rsid w:val="002B56F7"/>
    <w:rsid w:val="002B5A15"/>
    <w:rsid w:val="002B5B45"/>
    <w:rsid w:val="002B5F8A"/>
    <w:rsid w:val="002B6792"/>
    <w:rsid w:val="002B6939"/>
    <w:rsid w:val="002B6CEE"/>
    <w:rsid w:val="002B71A1"/>
    <w:rsid w:val="002B78E9"/>
    <w:rsid w:val="002B7A7C"/>
    <w:rsid w:val="002B7BBC"/>
    <w:rsid w:val="002B7DDE"/>
    <w:rsid w:val="002C04A3"/>
    <w:rsid w:val="002C0B57"/>
    <w:rsid w:val="002C11F2"/>
    <w:rsid w:val="002C12B3"/>
    <w:rsid w:val="002C1F40"/>
    <w:rsid w:val="002C2F19"/>
    <w:rsid w:val="002C3498"/>
    <w:rsid w:val="002C3D42"/>
    <w:rsid w:val="002C61C5"/>
    <w:rsid w:val="002C631D"/>
    <w:rsid w:val="002C77E5"/>
    <w:rsid w:val="002D03F7"/>
    <w:rsid w:val="002D051D"/>
    <w:rsid w:val="002D0794"/>
    <w:rsid w:val="002D0E72"/>
    <w:rsid w:val="002D1FEF"/>
    <w:rsid w:val="002D23E4"/>
    <w:rsid w:val="002D24CC"/>
    <w:rsid w:val="002D2588"/>
    <w:rsid w:val="002D5457"/>
    <w:rsid w:val="002D5BE9"/>
    <w:rsid w:val="002D6D17"/>
    <w:rsid w:val="002D7B5A"/>
    <w:rsid w:val="002E1284"/>
    <w:rsid w:val="002E22E4"/>
    <w:rsid w:val="002E2706"/>
    <w:rsid w:val="002E2B6B"/>
    <w:rsid w:val="002E2F95"/>
    <w:rsid w:val="002E32D7"/>
    <w:rsid w:val="002E4A4A"/>
    <w:rsid w:val="002E4F1C"/>
    <w:rsid w:val="002E5318"/>
    <w:rsid w:val="002E5397"/>
    <w:rsid w:val="002E5CEA"/>
    <w:rsid w:val="002E6EDC"/>
    <w:rsid w:val="002E75E0"/>
    <w:rsid w:val="002F05BB"/>
    <w:rsid w:val="002F0742"/>
    <w:rsid w:val="002F0BC8"/>
    <w:rsid w:val="002F14F8"/>
    <w:rsid w:val="002F1C7D"/>
    <w:rsid w:val="002F1E5E"/>
    <w:rsid w:val="002F24FE"/>
    <w:rsid w:val="002F2770"/>
    <w:rsid w:val="002F2E60"/>
    <w:rsid w:val="002F2F65"/>
    <w:rsid w:val="002F30B7"/>
    <w:rsid w:val="002F3BCC"/>
    <w:rsid w:val="002F471E"/>
    <w:rsid w:val="002F4BB9"/>
    <w:rsid w:val="002F4D66"/>
    <w:rsid w:val="002F4DEF"/>
    <w:rsid w:val="002F629D"/>
    <w:rsid w:val="002F6582"/>
    <w:rsid w:val="002F7483"/>
    <w:rsid w:val="002F7825"/>
    <w:rsid w:val="002F7CD5"/>
    <w:rsid w:val="003009FE"/>
    <w:rsid w:val="00300BA4"/>
    <w:rsid w:val="0030158E"/>
    <w:rsid w:val="003019CF"/>
    <w:rsid w:val="00301F56"/>
    <w:rsid w:val="003025EF"/>
    <w:rsid w:val="00303BCB"/>
    <w:rsid w:val="00304708"/>
    <w:rsid w:val="00304A2A"/>
    <w:rsid w:val="00304FAD"/>
    <w:rsid w:val="003056D8"/>
    <w:rsid w:val="00305768"/>
    <w:rsid w:val="00305B61"/>
    <w:rsid w:val="0030681C"/>
    <w:rsid w:val="0030682B"/>
    <w:rsid w:val="003075FD"/>
    <w:rsid w:val="00310B46"/>
    <w:rsid w:val="00310E9D"/>
    <w:rsid w:val="003121E7"/>
    <w:rsid w:val="00314872"/>
    <w:rsid w:val="00314C8E"/>
    <w:rsid w:val="00315639"/>
    <w:rsid w:val="00315E45"/>
    <w:rsid w:val="00317458"/>
    <w:rsid w:val="00317501"/>
    <w:rsid w:val="003176BB"/>
    <w:rsid w:val="003176C1"/>
    <w:rsid w:val="003178B3"/>
    <w:rsid w:val="00320084"/>
    <w:rsid w:val="00320721"/>
    <w:rsid w:val="003222BC"/>
    <w:rsid w:val="003228B6"/>
    <w:rsid w:val="00322B01"/>
    <w:rsid w:val="00323793"/>
    <w:rsid w:val="00324120"/>
    <w:rsid w:val="0032457C"/>
    <w:rsid w:val="00324610"/>
    <w:rsid w:val="0032484C"/>
    <w:rsid w:val="00324A8A"/>
    <w:rsid w:val="003254E3"/>
    <w:rsid w:val="003261AE"/>
    <w:rsid w:val="00326ABF"/>
    <w:rsid w:val="00326EE6"/>
    <w:rsid w:val="00330220"/>
    <w:rsid w:val="00330872"/>
    <w:rsid w:val="00330A7F"/>
    <w:rsid w:val="00330C2D"/>
    <w:rsid w:val="003311C3"/>
    <w:rsid w:val="003315D7"/>
    <w:rsid w:val="00331DF7"/>
    <w:rsid w:val="003332B3"/>
    <w:rsid w:val="003341EC"/>
    <w:rsid w:val="003347DA"/>
    <w:rsid w:val="00336122"/>
    <w:rsid w:val="00336599"/>
    <w:rsid w:val="003367E9"/>
    <w:rsid w:val="0033779E"/>
    <w:rsid w:val="00340A64"/>
    <w:rsid w:val="00341A43"/>
    <w:rsid w:val="00342639"/>
    <w:rsid w:val="00343ACD"/>
    <w:rsid w:val="00343FB6"/>
    <w:rsid w:val="003449AB"/>
    <w:rsid w:val="003450E1"/>
    <w:rsid w:val="00345FF3"/>
    <w:rsid w:val="00347901"/>
    <w:rsid w:val="00347C60"/>
    <w:rsid w:val="00347FDC"/>
    <w:rsid w:val="0035037E"/>
    <w:rsid w:val="00350D1F"/>
    <w:rsid w:val="003517FB"/>
    <w:rsid w:val="00351924"/>
    <w:rsid w:val="003521BB"/>
    <w:rsid w:val="0035228D"/>
    <w:rsid w:val="00352D4E"/>
    <w:rsid w:val="00353920"/>
    <w:rsid w:val="00353E35"/>
    <w:rsid w:val="00354C52"/>
    <w:rsid w:val="003556F9"/>
    <w:rsid w:val="0035598D"/>
    <w:rsid w:val="00356C09"/>
    <w:rsid w:val="00356E39"/>
    <w:rsid w:val="00356EFF"/>
    <w:rsid w:val="003575E9"/>
    <w:rsid w:val="0035789B"/>
    <w:rsid w:val="003616A4"/>
    <w:rsid w:val="00361A92"/>
    <w:rsid w:val="003623B7"/>
    <w:rsid w:val="00362A8D"/>
    <w:rsid w:val="00363C8D"/>
    <w:rsid w:val="003649B3"/>
    <w:rsid w:val="00364C17"/>
    <w:rsid w:val="00364FEC"/>
    <w:rsid w:val="0036577A"/>
    <w:rsid w:val="00366AB8"/>
    <w:rsid w:val="003671EA"/>
    <w:rsid w:val="00367204"/>
    <w:rsid w:val="00370544"/>
    <w:rsid w:val="0037118C"/>
    <w:rsid w:val="00371D8B"/>
    <w:rsid w:val="00372194"/>
    <w:rsid w:val="003726AB"/>
    <w:rsid w:val="003727DC"/>
    <w:rsid w:val="00372A5D"/>
    <w:rsid w:val="00372A88"/>
    <w:rsid w:val="0037326F"/>
    <w:rsid w:val="00373B99"/>
    <w:rsid w:val="003753B9"/>
    <w:rsid w:val="003755F8"/>
    <w:rsid w:val="003757C0"/>
    <w:rsid w:val="00375C77"/>
    <w:rsid w:val="00375D94"/>
    <w:rsid w:val="00376662"/>
    <w:rsid w:val="0037670D"/>
    <w:rsid w:val="00377AE5"/>
    <w:rsid w:val="00380280"/>
    <w:rsid w:val="00380334"/>
    <w:rsid w:val="003806D5"/>
    <w:rsid w:val="00380940"/>
    <w:rsid w:val="00380D6C"/>
    <w:rsid w:val="0038114E"/>
    <w:rsid w:val="00381DFF"/>
    <w:rsid w:val="003830D1"/>
    <w:rsid w:val="00383A83"/>
    <w:rsid w:val="00384EA9"/>
    <w:rsid w:val="003855D5"/>
    <w:rsid w:val="003857E5"/>
    <w:rsid w:val="003865D9"/>
    <w:rsid w:val="00386E85"/>
    <w:rsid w:val="00387773"/>
    <w:rsid w:val="003913AE"/>
    <w:rsid w:val="00391A3D"/>
    <w:rsid w:val="00391AB1"/>
    <w:rsid w:val="00391AF3"/>
    <w:rsid w:val="00391D10"/>
    <w:rsid w:val="00392E4A"/>
    <w:rsid w:val="003936DD"/>
    <w:rsid w:val="00393C79"/>
    <w:rsid w:val="00393CE7"/>
    <w:rsid w:val="0039454D"/>
    <w:rsid w:val="00394B35"/>
    <w:rsid w:val="0039519E"/>
    <w:rsid w:val="0039554B"/>
    <w:rsid w:val="0039576A"/>
    <w:rsid w:val="00395858"/>
    <w:rsid w:val="00395886"/>
    <w:rsid w:val="0039686B"/>
    <w:rsid w:val="00397DB5"/>
    <w:rsid w:val="003A1A95"/>
    <w:rsid w:val="003A1B74"/>
    <w:rsid w:val="003A2376"/>
    <w:rsid w:val="003A27D8"/>
    <w:rsid w:val="003A325A"/>
    <w:rsid w:val="003A32EA"/>
    <w:rsid w:val="003A343D"/>
    <w:rsid w:val="003A362E"/>
    <w:rsid w:val="003A3B64"/>
    <w:rsid w:val="003A46E8"/>
    <w:rsid w:val="003A4758"/>
    <w:rsid w:val="003A541E"/>
    <w:rsid w:val="003A5B51"/>
    <w:rsid w:val="003A60E8"/>
    <w:rsid w:val="003A6D8B"/>
    <w:rsid w:val="003A6F48"/>
    <w:rsid w:val="003A7584"/>
    <w:rsid w:val="003A7802"/>
    <w:rsid w:val="003A7A68"/>
    <w:rsid w:val="003B0109"/>
    <w:rsid w:val="003B01C6"/>
    <w:rsid w:val="003B0EC7"/>
    <w:rsid w:val="003B1191"/>
    <w:rsid w:val="003B25C9"/>
    <w:rsid w:val="003B2A9F"/>
    <w:rsid w:val="003B3081"/>
    <w:rsid w:val="003B3DA5"/>
    <w:rsid w:val="003B421A"/>
    <w:rsid w:val="003B54F8"/>
    <w:rsid w:val="003B5983"/>
    <w:rsid w:val="003B59B2"/>
    <w:rsid w:val="003B5F1B"/>
    <w:rsid w:val="003B67F8"/>
    <w:rsid w:val="003B7308"/>
    <w:rsid w:val="003B738F"/>
    <w:rsid w:val="003B746C"/>
    <w:rsid w:val="003C0607"/>
    <w:rsid w:val="003C06EA"/>
    <w:rsid w:val="003C0B00"/>
    <w:rsid w:val="003C0B3F"/>
    <w:rsid w:val="003C0BD2"/>
    <w:rsid w:val="003C1DAA"/>
    <w:rsid w:val="003C3597"/>
    <w:rsid w:val="003C3B20"/>
    <w:rsid w:val="003C3F8C"/>
    <w:rsid w:val="003C4410"/>
    <w:rsid w:val="003C4B25"/>
    <w:rsid w:val="003C4B9D"/>
    <w:rsid w:val="003C4BFD"/>
    <w:rsid w:val="003C6A28"/>
    <w:rsid w:val="003C735C"/>
    <w:rsid w:val="003C7DA8"/>
    <w:rsid w:val="003D0A4B"/>
    <w:rsid w:val="003D11D8"/>
    <w:rsid w:val="003D18B0"/>
    <w:rsid w:val="003D315D"/>
    <w:rsid w:val="003D362D"/>
    <w:rsid w:val="003D3FB0"/>
    <w:rsid w:val="003D415E"/>
    <w:rsid w:val="003D44EC"/>
    <w:rsid w:val="003D4D80"/>
    <w:rsid w:val="003D4DA3"/>
    <w:rsid w:val="003D55A1"/>
    <w:rsid w:val="003D629B"/>
    <w:rsid w:val="003D6327"/>
    <w:rsid w:val="003D6849"/>
    <w:rsid w:val="003D6E89"/>
    <w:rsid w:val="003D722C"/>
    <w:rsid w:val="003D78F5"/>
    <w:rsid w:val="003D7F95"/>
    <w:rsid w:val="003E20E9"/>
    <w:rsid w:val="003E34EE"/>
    <w:rsid w:val="003E3EA2"/>
    <w:rsid w:val="003E52D0"/>
    <w:rsid w:val="003E53D2"/>
    <w:rsid w:val="003E586C"/>
    <w:rsid w:val="003E6936"/>
    <w:rsid w:val="003E6DD8"/>
    <w:rsid w:val="003E7F3C"/>
    <w:rsid w:val="003E7F6E"/>
    <w:rsid w:val="003F051A"/>
    <w:rsid w:val="003F141A"/>
    <w:rsid w:val="003F2CF4"/>
    <w:rsid w:val="003F2F3A"/>
    <w:rsid w:val="003F2FEF"/>
    <w:rsid w:val="003F39ED"/>
    <w:rsid w:val="003F3F79"/>
    <w:rsid w:val="003F4912"/>
    <w:rsid w:val="003F5BB2"/>
    <w:rsid w:val="003F5F67"/>
    <w:rsid w:val="003F7B10"/>
    <w:rsid w:val="00400227"/>
    <w:rsid w:val="0040097B"/>
    <w:rsid w:val="00401019"/>
    <w:rsid w:val="004013F5"/>
    <w:rsid w:val="0040146B"/>
    <w:rsid w:val="00401634"/>
    <w:rsid w:val="00402A8B"/>
    <w:rsid w:val="004033F4"/>
    <w:rsid w:val="004039D9"/>
    <w:rsid w:val="004039FC"/>
    <w:rsid w:val="00403B4D"/>
    <w:rsid w:val="00403F69"/>
    <w:rsid w:val="00403FAA"/>
    <w:rsid w:val="004040A0"/>
    <w:rsid w:val="00404945"/>
    <w:rsid w:val="0040496D"/>
    <w:rsid w:val="00404DF5"/>
    <w:rsid w:val="004057D7"/>
    <w:rsid w:val="00406641"/>
    <w:rsid w:val="00406C59"/>
    <w:rsid w:val="00406E34"/>
    <w:rsid w:val="0040701A"/>
    <w:rsid w:val="0040710C"/>
    <w:rsid w:val="00410471"/>
    <w:rsid w:val="00410906"/>
    <w:rsid w:val="00410BBA"/>
    <w:rsid w:val="00410BCE"/>
    <w:rsid w:val="00410EE2"/>
    <w:rsid w:val="00410F01"/>
    <w:rsid w:val="0041132E"/>
    <w:rsid w:val="004113C0"/>
    <w:rsid w:val="004115BA"/>
    <w:rsid w:val="00412A81"/>
    <w:rsid w:val="00412CD4"/>
    <w:rsid w:val="00413355"/>
    <w:rsid w:val="00413740"/>
    <w:rsid w:val="00413CFA"/>
    <w:rsid w:val="00415A4A"/>
    <w:rsid w:val="00415DE6"/>
    <w:rsid w:val="00415E6A"/>
    <w:rsid w:val="004160EC"/>
    <w:rsid w:val="00416312"/>
    <w:rsid w:val="0041637B"/>
    <w:rsid w:val="00416C7C"/>
    <w:rsid w:val="00416C97"/>
    <w:rsid w:val="00420DEA"/>
    <w:rsid w:val="00421348"/>
    <w:rsid w:val="004217F2"/>
    <w:rsid w:val="004224DE"/>
    <w:rsid w:val="0042312B"/>
    <w:rsid w:val="00423483"/>
    <w:rsid w:val="004253EF"/>
    <w:rsid w:val="00426463"/>
    <w:rsid w:val="00427142"/>
    <w:rsid w:val="004271A0"/>
    <w:rsid w:val="004272D1"/>
    <w:rsid w:val="00427C28"/>
    <w:rsid w:val="00427C5D"/>
    <w:rsid w:val="00430667"/>
    <w:rsid w:val="004308BB"/>
    <w:rsid w:val="004318F8"/>
    <w:rsid w:val="00431D84"/>
    <w:rsid w:val="004323EE"/>
    <w:rsid w:val="00432402"/>
    <w:rsid w:val="004334EE"/>
    <w:rsid w:val="0043394C"/>
    <w:rsid w:val="004342B9"/>
    <w:rsid w:val="0043461D"/>
    <w:rsid w:val="004346F8"/>
    <w:rsid w:val="00435494"/>
    <w:rsid w:val="004356A3"/>
    <w:rsid w:val="00437D77"/>
    <w:rsid w:val="00437F96"/>
    <w:rsid w:val="00440356"/>
    <w:rsid w:val="00440389"/>
    <w:rsid w:val="004415B0"/>
    <w:rsid w:val="00442DCC"/>
    <w:rsid w:val="00442E7D"/>
    <w:rsid w:val="0044591F"/>
    <w:rsid w:val="0044605C"/>
    <w:rsid w:val="00447CAD"/>
    <w:rsid w:val="0045022B"/>
    <w:rsid w:val="00450684"/>
    <w:rsid w:val="0045179C"/>
    <w:rsid w:val="0045225B"/>
    <w:rsid w:val="004523B5"/>
    <w:rsid w:val="00452BF7"/>
    <w:rsid w:val="00452EB6"/>
    <w:rsid w:val="00453136"/>
    <w:rsid w:val="004546A8"/>
    <w:rsid w:val="00454748"/>
    <w:rsid w:val="004556CE"/>
    <w:rsid w:val="00455EEB"/>
    <w:rsid w:val="004568AF"/>
    <w:rsid w:val="00456A6D"/>
    <w:rsid w:val="00456C2D"/>
    <w:rsid w:val="00456E58"/>
    <w:rsid w:val="00456F1D"/>
    <w:rsid w:val="00461464"/>
    <w:rsid w:val="0046179D"/>
    <w:rsid w:val="0046191E"/>
    <w:rsid w:val="00461BC0"/>
    <w:rsid w:val="00462259"/>
    <w:rsid w:val="0046285A"/>
    <w:rsid w:val="00462EE7"/>
    <w:rsid w:val="0046366E"/>
    <w:rsid w:val="0046375F"/>
    <w:rsid w:val="00464260"/>
    <w:rsid w:val="00464F03"/>
    <w:rsid w:val="0046511F"/>
    <w:rsid w:val="0046571F"/>
    <w:rsid w:val="00465AFB"/>
    <w:rsid w:val="00466233"/>
    <w:rsid w:val="00466F57"/>
    <w:rsid w:val="004678A3"/>
    <w:rsid w:val="00467DE8"/>
    <w:rsid w:val="0047109B"/>
    <w:rsid w:val="004721A4"/>
    <w:rsid w:val="0047271D"/>
    <w:rsid w:val="00473331"/>
    <w:rsid w:val="00475055"/>
    <w:rsid w:val="0047641D"/>
    <w:rsid w:val="00477243"/>
    <w:rsid w:val="00477937"/>
    <w:rsid w:val="00477DE9"/>
    <w:rsid w:val="00480288"/>
    <w:rsid w:val="004816A4"/>
    <w:rsid w:val="00482761"/>
    <w:rsid w:val="00484911"/>
    <w:rsid w:val="00484F6F"/>
    <w:rsid w:val="00485AB3"/>
    <w:rsid w:val="00485BBD"/>
    <w:rsid w:val="004860D4"/>
    <w:rsid w:val="00486204"/>
    <w:rsid w:val="004862E9"/>
    <w:rsid w:val="00486724"/>
    <w:rsid w:val="0048673B"/>
    <w:rsid w:val="00486946"/>
    <w:rsid w:val="0048725D"/>
    <w:rsid w:val="004931BE"/>
    <w:rsid w:val="00493649"/>
    <w:rsid w:val="00494678"/>
    <w:rsid w:val="00494A46"/>
    <w:rsid w:val="00494A61"/>
    <w:rsid w:val="004953FC"/>
    <w:rsid w:val="004954A7"/>
    <w:rsid w:val="004956F5"/>
    <w:rsid w:val="00495FC7"/>
    <w:rsid w:val="004968A3"/>
    <w:rsid w:val="004A1009"/>
    <w:rsid w:val="004A1893"/>
    <w:rsid w:val="004A227A"/>
    <w:rsid w:val="004A2463"/>
    <w:rsid w:val="004A3B31"/>
    <w:rsid w:val="004A3E74"/>
    <w:rsid w:val="004A55E7"/>
    <w:rsid w:val="004A5719"/>
    <w:rsid w:val="004A5963"/>
    <w:rsid w:val="004A5C5D"/>
    <w:rsid w:val="004A723D"/>
    <w:rsid w:val="004B0591"/>
    <w:rsid w:val="004B0605"/>
    <w:rsid w:val="004B1591"/>
    <w:rsid w:val="004B1A66"/>
    <w:rsid w:val="004B263C"/>
    <w:rsid w:val="004B3653"/>
    <w:rsid w:val="004B3B80"/>
    <w:rsid w:val="004B4B06"/>
    <w:rsid w:val="004B4C6E"/>
    <w:rsid w:val="004B5EA4"/>
    <w:rsid w:val="004B6240"/>
    <w:rsid w:val="004B6920"/>
    <w:rsid w:val="004B6FA8"/>
    <w:rsid w:val="004B716D"/>
    <w:rsid w:val="004C0830"/>
    <w:rsid w:val="004C138D"/>
    <w:rsid w:val="004C23C2"/>
    <w:rsid w:val="004C2C47"/>
    <w:rsid w:val="004C37E0"/>
    <w:rsid w:val="004C47A5"/>
    <w:rsid w:val="004C501E"/>
    <w:rsid w:val="004C50D6"/>
    <w:rsid w:val="004C51C1"/>
    <w:rsid w:val="004C5BFF"/>
    <w:rsid w:val="004C6EFA"/>
    <w:rsid w:val="004D0B8C"/>
    <w:rsid w:val="004D134D"/>
    <w:rsid w:val="004D1729"/>
    <w:rsid w:val="004D1AA2"/>
    <w:rsid w:val="004D1F2C"/>
    <w:rsid w:val="004D2632"/>
    <w:rsid w:val="004D2757"/>
    <w:rsid w:val="004D36FA"/>
    <w:rsid w:val="004D3A44"/>
    <w:rsid w:val="004D3C47"/>
    <w:rsid w:val="004D3C50"/>
    <w:rsid w:val="004D4295"/>
    <w:rsid w:val="004D48F3"/>
    <w:rsid w:val="004D4D3A"/>
    <w:rsid w:val="004D509E"/>
    <w:rsid w:val="004D623A"/>
    <w:rsid w:val="004D63FF"/>
    <w:rsid w:val="004D6702"/>
    <w:rsid w:val="004E0C0F"/>
    <w:rsid w:val="004E0F6B"/>
    <w:rsid w:val="004E1519"/>
    <w:rsid w:val="004E1E9F"/>
    <w:rsid w:val="004E3A5B"/>
    <w:rsid w:val="004E40F5"/>
    <w:rsid w:val="004E4F1D"/>
    <w:rsid w:val="004E5D8C"/>
    <w:rsid w:val="004E6977"/>
    <w:rsid w:val="004E7709"/>
    <w:rsid w:val="004F0664"/>
    <w:rsid w:val="004F0CCE"/>
    <w:rsid w:val="004F1730"/>
    <w:rsid w:val="004F18E3"/>
    <w:rsid w:val="004F2795"/>
    <w:rsid w:val="004F2958"/>
    <w:rsid w:val="004F35A0"/>
    <w:rsid w:val="004F37F2"/>
    <w:rsid w:val="004F3907"/>
    <w:rsid w:val="004F4683"/>
    <w:rsid w:val="004F5013"/>
    <w:rsid w:val="004F5049"/>
    <w:rsid w:val="004F505F"/>
    <w:rsid w:val="004F512D"/>
    <w:rsid w:val="004F5B1C"/>
    <w:rsid w:val="004F6066"/>
    <w:rsid w:val="004F66FB"/>
    <w:rsid w:val="004F67B1"/>
    <w:rsid w:val="004F71B4"/>
    <w:rsid w:val="004F792F"/>
    <w:rsid w:val="0050019A"/>
    <w:rsid w:val="0050069F"/>
    <w:rsid w:val="005017DB"/>
    <w:rsid w:val="005018D2"/>
    <w:rsid w:val="00502945"/>
    <w:rsid w:val="00503494"/>
    <w:rsid w:val="00504531"/>
    <w:rsid w:val="005052F8"/>
    <w:rsid w:val="005054DE"/>
    <w:rsid w:val="00505A90"/>
    <w:rsid w:val="00505AA6"/>
    <w:rsid w:val="00505EB6"/>
    <w:rsid w:val="0050788C"/>
    <w:rsid w:val="00511032"/>
    <w:rsid w:val="00511245"/>
    <w:rsid w:val="0051183C"/>
    <w:rsid w:val="00511FF1"/>
    <w:rsid w:val="0051324B"/>
    <w:rsid w:val="00514059"/>
    <w:rsid w:val="00514183"/>
    <w:rsid w:val="00514EEA"/>
    <w:rsid w:val="005151EB"/>
    <w:rsid w:val="00516204"/>
    <w:rsid w:val="0051689F"/>
    <w:rsid w:val="00516E61"/>
    <w:rsid w:val="005170C2"/>
    <w:rsid w:val="005171A0"/>
    <w:rsid w:val="00517512"/>
    <w:rsid w:val="00517CEB"/>
    <w:rsid w:val="005201C5"/>
    <w:rsid w:val="005202F6"/>
    <w:rsid w:val="00520352"/>
    <w:rsid w:val="00520A8B"/>
    <w:rsid w:val="00520AC2"/>
    <w:rsid w:val="00520D0C"/>
    <w:rsid w:val="00520DBF"/>
    <w:rsid w:val="00521014"/>
    <w:rsid w:val="005221D6"/>
    <w:rsid w:val="00522AC6"/>
    <w:rsid w:val="00522B6D"/>
    <w:rsid w:val="00523D5C"/>
    <w:rsid w:val="00523FE3"/>
    <w:rsid w:val="00524628"/>
    <w:rsid w:val="00524688"/>
    <w:rsid w:val="00524EE3"/>
    <w:rsid w:val="00525161"/>
    <w:rsid w:val="0052585A"/>
    <w:rsid w:val="00525D7E"/>
    <w:rsid w:val="005262B3"/>
    <w:rsid w:val="0053192E"/>
    <w:rsid w:val="00531A0A"/>
    <w:rsid w:val="0053201A"/>
    <w:rsid w:val="00532A79"/>
    <w:rsid w:val="00534C95"/>
    <w:rsid w:val="00535312"/>
    <w:rsid w:val="00535373"/>
    <w:rsid w:val="00536609"/>
    <w:rsid w:val="00536E31"/>
    <w:rsid w:val="00537B7E"/>
    <w:rsid w:val="00540001"/>
    <w:rsid w:val="0054003E"/>
    <w:rsid w:val="00540220"/>
    <w:rsid w:val="00540424"/>
    <w:rsid w:val="005407AD"/>
    <w:rsid w:val="00540871"/>
    <w:rsid w:val="00540B5F"/>
    <w:rsid w:val="00540BC3"/>
    <w:rsid w:val="00541096"/>
    <w:rsid w:val="005419B7"/>
    <w:rsid w:val="005422F5"/>
    <w:rsid w:val="00543B3F"/>
    <w:rsid w:val="00544131"/>
    <w:rsid w:val="0054447F"/>
    <w:rsid w:val="0054517E"/>
    <w:rsid w:val="0054601A"/>
    <w:rsid w:val="005465A7"/>
    <w:rsid w:val="00546DC4"/>
    <w:rsid w:val="0054761F"/>
    <w:rsid w:val="00547665"/>
    <w:rsid w:val="0054790A"/>
    <w:rsid w:val="00550A9D"/>
    <w:rsid w:val="00550DD3"/>
    <w:rsid w:val="00552289"/>
    <w:rsid w:val="005527D8"/>
    <w:rsid w:val="005528EE"/>
    <w:rsid w:val="00552CB4"/>
    <w:rsid w:val="00553376"/>
    <w:rsid w:val="00555D0D"/>
    <w:rsid w:val="005564D7"/>
    <w:rsid w:val="005568A1"/>
    <w:rsid w:val="00557A58"/>
    <w:rsid w:val="00557B6A"/>
    <w:rsid w:val="0056018B"/>
    <w:rsid w:val="005601DB"/>
    <w:rsid w:val="005607F0"/>
    <w:rsid w:val="00560A81"/>
    <w:rsid w:val="00560D71"/>
    <w:rsid w:val="00560E2C"/>
    <w:rsid w:val="005617C7"/>
    <w:rsid w:val="00562F42"/>
    <w:rsid w:val="005634C6"/>
    <w:rsid w:val="00563A33"/>
    <w:rsid w:val="00563BF1"/>
    <w:rsid w:val="005642DA"/>
    <w:rsid w:val="00564650"/>
    <w:rsid w:val="00564920"/>
    <w:rsid w:val="00564BA8"/>
    <w:rsid w:val="005651D1"/>
    <w:rsid w:val="005661A9"/>
    <w:rsid w:val="005668DE"/>
    <w:rsid w:val="00566D9F"/>
    <w:rsid w:val="00570315"/>
    <w:rsid w:val="005704A5"/>
    <w:rsid w:val="00570674"/>
    <w:rsid w:val="00570DD1"/>
    <w:rsid w:val="0057106D"/>
    <w:rsid w:val="005714CC"/>
    <w:rsid w:val="005720F1"/>
    <w:rsid w:val="00572126"/>
    <w:rsid w:val="00572BFD"/>
    <w:rsid w:val="005735C2"/>
    <w:rsid w:val="0057376D"/>
    <w:rsid w:val="005738DA"/>
    <w:rsid w:val="005739EC"/>
    <w:rsid w:val="00574293"/>
    <w:rsid w:val="00574380"/>
    <w:rsid w:val="00574787"/>
    <w:rsid w:val="00574BDB"/>
    <w:rsid w:val="00574DFE"/>
    <w:rsid w:val="00575189"/>
    <w:rsid w:val="0057571F"/>
    <w:rsid w:val="00575E6F"/>
    <w:rsid w:val="00575ED2"/>
    <w:rsid w:val="00580629"/>
    <w:rsid w:val="005806A3"/>
    <w:rsid w:val="00580A3D"/>
    <w:rsid w:val="005811E0"/>
    <w:rsid w:val="005814F5"/>
    <w:rsid w:val="005815A2"/>
    <w:rsid w:val="00582300"/>
    <w:rsid w:val="00582E7A"/>
    <w:rsid w:val="005833FE"/>
    <w:rsid w:val="00583C40"/>
    <w:rsid w:val="00584402"/>
    <w:rsid w:val="0058536C"/>
    <w:rsid w:val="0058579D"/>
    <w:rsid w:val="00585F50"/>
    <w:rsid w:val="005865E1"/>
    <w:rsid w:val="00587A5D"/>
    <w:rsid w:val="00587D4B"/>
    <w:rsid w:val="005906B1"/>
    <w:rsid w:val="00590B49"/>
    <w:rsid w:val="00591073"/>
    <w:rsid w:val="00591B4B"/>
    <w:rsid w:val="00592028"/>
    <w:rsid w:val="0059287A"/>
    <w:rsid w:val="005933B7"/>
    <w:rsid w:val="00593609"/>
    <w:rsid w:val="00593800"/>
    <w:rsid w:val="0059396A"/>
    <w:rsid w:val="005941CF"/>
    <w:rsid w:val="00594201"/>
    <w:rsid w:val="00595AC8"/>
    <w:rsid w:val="00595E1E"/>
    <w:rsid w:val="0059695C"/>
    <w:rsid w:val="00597AAE"/>
    <w:rsid w:val="005A000D"/>
    <w:rsid w:val="005A0EB9"/>
    <w:rsid w:val="005A1CEC"/>
    <w:rsid w:val="005A2F70"/>
    <w:rsid w:val="005A301B"/>
    <w:rsid w:val="005A3A6E"/>
    <w:rsid w:val="005A3C22"/>
    <w:rsid w:val="005A3E56"/>
    <w:rsid w:val="005A4723"/>
    <w:rsid w:val="005A4945"/>
    <w:rsid w:val="005A59EF"/>
    <w:rsid w:val="005A62E0"/>
    <w:rsid w:val="005A6A27"/>
    <w:rsid w:val="005A708B"/>
    <w:rsid w:val="005A73E9"/>
    <w:rsid w:val="005A7662"/>
    <w:rsid w:val="005A7735"/>
    <w:rsid w:val="005A77AF"/>
    <w:rsid w:val="005A7BAE"/>
    <w:rsid w:val="005A7BB1"/>
    <w:rsid w:val="005B08C3"/>
    <w:rsid w:val="005B35A2"/>
    <w:rsid w:val="005B38DB"/>
    <w:rsid w:val="005B4162"/>
    <w:rsid w:val="005B5C11"/>
    <w:rsid w:val="005B6333"/>
    <w:rsid w:val="005B6EC6"/>
    <w:rsid w:val="005B7FDA"/>
    <w:rsid w:val="005C0322"/>
    <w:rsid w:val="005C1225"/>
    <w:rsid w:val="005C1860"/>
    <w:rsid w:val="005C1972"/>
    <w:rsid w:val="005C1EB2"/>
    <w:rsid w:val="005C2018"/>
    <w:rsid w:val="005C5AC0"/>
    <w:rsid w:val="005C5B2C"/>
    <w:rsid w:val="005C5FE3"/>
    <w:rsid w:val="005C7780"/>
    <w:rsid w:val="005D1C19"/>
    <w:rsid w:val="005D209C"/>
    <w:rsid w:val="005D3455"/>
    <w:rsid w:val="005D367B"/>
    <w:rsid w:val="005D36BC"/>
    <w:rsid w:val="005D3ED6"/>
    <w:rsid w:val="005D5DF3"/>
    <w:rsid w:val="005D607E"/>
    <w:rsid w:val="005D77B1"/>
    <w:rsid w:val="005D7A12"/>
    <w:rsid w:val="005E0A05"/>
    <w:rsid w:val="005E1ABD"/>
    <w:rsid w:val="005E1D0B"/>
    <w:rsid w:val="005E1DEE"/>
    <w:rsid w:val="005E2361"/>
    <w:rsid w:val="005E31E3"/>
    <w:rsid w:val="005E36EA"/>
    <w:rsid w:val="005E41A3"/>
    <w:rsid w:val="005E4631"/>
    <w:rsid w:val="005E4CF3"/>
    <w:rsid w:val="005E59E7"/>
    <w:rsid w:val="005E6BEE"/>
    <w:rsid w:val="005E6F24"/>
    <w:rsid w:val="005E7293"/>
    <w:rsid w:val="005E7A77"/>
    <w:rsid w:val="005E7ACC"/>
    <w:rsid w:val="005E7D07"/>
    <w:rsid w:val="005F0083"/>
    <w:rsid w:val="005F11D7"/>
    <w:rsid w:val="005F1E72"/>
    <w:rsid w:val="005F2330"/>
    <w:rsid w:val="005F2678"/>
    <w:rsid w:val="005F291A"/>
    <w:rsid w:val="005F3434"/>
    <w:rsid w:val="005F3AE4"/>
    <w:rsid w:val="005F3E01"/>
    <w:rsid w:val="005F4631"/>
    <w:rsid w:val="005F4F84"/>
    <w:rsid w:val="005F67F7"/>
    <w:rsid w:val="005F7A75"/>
    <w:rsid w:val="005F7EDB"/>
    <w:rsid w:val="005F7EEC"/>
    <w:rsid w:val="006006EE"/>
    <w:rsid w:val="006007DB"/>
    <w:rsid w:val="00600FA7"/>
    <w:rsid w:val="006010F3"/>
    <w:rsid w:val="0060125F"/>
    <w:rsid w:val="00601D89"/>
    <w:rsid w:val="006022F9"/>
    <w:rsid w:val="00602368"/>
    <w:rsid w:val="006025BE"/>
    <w:rsid w:val="00602686"/>
    <w:rsid w:val="006033FB"/>
    <w:rsid w:val="00603406"/>
    <w:rsid w:val="00603E2A"/>
    <w:rsid w:val="00603F04"/>
    <w:rsid w:val="0060429F"/>
    <w:rsid w:val="0060462B"/>
    <w:rsid w:val="006063F5"/>
    <w:rsid w:val="006064E7"/>
    <w:rsid w:val="00607018"/>
    <w:rsid w:val="00607278"/>
    <w:rsid w:val="00607B26"/>
    <w:rsid w:val="00607DEE"/>
    <w:rsid w:val="00607F88"/>
    <w:rsid w:val="006109AC"/>
    <w:rsid w:val="0061114A"/>
    <w:rsid w:val="006116D6"/>
    <w:rsid w:val="0061202A"/>
    <w:rsid w:val="0061246B"/>
    <w:rsid w:val="00612F4A"/>
    <w:rsid w:val="006135FF"/>
    <w:rsid w:val="00613A8B"/>
    <w:rsid w:val="006147E4"/>
    <w:rsid w:val="00615672"/>
    <w:rsid w:val="0061576E"/>
    <w:rsid w:val="00615EA1"/>
    <w:rsid w:val="006162A2"/>
    <w:rsid w:val="00617B76"/>
    <w:rsid w:val="0062137D"/>
    <w:rsid w:val="006218BA"/>
    <w:rsid w:val="0062265F"/>
    <w:rsid w:val="00623D81"/>
    <w:rsid w:val="00625ED1"/>
    <w:rsid w:val="00626D95"/>
    <w:rsid w:val="006272AA"/>
    <w:rsid w:val="0062795A"/>
    <w:rsid w:val="00627D4B"/>
    <w:rsid w:val="00630D0F"/>
    <w:rsid w:val="0063121F"/>
    <w:rsid w:val="006325A5"/>
    <w:rsid w:val="006338DC"/>
    <w:rsid w:val="00634479"/>
    <w:rsid w:val="00635278"/>
    <w:rsid w:val="006353E2"/>
    <w:rsid w:val="00635708"/>
    <w:rsid w:val="00635DAE"/>
    <w:rsid w:val="0063610A"/>
    <w:rsid w:val="00636697"/>
    <w:rsid w:val="00636ADB"/>
    <w:rsid w:val="00640088"/>
    <w:rsid w:val="00640802"/>
    <w:rsid w:val="0064102D"/>
    <w:rsid w:val="0064109D"/>
    <w:rsid w:val="00641992"/>
    <w:rsid w:val="00641ED2"/>
    <w:rsid w:val="00641F15"/>
    <w:rsid w:val="00641F45"/>
    <w:rsid w:val="00642666"/>
    <w:rsid w:val="00642C04"/>
    <w:rsid w:val="00642CFF"/>
    <w:rsid w:val="0064465C"/>
    <w:rsid w:val="00644EA1"/>
    <w:rsid w:val="006471E9"/>
    <w:rsid w:val="00647DEA"/>
    <w:rsid w:val="0065023C"/>
    <w:rsid w:val="0065067F"/>
    <w:rsid w:val="00650A6F"/>
    <w:rsid w:val="006529DE"/>
    <w:rsid w:val="00653F00"/>
    <w:rsid w:val="00654859"/>
    <w:rsid w:val="00654BEA"/>
    <w:rsid w:val="006552DD"/>
    <w:rsid w:val="00655C81"/>
    <w:rsid w:val="0065623A"/>
    <w:rsid w:val="00656BAB"/>
    <w:rsid w:val="006578F1"/>
    <w:rsid w:val="0065791C"/>
    <w:rsid w:val="006609E5"/>
    <w:rsid w:val="006612D1"/>
    <w:rsid w:val="006617FD"/>
    <w:rsid w:val="00662670"/>
    <w:rsid w:val="0066277E"/>
    <w:rsid w:val="0066340D"/>
    <w:rsid w:val="00663928"/>
    <w:rsid w:val="00663D46"/>
    <w:rsid w:val="00663F4D"/>
    <w:rsid w:val="00663FAD"/>
    <w:rsid w:val="006657A3"/>
    <w:rsid w:val="006657A9"/>
    <w:rsid w:val="00665AB1"/>
    <w:rsid w:val="00666666"/>
    <w:rsid w:val="00666F8C"/>
    <w:rsid w:val="00666FAB"/>
    <w:rsid w:val="00670EEC"/>
    <w:rsid w:val="0067142E"/>
    <w:rsid w:val="00671F38"/>
    <w:rsid w:val="00672040"/>
    <w:rsid w:val="00673FCF"/>
    <w:rsid w:val="006744D2"/>
    <w:rsid w:val="00674869"/>
    <w:rsid w:val="0067570B"/>
    <w:rsid w:val="0067585C"/>
    <w:rsid w:val="00675C98"/>
    <w:rsid w:val="00680917"/>
    <w:rsid w:val="00680B6A"/>
    <w:rsid w:val="006824EB"/>
    <w:rsid w:val="006828E8"/>
    <w:rsid w:val="00682964"/>
    <w:rsid w:val="00682F6B"/>
    <w:rsid w:val="00683C4D"/>
    <w:rsid w:val="0068405D"/>
    <w:rsid w:val="00685299"/>
    <w:rsid w:val="006855DC"/>
    <w:rsid w:val="00686D54"/>
    <w:rsid w:val="00687180"/>
    <w:rsid w:val="0068753D"/>
    <w:rsid w:val="00687576"/>
    <w:rsid w:val="006901B6"/>
    <w:rsid w:val="006901FF"/>
    <w:rsid w:val="006919A8"/>
    <w:rsid w:val="00691AE2"/>
    <w:rsid w:val="00691D57"/>
    <w:rsid w:val="00691DA6"/>
    <w:rsid w:val="0069239C"/>
    <w:rsid w:val="00693942"/>
    <w:rsid w:val="00693A33"/>
    <w:rsid w:val="006952A5"/>
    <w:rsid w:val="006953F3"/>
    <w:rsid w:val="00695948"/>
    <w:rsid w:val="00696E77"/>
    <w:rsid w:val="00697191"/>
    <w:rsid w:val="00697782"/>
    <w:rsid w:val="006A03C4"/>
    <w:rsid w:val="006A073F"/>
    <w:rsid w:val="006A0EB7"/>
    <w:rsid w:val="006A186D"/>
    <w:rsid w:val="006A18E7"/>
    <w:rsid w:val="006A1FF0"/>
    <w:rsid w:val="006A2B58"/>
    <w:rsid w:val="006A2E5E"/>
    <w:rsid w:val="006A333F"/>
    <w:rsid w:val="006A3664"/>
    <w:rsid w:val="006A43B2"/>
    <w:rsid w:val="006A53A9"/>
    <w:rsid w:val="006A56BE"/>
    <w:rsid w:val="006A7DA9"/>
    <w:rsid w:val="006B0AD0"/>
    <w:rsid w:val="006B0B7D"/>
    <w:rsid w:val="006B1A94"/>
    <w:rsid w:val="006B2165"/>
    <w:rsid w:val="006B254F"/>
    <w:rsid w:val="006B4402"/>
    <w:rsid w:val="006B4AEF"/>
    <w:rsid w:val="006B6097"/>
    <w:rsid w:val="006B6256"/>
    <w:rsid w:val="006B7F14"/>
    <w:rsid w:val="006C26DC"/>
    <w:rsid w:val="006C3162"/>
    <w:rsid w:val="006C35F4"/>
    <w:rsid w:val="006C3696"/>
    <w:rsid w:val="006C4661"/>
    <w:rsid w:val="006C491B"/>
    <w:rsid w:val="006C4AE7"/>
    <w:rsid w:val="006C4ECF"/>
    <w:rsid w:val="006C5937"/>
    <w:rsid w:val="006C5F51"/>
    <w:rsid w:val="006C61E5"/>
    <w:rsid w:val="006C790E"/>
    <w:rsid w:val="006D0F16"/>
    <w:rsid w:val="006D4561"/>
    <w:rsid w:val="006D4BE5"/>
    <w:rsid w:val="006D54FF"/>
    <w:rsid w:val="006D60D5"/>
    <w:rsid w:val="006D62EF"/>
    <w:rsid w:val="006D6306"/>
    <w:rsid w:val="006D6713"/>
    <w:rsid w:val="006D6CA7"/>
    <w:rsid w:val="006D72E3"/>
    <w:rsid w:val="006D758B"/>
    <w:rsid w:val="006D7644"/>
    <w:rsid w:val="006D77FB"/>
    <w:rsid w:val="006D7F81"/>
    <w:rsid w:val="006E01A7"/>
    <w:rsid w:val="006E0213"/>
    <w:rsid w:val="006E0397"/>
    <w:rsid w:val="006E1970"/>
    <w:rsid w:val="006E1BD4"/>
    <w:rsid w:val="006E23FD"/>
    <w:rsid w:val="006E30BF"/>
    <w:rsid w:val="006E3AE2"/>
    <w:rsid w:val="006E4690"/>
    <w:rsid w:val="006E4C59"/>
    <w:rsid w:val="006E4CCA"/>
    <w:rsid w:val="006E4D75"/>
    <w:rsid w:val="006E4FC2"/>
    <w:rsid w:val="006E5DF4"/>
    <w:rsid w:val="006E6082"/>
    <w:rsid w:val="006E6C33"/>
    <w:rsid w:val="006E70BE"/>
    <w:rsid w:val="006F1274"/>
    <w:rsid w:val="006F1A43"/>
    <w:rsid w:val="006F1BBD"/>
    <w:rsid w:val="006F1BD4"/>
    <w:rsid w:val="006F1CCA"/>
    <w:rsid w:val="006F1F3C"/>
    <w:rsid w:val="006F201E"/>
    <w:rsid w:val="006F34AF"/>
    <w:rsid w:val="006F3BF3"/>
    <w:rsid w:val="006F3F04"/>
    <w:rsid w:val="006F4794"/>
    <w:rsid w:val="006F4895"/>
    <w:rsid w:val="006F4EF6"/>
    <w:rsid w:val="006F604C"/>
    <w:rsid w:val="006F6853"/>
    <w:rsid w:val="006F7023"/>
    <w:rsid w:val="006F7935"/>
    <w:rsid w:val="00700D0C"/>
    <w:rsid w:val="00701917"/>
    <w:rsid w:val="007019AE"/>
    <w:rsid w:val="00701B86"/>
    <w:rsid w:val="00701C81"/>
    <w:rsid w:val="00703914"/>
    <w:rsid w:val="00703C94"/>
    <w:rsid w:val="00704A94"/>
    <w:rsid w:val="00704EAB"/>
    <w:rsid w:val="00706072"/>
    <w:rsid w:val="0070638E"/>
    <w:rsid w:val="00706834"/>
    <w:rsid w:val="00706A75"/>
    <w:rsid w:val="00707AAF"/>
    <w:rsid w:val="00707C5C"/>
    <w:rsid w:val="007109DC"/>
    <w:rsid w:val="00710A41"/>
    <w:rsid w:val="007112BD"/>
    <w:rsid w:val="007139E6"/>
    <w:rsid w:val="00713D17"/>
    <w:rsid w:val="00713E5C"/>
    <w:rsid w:val="00714045"/>
    <w:rsid w:val="00715A43"/>
    <w:rsid w:val="00716126"/>
    <w:rsid w:val="00717BD7"/>
    <w:rsid w:val="00720ADF"/>
    <w:rsid w:val="00721DC0"/>
    <w:rsid w:val="00722592"/>
    <w:rsid w:val="00722E9C"/>
    <w:rsid w:val="007235F8"/>
    <w:rsid w:val="00723C7E"/>
    <w:rsid w:val="007246BC"/>
    <w:rsid w:val="007252AF"/>
    <w:rsid w:val="00725FBC"/>
    <w:rsid w:val="007267B2"/>
    <w:rsid w:val="007268B4"/>
    <w:rsid w:val="00726EF3"/>
    <w:rsid w:val="00730377"/>
    <w:rsid w:val="00730595"/>
    <w:rsid w:val="007329F2"/>
    <w:rsid w:val="00732CB0"/>
    <w:rsid w:val="00732D3A"/>
    <w:rsid w:val="00733432"/>
    <w:rsid w:val="007348AE"/>
    <w:rsid w:val="00734D90"/>
    <w:rsid w:val="007352E6"/>
    <w:rsid w:val="007357D0"/>
    <w:rsid w:val="0073584D"/>
    <w:rsid w:val="00735B4F"/>
    <w:rsid w:val="0073621A"/>
    <w:rsid w:val="0073624C"/>
    <w:rsid w:val="0074043F"/>
    <w:rsid w:val="007410B1"/>
    <w:rsid w:val="007418CB"/>
    <w:rsid w:val="00741D32"/>
    <w:rsid w:val="00742E33"/>
    <w:rsid w:val="00742F29"/>
    <w:rsid w:val="00742F7F"/>
    <w:rsid w:val="007442A9"/>
    <w:rsid w:val="00745115"/>
    <w:rsid w:val="007472E1"/>
    <w:rsid w:val="0074796E"/>
    <w:rsid w:val="00747D7A"/>
    <w:rsid w:val="00747E2D"/>
    <w:rsid w:val="0075018E"/>
    <w:rsid w:val="00750476"/>
    <w:rsid w:val="00750623"/>
    <w:rsid w:val="00751D87"/>
    <w:rsid w:val="00752DB0"/>
    <w:rsid w:val="00753221"/>
    <w:rsid w:val="00753946"/>
    <w:rsid w:val="007539A1"/>
    <w:rsid w:val="00753ADE"/>
    <w:rsid w:val="007545C5"/>
    <w:rsid w:val="007553F4"/>
    <w:rsid w:val="0075598C"/>
    <w:rsid w:val="0075690E"/>
    <w:rsid w:val="00756ABE"/>
    <w:rsid w:val="0075766E"/>
    <w:rsid w:val="007576C8"/>
    <w:rsid w:val="0075779B"/>
    <w:rsid w:val="007611FC"/>
    <w:rsid w:val="00762C62"/>
    <w:rsid w:val="00762F13"/>
    <w:rsid w:val="00763E58"/>
    <w:rsid w:val="00764FFF"/>
    <w:rsid w:val="00765C07"/>
    <w:rsid w:val="00765C56"/>
    <w:rsid w:val="00765C9B"/>
    <w:rsid w:val="00766EB1"/>
    <w:rsid w:val="007670F9"/>
    <w:rsid w:val="00767CB1"/>
    <w:rsid w:val="00770B09"/>
    <w:rsid w:val="00770B68"/>
    <w:rsid w:val="00771087"/>
    <w:rsid w:val="007712AE"/>
    <w:rsid w:val="00771B25"/>
    <w:rsid w:val="00772692"/>
    <w:rsid w:val="00773BA4"/>
    <w:rsid w:val="00776108"/>
    <w:rsid w:val="00776B65"/>
    <w:rsid w:val="007771A3"/>
    <w:rsid w:val="007774AD"/>
    <w:rsid w:val="007776E9"/>
    <w:rsid w:val="0078301F"/>
    <w:rsid w:val="00783A0D"/>
    <w:rsid w:val="00784541"/>
    <w:rsid w:val="0078515C"/>
    <w:rsid w:val="00785289"/>
    <w:rsid w:val="00785B5C"/>
    <w:rsid w:val="00786510"/>
    <w:rsid w:val="007867A5"/>
    <w:rsid w:val="00786817"/>
    <w:rsid w:val="00786AD2"/>
    <w:rsid w:val="00786F67"/>
    <w:rsid w:val="007878BD"/>
    <w:rsid w:val="007879E3"/>
    <w:rsid w:val="00787D08"/>
    <w:rsid w:val="00790DEB"/>
    <w:rsid w:val="00791CE8"/>
    <w:rsid w:val="0079290F"/>
    <w:rsid w:val="00793164"/>
    <w:rsid w:val="007933B5"/>
    <w:rsid w:val="00793844"/>
    <w:rsid w:val="0079464A"/>
    <w:rsid w:val="00795999"/>
    <w:rsid w:val="0079755A"/>
    <w:rsid w:val="00797876"/>
    <w:rsid w:val="007A0EBC"/>
    <w:rsid w:val="007A1511"/>
    <w:rsid w:val="007A2779"/>
    <w:rsid w:val="007A286B"/>
    <w:rsid w:val="007A2960"/>
    <w:rsid w:val="007A2AFC"/>
    <w:rsid w:val="007A3162"/>
    <w:rsid w:val="007A3197"/>
    <w:rsid w:val="007A4EBB"/>
    <w:rsid w:val="007A550B"/>
    <w:rsid w:val="007A605A"/>
    <w:rsid w:val="007A61D1"/>
    <w:rsid w:val="007A6838"/>
    <w:rsid w:val="007A7719"/>
    <w:rsid w:val="007B2C76"/>
    <w:rsid w:val="007B2C86"/>
    <w:rsid w:val="007B4355"/>
    <w:rsid w:val="007B4C0F"/>
    <w:rsid w:val="007B4C50"/>
    <w:rsid w:val="007B56B0"/>
    <w:rsid w:val="007B5CC7"/>
    <w:rsid w:val="007B6F37"/>
    <w:rsid w:val="007B705B"/>
    <w:rsid w:val="007C0163"/>
    <w:rsid w:val="007C034F"/>
    <w:rsid w:val="007C1195"/>
    <w:rsid w:val="007C1425"/>
    <w:rsid w:val="007C22C9"/>
    <w:rsid w:val="007C2784"/>
    <w:rsid w:val="007C27FC"/>
    <w:rsid w:val="007C2DE1"/>
    <w:rsid w:val="007C333B"/>
    <w:rsid w:val="007C3AA6"/>
    <w:rsid w:val="007C3CBE"/>
    <w:rsid w:val="007C3EAF"/>
    <w:rsid w:val="007C477F"/>
    <w:rsid w:val="007C5628"/>
    <w:rsid w:val="007C658D"/>
    <w:rsid w:val="007C6717"/>
    <w:rsid w:val="007C6E80"/>
    <w:rsid w:val="007C74AE"/>
    <w:rsid w:val="007C7F0A"/>
    <w:rsid w:val="007D00CC"/>
    <w:rsid w:val="007D0147"/>
    <w:rsid w:val="007D0A68"/>
    <w:rsid w:val="007D1EFD"/>
    <w:rsid w:val="007D2797"/>
    <w:rsid w:val="007D2829"/>
    <w:rsid w:val="007D2BAA"/>
    <w:rsid w:val="007D3ED6"/>
    <w:rsid w:val="007D443C"/>
    <w:rsid w:val="007D4531"/>
    <w:rsid w:val="007D49D3"/>
    <w:rsid w:val="007D569F"/>
    <w:rsid w:val="007D5943"/>
    <w:rsid w:val="007D5CC7"/>
    <w:rsid w:val="007D675A"/>
    <w:rsid w:val="007D6BE8"/>
    <w:rsid w:val="007D784D"/>
    <w:rsid w:val="007D7AC8"/>
    <w:rsid w:val="007E093C"/>
    <w:rsid w:val="007E17BF"/>
    <w:rsid w:val="007E25E4"/>
    <w:rsid w:val="007E35E3"/>
    <w:rsid w:val="007E3AE3"/>
    <w:rsid w:val="007E4902"/>
    <w:rsid w:val="007E4C79"/>
    <w:rsid w:val="007E4ECF"/>
    <w:rsid w:val="007E5DBE"/>
    <w:rsid w:val="007E64A6"/>
    <w:rsid w:val="007E676B"/>
    <w:rsid w:val="007E6DEB"/>
    <w:rsid w:val="007E6FB9"/>
    <w:rsid w:val="007E7BF2"/>
    <w:rsid w:val="007F03AC"/>
    <w:rsid w:val="007F0736"/>
    <w:rsid w:val="007F1BEE"/>
    <w:rsid w:val="007F1C94"/>
    <w:rsid w:val="007F2094"/>
    <w:rsid w:val="007F2DDC"/>
    <w:rsid w:val="007F4357"/>
    <w:rsid w:val="007F4487"/>
    <w:rsid w:val="007F4B88"/>
    <w:rsid w:val="007F51DE"/>
    <w:rsid w:val="007F567E"/>
    <w:rsid w:val="007F5A3B"/>
    <w:rsid w:val="007F5EFC"/>
    <w:rsid w:val="007F61E0"/>
    <w:rsid w:val="007F65C2"/>
    <w:rsid w:val="007F6975"/>
    <w:rsid w:val="007F7855"/>
    <w:rsid w:val="007F7A4E"/>
    <w:rsid w:val="008021E3"/>
    <w:rsid w:val="0080221C"/>
    <w:rsid w:val="008029EC"/>
    <w:rsid w:val="008037CE"/>
    <w:rsid w:val="0080493F"/>
    <w:rsid w:val="00804A28"/>
    <w:rsid w:val="0080516F"/>
    <w:rsid w:val="0080622B"/>
    <w:rsid w:val="0080666C"/>
    <w:rsid w:val="008069B7"/>
    <w:rsid w:val="008072F4"/>
    <w:rsid w:val="00810681"/>
    <w:rsid w:val="008106AE"/>
    <w:rsid w:val="00810C73"/>
    <w:rsid w:val="00811BDA"/>
    <w:rsid w:val="008120D8"/>
    <w:rsid w:val="00812317"/>
    <w:rsid w:val="0081283E"/>
    <w:rsid w:val="00814609"/>
    <w:rsid w:val="00814814"/>
    <w:rsid w:val="00814A3E"/>
    <w:rsid w:val="00814A48"/>
    <w:rsid w:val="008150C4"/>
    <w:rsid w:val="00815EA4"/>
    <w:rsid w:val="0081712F"/>
    <w:rsid w:val="00817169"/>
    <w:rsid w:val="00817F6A"/>
    <w:rsid w:val="00820A5D"/>
    <w:rsid w:val="008211C3"/>
    <w:rsid w:val="00821541"/>
    <w:rsid w:val="00821715"/>
    <w:rsid w:val="00822689"/>
    <w:rsid w:val="008228C0"/>
    <w:rsid w:val="00822FD0"/>
    <w:rsid w:val="008235B9"/>
    <w:rsid w:val="00823D03"/>
    <w:rsid w:val="00824176"/>
    <w:rsid w:val="00824412"/>
    <w:rsid w:val="00826114"/>
    <w:rsid w:val="008261BB"/>
    <w:rsid w:val="00830326"/>
    <w:rsid w:val="00831479"/>
    <w:rsid w:val="008317FD"/>
    <w:rsid w:val="00831F46"/>
    <w:rsid w:val="00831FF8"/>
    <w:rsid w:val="008321D0"/>
    <w:rsid w:val="00832C1B"/>
    <w:rsid w:val="00832C75"/>
    <w:rsid w:val="00833042"/>
    <w:rsid w:val="00834AA0"/>
    <w:rsid w:val="00835492"/>
    <w:rsid w:val="00835C7A"/>
    <w:rsid w:val="00835CC8"/>
    <w:rsid w:val="008368F1"/>
    <w:rsid w:val="00841915"/>
    <w:rsid w:val="008424B9"/>
    <w:rsid w:val="008427B0"/>
    <w:rsid w:val="00843A16"/>
    <w:rsid w:val="0084416E"/>
    <w:rsid w:val="008457C0"/>
    <w:rsid w:val="0084725A"/>
    <w:rsid w:val="008500FB"/>
    <w:rsid w:val="00850F9C"/>
    <w:rsid w:val="0085126C"/>
    <w:rsid w:val="00851429"/>
    <w:rsid w:val="00851D5B"/>
    <w:rsid w:val="008521F8"/>
    <w:rsid w:val="00852B24"/>
    <w:rsid w:val="008539E7"/>
    <w:rsid w:val="00853B17"/>
    <w:rsid w:val="00853B5C"/>
    <w:rsid w:val="0085434C"/>
    <w:rsid w:val="00855B1E"/>
    <w:rsid w:val="00856166"/>
    <w:rsid w:val="00856A25"/>
    <w:rsid w:val="00856E6B"/>
    <w:rsid w:val="0085732A"/>
    <w:rsid w:val="00857785"/>
    <w:rsid w:val="00857915"/>
    <w:rsid w:val="008579C8"/>
    <w:rsid w:val="00857DD1"/>
    <w:rsid w:val="00860D86"/>
    <w:rsid w:val="00861BFA"/>
    <w:rsid w:val="00861D28"/>
    <w:rsid w:val="008623AA"/>
    <w:rsid w:val="00862733"/>
    <w:rsid w:val="008630A7"/>
    <w:rsid w:val="0086345E"/>
    <w:rsid w:val="0086346E"/>
    <w:rsid w:val="00863D5B"/>
    <w:rsid w:val="00864501"/>
    <w:rsid w:val="00864E95"/>
    <w:rsid w:val="00865291"/>
    <w:rsid w:val="00865E58"/>
    <w:rsid w:val="0086665E"/>
    <w:rsid w:val="00866777"/>
    <w:rsid w:val="00866C53"/>
    <w:rsid w:val="00867307"/>
    <w:rsid w:val="008678D5"/>
    <w:rsid w:val="0087044C"/>
    <w:rsid w:val="008729EA"/>
    <w:rsid w:val="00872A44"/>
    <w:rsid w:val="00873513"/>
    <w:rsid w:val="00873848"/>
    <w:rsid w:val="008745F4"/>
    <w:rsid w:val="008746A6"/>
    <w:rsid w:val="00874D3A"/>
    <w:rsid w:val="00874E54"/>
    <w:rsid w:val="00875BE5"/>
    <w:rsid w:val="00875DDD"/>
    <w:rsid w:val="00876127"/>
    <w:rsid w:val="008766C0"/>
    <w:rsid w:val="00876804"/>
    <w:rsid w:val="00876D62"/>
    <w:rsid w:val="00876EDA"/>
    <w:rsid w:val="0087727F"/>
    <w:rsid w:val="00877640"/>
    <w:rsid w:val="0087795A"/>
    <w:rsid w:val="00877A42"/>
    <w:rsid w:val="00877FB5"/>
    <w:rsid w:val="008800DB"/>
    <w:rsid w:val="00880AA1"/>
    <w:rsid w:val="00882170"/>
    <w:rsid w:val="008828DD"/>
    <w:rsid w:val="0088299A"/>
    <w:rsid w:val="00883494"/>
    <w:rsid w:val="008842D7"/>
    <w:rsid w:val="008845F1"/>
    <w:rsid w:val="00885243"/>
    <w:rsid w:val="00885B35"/>
    <w:rsid w:val="00885BBD"/>
    <w:rsid w:val="00885EE7"/>
    <w:rsid w:val="00885EF8"/>
    <w:rsid w:val="0088606A"/>
    <w:rsid w:val="0088741B"/>
    <w:rsid w:val="008905B6"/>
    <w:rsid w:val="00890F91"/>
    <w:rsid w:val="00891574"/>
    <w:rsid w:val="00891C5C"/>
    <w:rsid w:val="0089304E"/>
    <w:rsid w:val="00893459"/>
    <w:rsid w:val="00893D11"/>
    <w:rsid w:val="00895C76"/>
    <w:rsid w:val="0089680A"/>
    <w:rsid w:val="00896EDE"/>
    <w:rsid w:val="0089781F"/>
    <w:rsid w:val="008978FC"/>
    <w:rsid w:val="00897CD4"/>
    <w:rsid w:val="008A0111"/>
    <w:rsid w:val="008A09FB"/>
    <w:rsid w:val="008A0E5B"/>
    <w:rsid w:val="008A154D"/>
    <w:rsid w:val="008A1977"/>
    <w:rsid w:val="008A1DF5"/>
    <w:rsid w:val="008A3428"/>
    <w:rsid w:val="008A3684"/>
    <w:rsid w:val="008A4742"/>
    <w:rsid w:val="008A5BFC"/>
    <w:rsid w:val="008A65E7"/>
    <w:rsid w:val="008A7743"/>
    <w:rsid w:val="008A7868"/>
    <w:rsid w:val="008B09F5"/>
    <w:rsid w:val="008B0A9C"/>
    <w:rsid w:val="008B0FE2"/>
    <w:rsid w:val="008B1CF3"/>
    <w:rsid w:val="008B2483"/>
    <w:rsid w:val="008B2BC8"/>
    <w:rsid w:val="008B35CF"/>
    <w:rsid w:val="008B360C"/>
    <w:rsid w:val="008B4407"/>
    <w:rsid w:val="008B4501"/>
    <w:rsid w:val="008B486B"/>
    <w:rsid w:val="008B4D65"/>
    <w:rsid w:val="008B65F6"/>
    <w:rsid w:val="008B67D6"/>
    <w:rsid w:val="008C050F"/>
    <w:rsid w:val="008C09E4"/>
    <w:rsid w:val="008C1A49"/>
    <w:rsid w:val="008C2900"/>
    <w:rsid w:val="008C3014"/>
    <w:rsid w:val="008C3E02"/>
    <w:rsid w:val="008C40A6"/>
    <w:rsid w:val="008C4272"/>
    <w:rsid w:val="008C498B"/>
    <w:rsid w:val="008C4B6D"/>
    <w:rsid w:val="008C4CC8"/>
    <w:rsid w:val="008C50C6"/>
    <w:rsid w:val="008C5A88"/>
    <w:rsid w:val="008C671A"/>
    <w:rsid w:val="008C67B1"/>
    <w:rsid w:val="008C6900"/>
    <w:rsid w:val="008C70FE"/>
    <w:rsid w:val="008D003F"/>
    <w:rsid w:val="008D150C"/>
    <w:rsid w:val="008D197A"/>
    <w:rsid w:val="008D1FA3"/>
    <w:rsid w:val="008D20DA"/>
    <w:rsid w:val="008D2613"/>
    <w:rsid w:val="008D2B92"/>
    <w:rsid w:val="008D2CC3"/>
    <w:rsid w:val="008D2E61"/>
    <w:rsid w:val="008D33E1"/>
    <w:rsid w:val="008D3616"/>
    <w:rsid w:val="008D3E1F"/>
    <w:rsid w:val="008D460D"/>
    <w:rsid w:val="008D4C07"/>
    <w:rsid w:val="008D54D0"/>
    <w:rsid w:val="008D55A3"/>
    <w:rsid w:val="008D55D5"/>
    <w:rsid w:val="008D5D1A"/>
    <w:rsid w:val="008D63B3"/>
    <w:rsid w:val="008D672B"/>
    <w:rsid w:val="008D6B6C"/>
    <w:rsid w:val="008D702E"/>
    <w:rsid w:val="008D713B"/>
    <w:rsid w:val="008D75C5"/>
    <w:rsid w:val="008D78E5"/>
    <w:rsid w:val="008E0939"/>
    <w:rsid w:val="008E0B35"/>
    <w:rsid w:val="008E0B5F"/>
    <w:rsid w:val="008E2800"/>
    <w:rsid w:val="008E3CA2"/>
    <w:rsid w:val="008E3DAB"/>
    <w:rsid w:val="008E404B"/>
    <w:rsid w:val="008E4309"/>
    <w:rsid w:val="008E507A"/>
    <w:rsid w:val="008E65F0"/>
    <w:rsid w:val="008E6A62"/>
    <w:rsid w:val="008E6A7D"/>
    <w:rsid w:val="008E6D31"/>
    <w:rsid w:val="008E6F09"/>
    <w:rsid w:val="008E6F10"/>
    <w:rsid w:val="008E784E"/>
    <w:rsid w:val="008E7C7E"/>
    <w:rsid w:val="008F0020"/>
    <w:rsid w:val="008F0C87"/>
    <w:rsid w:val="008F129F"/>
    <w:rsid w:val="008F192F"/>
    <w:rsid w:val="008F1E7F"/>
    <w:rsid w:val="008F210C"/>
    <w:rsid w:val="008F523F"/>
    <w:rsid w:val="008F5265"/>
    <w:rsid w:val="008F550C"/>
    <w:rsid w:val="008F67FB"/>
    <w:rsid w:val="008F6A4D"/>
    <w:rsid w:val="008F6B8C"/>
    <w:rsid w:val="008F7069"/>
    <w:rsid w:val="008F784F"/>
    <w:rsid w:val="0090046B"/>
    <w:rsid w:val="00900B0D"/>
    <w:rsid w:val="009015BE"/>
    <w:rsid w:val="0090196E"/>
    <w:rsid w:val="009019E7"/>
    <w:rsid w:val="00901B3F"/>
    <w:rsid w:val="0090288C"/>
    <w:rsid w:val="0090460B"/>
    <w:rsid w:val="00904C1B"/>
    <w:rsid w:val="00905B0F"/>
    <w:rsid w:val="00905D30"/>
    <w:rsid w:val="009060DE"/>
    <w:rsid w:val="00906685"/>
    <w:rsid w:val="009066FE"/>
    <w:rsid w:val="00906DCD"/>
    <w:rsid w:val="00907220"/>
    <w:rsid w:val="00907E70"/>
    <w:rsid w:val="00910070"/>
    <w:rsid w:val="00910155"/>
    <w:rsid w:val="009113DB"/>
    <w:rsid w:val="009114E7"/>
    <w:rsid w:val="0091151D"/>
    <w:rsid w:val="00911BF4"/>
    <w:rsid w:val="00911F45"/>
    <w:rsid w:val="009123CD"/>
    <w:rsid w:val="00912548"/>
    <w:rsid w:val="00912AAB"/>
    <w:rsid w:val="00913D54"/>
    <w:rsid w:val="00913FD7"/>
    <w:rsid w:val="0091494A"/>
    <w:rsid w:val="00914B4A"/>
    <w:rsid w:val="009153C8"/>
    <w:rsid w:val="00915CD8"/>
    <w:rsid w:val="00915DA5"/>
    <w:rsid w:val="009163A7"/>
    <w:rsid w:val="0091652B"/>
    <w:rsid w:val="00920142"/>
    <w:rsid w:val="0092027A"/>
    <w:rsid w:val="0092047E"/>
    <w:rsid w:val="0092054D"/>
    <w:rsid w:val="00921207"/>
    <w:rsid w:val="009216D9"/>
    <w:rsid w:val="0092326F"/>
    <w:rsid w:val="009235A3"/>
    <w:rsid w:val="0092374C"/>
    <w:rsid w:val="00923E61"/>
    <w:rsid w:val="00924BBC"/>
    <w:rsid w:val="00925821"/>
    <w:rsid w:val="00925829"/>
    <w:rsid w:val="00926B56"/>
    <w:rsid w:val="00926F3B"/>
    <w:rsid w:val="00927032"/>
    <w:rsid w:val="00930987"/>
    <w:rsid w:val="0093108F"/>
    <w:rsid w:val="00931E43"/>
    <w:rsid w:val="00931F52"/>
    <w:rsid w:val="00931FC7"/>
    <w:rsid w:val="009326A6"/>
    <w:rsid w:val="00932AED"/>
    <w:rsid w:val="00932F28"/>
    <w:rsid w:val="00933B52"/>
    <w:rsid w:val="00933B76"/>
    <w:rsid w:val="009353E1"/>
    <w:rsid w:val="009355D4"/>
    <w:rsid w:val="009367EA"/>
    <w:rsid w:val="009416E4"/>
    <w:rsid w:val="00941705"/>
    <w:rsid w:val="00941A60"/>
    <w:rsid w:val="00942826"/>
    <w:rsid w:val="00942AE5"/>
    <w:rsid w:val="0094306A"/>
    <w:rsid w:val="0094335B"/>
    <w:rsid w:val="00943E2F"/>
    <w:rsid w:val="00944375"/>
    <w:rsid w:val="009451E8"/>
    <w:rsid w:val="009472CA"/>
    <w:rsid w:val="00950508"/>
    <w:rsid w:val="009528FE"/>
    <w:rsid w:val="00953099"/>
    <w:rsid w:val="009538A4"/>
    <w:rsid w:val="009541B5"/>
    <w:rsid w:val="0095457F"/>
    <w:rsid w:val="0095583C"/>
    <w:rsid w:val="00957BD2"/>
    <w:rsid w:val="00957F7F"/>
    <w:rsid w:val="00957FBE"/>
    <w:rsid w:val="00960776"/>
    <w:rsid w:val="00960CBB"/>
    <w:rsid w:val="009618FE"/>
    <w:rsid w:val="00961CD5"/>
    <w:rsid w:val="009623A3"/>
    <w:rsid w:val="00962939"/>
    <w:rsid w:val="00962FD0"/>
    <w:rsid w:val="009637B2"/>
    <w:rsid w:val="00963A85"/>
    <w:rsid w:val="0096401A"/>
    <w:rsid w:val="00964D43"/>
    <w:rsid w:val="00964DF2"/>
    <w:rsid w:val="00965336"/>
    <w:rsid w:val="009661EE"/>
    <w:rsid w:val="009667A4"/>
    <w:rsid w:val="0096793A"/>
    <w:rsid w:val="00970D2F"/>
    <w:rsid w:val="00971149"/>
    <w:rsid w:val="00971C49"/>
    <w:rsid w:val="00971C94"/>
    <w:rsid w:val="00972EA5"/>
    <w:rsid w:val="00972FDB"/>
    <w:rsid w:val="009730F1"/>
    <w:rsid w:val="0097314B"/>
    <w:rsid w:val="0097366F"/>
    <w:rsid w:val="00973F5C"/>
    <w:rsid w:val="0097506D"/>
    <w:rsid w:val="009751CA"/>
    <w:rsid w:val="009753E8"/>
    <w:rsid w:val="00975C4E"/>
    <w:rsid w:val="0097619E"/>
    <w:rsid w:val="009766E2"/>
    <w:rsid w:val="009801E8"/>
    <w:rsid w:val="00981423"/>
    <w:rsid w:val="009814EE"/>
    <w:rsid w:val="009817D6"/>
    <w:rsid w:val="0098251E"/>
    <w:rsid w:val="009827F6"/>
    <w:rsid w:val="00982E1B"/>
    <w:rsid w:val="00984207"/>
    <w:rsid w:val="00984999"/>
    <w:rsid w:val="009850D3"/>
    <w:rsid w:val="00985B56"/>
    <w:rsid w:val="00985C94"/>
    <w:rsid w:val="00985D5E"/>
    <w:rsid w:val="00986376"/>
    <w:rsid w:val="0098637D"/>
    <w:rsid w:val="00986E09"/>
    <w:rsid w:val="00987C48"/>
    <w:rsid w:val="00990561"/>
    <w:rsid w:val="00990BED"/>
    <w:rsid w:val="0099142C"/>
    <w:rsid w:val="00991F00"/>
    <w:rsid w:val="00992696"/>
    <w:rsid w:val="009931EF"/>
    <w:rsid w:val="00993771"/>
    <w:rsid w:val="009947B5"/>
    <w:rsid w:val="009954C6"/>
    <w:rsid w:val="00995CCF"/>
    <w:rsid w:val="0099621D"/>
    <w:rsid w:val="00996896"/>
    <w:rsid w:val="00996ABB"/>
    <w:rsid w:val="00997829"/>
    <w:rsid w:val="00997E19"/>
    <w:rsid w:val="009A0A19"/>
    <w:rsid w:val="009A0C98"/>
    <w:rsid w:val="009A41CF"/>
    <w:rsid w:val="009A41FF"/>
    <w:rsid w:val="009A45C2"/>
    <w:rsid w:val="009A53C2"/>
    <w:rsid w:val="009A5FEE"/>
    <w:rsid w:val="009A6BDD"/>
    <w:rsid w:val="009A7019"/>
    <w:rsid w:val="009A70AB"/>
    <w:rsid w:val="009B1143"/>
    <w:rsid w:val="009B1C25"/>
    <w:rsid w:val="009B1FD6"/>
    <w:rsid w:val="009B2B1B"/>
    <w:rsid w:val="009B2D37"/>
    <w:rsid w:val="009B6AF5"/>
    <w:rsid w:val="009B6F95"/>
    <w:rsid w:val="009B7CCC"/>
    <w:rsid w:val="009C14A0"/>
    <w:rsid w:val="009C2144"/>
    <w:rsid w:val="009C2944"/>
    <w:rsid w:val="009C2A48"/>
    <w:rsid w:val="009C32B6"/>
    <w:rsid w:val="009C3872"/>
    <w:rsid w:val="009C4AFF"/>
    <w:rsid w:val="009C58AD"/>
    <w:rsid w:val="009C5A13"/>
    <w:rsid w:val="009C60CF"/>
    <w:rsid w:val="009C6A9E"/>
    <w:rsid w:val="009C6E24"/>
    <w:rsid w:val="009C7C75"/>
    <w:rsid w:val="009D16C8"/>
    <w:rsid w:val="009D186C"/>
    <w:rsid w:val="009D1B0B"/>
    <w:rsid w:val="009D341A"/>
    <w:rsid w:val="009D38EF"/>
    <w:rsid w:val="009D45D1"/>
    <w:rsid w:val="009D4AB1"/>
    <w:rsid w:val="009D4BD3"/>
    <w:rsid w:val="009D4DB7"/>
    <w:rsid w:val="009D5331"/>
    <w:rsid w:val="009D5437"/>
    <w:rsid w:val="009D5B41"/>
    <w:rsid w:val="009D718F"/>
    <w:rsid w:val="009D7378"/>
    <w:rsid w:val="009D77B0"/>
    <w:rsid w:val="009E0043"/>
    <w:rsid w:val="009E1659"/>
    <w:rsid w:val="009E1A83"/>
    <w:rsid w:val="009E20BE"/>
    <w:rsid w:val="009E24B3"/>
    <w:rsid w:val="009E28D9"/>
    <w:rsid w:val="009E3207"/>
    <w:rsid w:val="009E562B"/>
    <w:rsid w:val="009E5647"/>
    <w:rsid w:val="009E575E"/>
    <w:rsid w:val="009E5946"/>
    <w:rsid w:val="009E6B33"/>
    <w:rsid w:val="009E7C72"/>
    <w:rsid w:val="009E7DFB"/>
    <w:rsid w:val="009E7EB8"/>
    <w:rsid w:val="009F032A"/>
    <w:rsid w:val="009F03AB"/>
    <w:rsid w:val="009F0FFE"/>
    <w:rsid w:val="009F11D2"/>
    <w:rsid w:val="009F1C00"/>
    <w:rsid w:val="009F277D"/>
    <w:rsid w:val="009F29EE"/>
    <w:rsid w:val="009F36D9"/>
    <w:rsid w:val="009F4AC6"/>
    <w:rsid w:val="009F6138"/>
    <w:rsid w:val="009F6223"/>
    <w:rsid w:val="009F63B7"/>
    <w:rsid w:val="009F7A75"/>
    <w:rsid w:val="009F7D6B"/>
    <w:rsid w:val="00A0034A"/>
    <w:rsid w:val="00A003B6"/>
    <w:rsid w:val="00A0095A"/>
    <w:rsid w:val="00A00A5E"/>
    <w:rsid w:val="00A02169"/>
    <w:rsid w:val="00A026FE"/>
    <w:rsid w:val="00A02A0D"/>
    <w:rsid w:val="00A02E33"/>
    <w:rsid w:val="00A03245"/>
    <w:rsid w:val="00A0408D"/>
    <w:rsid w:val="00A04259"/>
    <w:rsid w:val="00A04CF8"/>
    <w:rsid w:val="00A056CB"/>
    <w:rsid w:val="00A074B4"/>
    <w:rsid w:val="00A106C5"/>
    <w:rsid w:val="00A10894"/>
    <w:rsid w:val="00A1122B"/>
    <w:rsid w:val="00A11272"/>
    <w:rsid w:val="00A11860"/>
    <w:rsid w:val="00A11B19"/>
    <w:rsid w:val="00A129A7"/>
    <w:rsid w:val="00A129D0"/>
    <w:rsid w:val="00A12B63"/>
    <w:rsid w:val="00A13515"/>
    <w:rsid w:val="00A1392C"/>
    <w:rsid w:val="00A14F4C"/>
    <w:rsid w:val="00A15064"/>
    <w:rsid w:val="00A168B0"/>
    <w:rsid w:val="00A175F8"/>
    <w:rsid w:val="00A17D59"/>
    <w:rsid w:val="00A2078C"/>
    <w:rsid w:val="00A20849"/>
    <w:rsid w:val="00A20DB3"/>
    <w:rsid w:val="00A21601"/>
    <w:rsid w:val="00A216BD"/>
    <w:rsid w:val="00A2193D"/>
    <w:rsid w:val="00A219D3"/>
    <w:rsid w:val="00A21B16"/>
    <w:rsid w:val="00A22159"/>
    <w:rsid w:val="00A224DB"/>
    <w:rsid w:val="00A230CE"/>
    <w:rsid w:val="00A23917"/>
    <w:rsid w:val="00A23A88"/>
    <w:rsid w:val="00A23E4F"/>
    <w:rsid w:val="00A25112"/>
    <w:rsid w:val="00A254B2"/>
    <w:rsid w:val="00A25A1E"/>
    <w:rsid w:val="00A2605D"/>
    <w:rsid w:val="00A26226"/>
    <w:rsid w:val="00A26E15"/>
    <w:rsid w:val="00A2702A"/>
    <w:rsid w:val="00A27272"/>
    <w:rsid w:val="00A27727"/>
    <w:rsid w:val="00A304E2"/>
    <w:rsid w:val="00A30E58"/>
    <w:rsid w:val="00A316DC"/>
    <w:rsid w:val="00A31ABF"/>
    <w:rsid w:val="00A340A5"/>
    <w:rsid w:val="00A353BD"/>
    <w:rsid w:val="00A35B69"/>
    <w:rsid w:val="00A36161"/>
    <w:rsid w:val="00A3717B"/>
    <w:rsid w:val="00A37483"/>
    <w:rsid w:val="00A37B09"/>
    <w:rsid w:val="00A37B11"/>
    <w:rsid w:val="00A37C54"/>
    <w:rsid w:val="00A41529"/>
    <w:rsid w:val="00A41899"/>
    <w:rsid w:val="00A41E9F"/>
    <w:rsid w:val="00A42095"/>
    <w:rsid w:val="00A42161"/>
    <w:rsid w:val="00A42219"/>
    <w:rsid w:val="00A43166"/>
    <w:rsid w:val="00A43754"/>
    <w:rsid w:val="00A438D1"/>
    <w:rsid w:val="00A43E32"/>
    <w:rsid w:val="00A444E9"/>
    <w:rsid w:val="00A4491D"/>
    <w:rsid w:val="00A449A4"/>
    <w:rsid w:val="00A450E6"/>
    <w:rsid w:val="00A45470"/>
    <w:rsid w:val="00A461E6"/>
    <w:rsid w:val="00A461EE"/>
    <w:rsid w:val="00A46EC9"/>
    <w:rsid w:val="00A46ED6"/>
    <w:rsid w:val="00A50010"/>
    <w:rsid w:val="00A5215F"/>
    <w:rsid w:val="00A5295D"/>
    <w:rsid w:val="00A53140"/>
    <w:rsid w:val="00A5331F"/>
    <w:rsid w:val="00A5466C"/>
    <w:rsid w:val="00A55121"/>
    <w:rsid w:val="00A55893"/>
    <w:rsid w:val="00A55930"/>
    <w:rsid w:val="00A55BA4"/>
    <w:rsid w:val="00A56340"/>
    <w:rsid w:val="00A56655"/>
    <w:rsid w:val="00A567E8"/>
    <w:rsid w:val="00A56A36"/>
    <w:rsid w:val="00A56B84"/>
    <w:rsid w:val="00A56BF5"/>
    <w:rsid w:val="00A56DD9"/>
    <w:rsid w:val="00A60B73"/>
    <w:rsid w:val="00A60E2B"/>
    <w:rsid w:val="00A61864"/>
    <w:rsid w:val="00A61956"/>
    <w:rsid w:val="00A61B73"/>
    <w:rsid w:val="00A61BB5"/>
    <w:rsid w:val="00A63060"/>
    <w:rsid w:val="00A634A4"/>
    <w:rsid w:val="00A6362C"/>
    <w:rsid w:val="00A63D31"/>
    <w:rsid w:val="00A63E3F"/>
    <w:rsid w:val="00A642E1"/>
    <w:rsid w:val="00A64668"/>
    <w:rsid w:val="00A657DF"/>
    <w:rsid w:val="00A661D7"/>
    <w:rsid w:val="00A66215"/>
    <w:rsid w:val="00A667B3"/>
    <w:rsid w:val="00A66F4D"/>
    <w:rsid w:val="00A67564"/>
    <w:rsid w:val="00A67AEE"/>
    <w:rsid w:val="00A67D6D"/>
    <w:rsid w:val="00A718F1"/>
    <w:rsid w:val="00A71FB4"/>
    <w:rsid w:val="00A722A8"/>
    <w:rsid w:val="00A74888"/>
    <w:rsid w:val="00A752A2"/>
    <w:rsid w:val="00A756C9"/>
    <w:rsid w:val="00A75A38"/>
    <w:rsid w:val="00A75AD5"/>
    <w:rsid w:val="00A7685B"/>
    <w:rsid w:val="00A80B9F"/>
    <w:rsid w:val="00A81B3A"/>
    <w:rsid w:val="00A840AE"/>
    <w:rsid w:val="00A84F9F"/>
    <w:rsid w:val="00A85165"/>
    <w:rsid w:val="00A852FC"/>
    <w:rsid w:val="00A858CB"/>
    <w:rsid w:val="00A869C5"/>
    <w:rsid w:val="00A86DDB"/>
    <w:rsid w:val="00A90866"/>
    <w:rsid w:val="00A9171D"/>
    <w:rsid w:val="00A9206A"/>
    <w:rsid w:val="00A93DA9"/>
    <w:rsid w:val="00A942AC"/>
    <w:rsid w:val="00A94443"/>
    <w:rsid w:val="00A945F3"/>
    <w:rsid w:val="00A94EFD"/>
    <w:rsid w:val="00A94F26"/>
    <w:rsid w:val="00A94FD3"/>
    <w:rsid w:val="00A9563D"/>
    <w:rsid w:val="00A95BB6"/>
    <w:rsid w:val="00A9651C"/>
    <w:rsid w:val="00A966D7"/>
    <w:rsid w:val="00A96B32"/>
    <w:rsid w:val="00A9770B"/>
    <w:rsid w:val="00AA01D4"/>
    <w:rsid w:val="00AA0D0B"/>
    <w:rsid w:val="00AA0DDB"/>
    <w:rsid w:val="00AA199F"/>
    <w:rsid w:val="00AA2237"/>
    <w:rsid w:val="00AA2CF8"/>
    <w:rsid w:val="00AA3737"/>
    <w:rsid w:val="00AA415C"/>
    <w:rsid w:val="00AA4564"/>
    <w:rsid w:val="00AA4A26"/>
    <w:rsid w:val="00AA4A62"/>
    <w:rsid w:val="00AA4E83"/>
    <w:rsid w:val="00AA5186"/>
    <w:rsid w:val="00AA58FB"/>
    <w:rsid w:val="00AA5FB8"/>
    <w:rsid w:val="00AA62B4"/>
    <w:rsid w:val="00AA72EC"/>
    <w:rsid w:val="00AA7536"/>
    <w:rsid w:val="00AB18B9"/>
    <w:rsid w:val="00AB295F"/>
    <w:rsid w:val="00AB2B13"/>
    <w:rsid w:val="00AB3110"/>
    <w:rsid w:val="00AB311A"/>
    <w:rsid w:val="00AB3809"/>
    <w:rsid w:val="00AB403D"/>
    <w:rsid w:val="00AB42D3"/>
    <w:rsid w:val="00AB4947"/>
    <w:rsid w:val="00AB5A10"/>
    <w:rsid w:val="00AB70C1"/>
    <w:rsid w:val="00AB72A9"/>
    <w:rsid w:val="00AB7DFF"/>
    <w:rsid w:val="00AC02A2"/>
    <w:rsid w:val="00AC0F01"/>
    <w:rsid w:val="00AC14F9"/>
    <w:rsid w:val="00AC19D1"/>
    <w:rsid w:val="00AC1A90"/>
    <w:rsid w:val="00AC3415"/>
    <w:rsid w:val="00AC387A"/>
    <w:rsid w:val="00AC39D1"/>
    <w:rsid w:val="00AC40FE"/>
    <w:rsid w:val="00AC4237"/>
    <w:rsid w:val="00AC4CBC"/>
    <w:rsid w:val="00AC5BFB"/>
    <w:rsid w:val="00AC6001"/>
    <w:rsid w:val="00AC6200"/>
    <w:rsid w:val="00AD01AC"/>
    <w:rsid w:val="00AD0FDB"/>
    <w:rsid w:val="00AD104F"/>
    <w:rsid w:val="00AD207B"/>
    <w:rsid w:val="00AD321A"/>
    <w:rsid w:val="00AD47E9"/>
    <w:rsid w:val="00AD4930"/>
    <w:rsid w:val="00AD4B11"/>
    <w:rsid w:val="00AD5FDD"/>
    <w:rsid w:val="00AD641E"/>
    <w:rsid w:val="00AD6A03"/>
    <w:rsid w:val="00AD7038"/>
    <w:rsid w:val="00AE04AF"/>
    <w:rsid w:val="00AE07AC"/>
    <w:rsid w:val="00AE1B68"/>
    <w:rsid w:val="00AE1FF9"/>
    <w:rsid w:val="00AE2033"/>
    <w:rsid w:val="00AE25F9"/>
    <w:rsid w:val="00AE38E5"/>
    <w:rsid w:val="00AE46A3"/>
    <w:rsid w:val="00AE5602"/>
    <w:rsid w:val="00AE5B7A"/>
    <w:rsid w:val="00AE6486"/>
    <w:rsid w:val="00AE7B36"/>
    <w:rsid w:val="00AF0183"/>
    <w:rsid w:val="00AF022B"/>
    <w:rsid w:val="00AF024C"/>
    <w:rsid w:val="00AF0F8F"/>
    <w:rsid w:val="00AF2CBC"/>
    <w:rsid w:val="00AF3441"/>
    <w:rsid w:val="00AF35C6"/>
    <w:rsid w:val="00AF3D51"/>
    <w:rsid w:val="00AF3DED"/>
    <w:rsid w:val="00AF3F85"/>
    <w:rsid w:val="00AF4716"/>
    <w:rsid w:val="00AF492C"/>
    <w:rsid w:val="00AF4D63"/>
    <w:rsid w:val="00AF5DDF"/>
    <w:rsid w:val="00AF6842"/>
    <w:rsid w:val="00AF6E40"/>
    <w:rsid w:val="00AF7233"/>
    <w:rsid w:val="00AF7A17"/>
    <w:rsid w:val="00B00BE3"/>
    <w:rsid w:val="00B00E29"/>
    <w:rsid w:val="00B01231"/>
    <w:rsid w:val="00B036E4"/>
    <w:rsid w:val="00B036EE"/>
    <w:rsid w:val="00B03AA8"/>
    <w:rsid w:val="00B03FA1"/>
    <w:rsid w:val="00B04188"/>
    <w:rsid w:val="00B042B2"/>
    <w:rsid w:val="00B0445F"/>
    <w:rsid w:val="00B04578"/>
    <w:rsid w:val="00B054A6"/>
    <w:rsid w:val="00B05B1B"/>
    <w:rsid w:val="00B06A00"/>
    <w:rsid w:val="00B06D59"/>
    <w:rsid w:val="00B110ED"/>
    <w:rsid w:val="00B11185"/>
    <w:rsid w:val="00B1210C"/>
    <w:rsid w:val="00B131EF"/>
    <w:rsid w:val="00B1362D"/>
    <w:rsid w:val="00B139A4"/>
    <w:rsid w:val="00B14651"/>
    <w:rsid w:val="00B15281"/>
    <w:rsid w:val="00B152DA"/>
    <w:rsid w:val="00B15C31"/>
    <w:rsid w:val="00B15E7F"/>
    <w:rsid w:val="00B162B8"/>
    <w:rsid w:val="00B162E0"/>
    <w:rsid w:val="00B17012"/>
    <w:rsid w:val="00B177FC"/>
    <w:rsid w:val="00B17CD3"/>
    <w:rsid w:val="00B17E04"/>
    <w:rsid w:val="00B20FBA"/>
    <w:rsid w:val="00B212C3"/>
    <w:rsid w:val="00B2280A"/>
    <w:rsid w:val="00B22A3F"/>
    <w:rsid w:val="00B23EEF"/>
    <w:rsid w:val="00B244F1"/>
    <w:rsid w:val="00B25969"/>
    <w:rsid w:val="00B26057"/>
    <w:rsid w:val="00B2660A"/>
    <w:rsid w:val="00B26717"/>
    <w:rsid w:val="00B26D55"/>
    <w:rsid w:val="00B27757"/>
    <w:rsid w:val="00B3025A"/>
    <w:rsid w:val="00B306B0"/>
    <w:rsid w:val="00B31A9C"/>
    <w:rsid w:val="00B31F84"/>
    <w:rsid w:val="00B32F53"/>
    <w:rsid w:val="00B333E9"/>
    <w:rsid w:val="00B33B91"/>
    <w:rsid w:val="00B34457"/>
    <w:rsid w:val="00B344D8"/>
    <w:rsid w:val="00B34E7C"/>
    <w:rsid w:val="00B34FF1"/>
    <w:rsid w:val="00B35BAC"/>
    <w:rsid w:val="00B35CDD"/>
    <w:rsid w:val="00B36A4E"/>
    <w:rsid w:val="00B36DDF"/>
    <w:rsid w:val="00B371B7"/>
    <w:rsid w:val="00B37D68"/>
    <w:rsid w:val="00B37D79"/>
    <w:rsid w:val="00B406BC"/>
    <w:rsid w:val="00B4156E"/>
    <w:rsid w:val="00B42D21"/>
    <w:rsid w:val="00B4379D"/>
    <w:rsid w:val="00B43B15"/>
    <w:rsid w:val="00B43E87"/>
    <w:rsid w:val="00B442B9"/>
    <w:rsid w:val="00B44D4C"/>
    <w:rsid w:val="00B44FF8"/>
    <w:rsid w:val="00B4580D"/>
    <w:rsid w:val="00B46657"/>
    <w:rsid w:val="00B46BE6"/>
    <w:rsid w:val="00B47246"/>
    <w:rsid w:val="00B473F4"/>
    <w:rsid w:val="00B50014"/>
    <w:rsid w:val="00B5076B"/>
    <w:rsid w:val="00B50CD9"/>
    <w:rsid w:val="00B51391"/>
    <w:rsid w:val="00B51FDC"/>
    <w:rsid w:val="00B532DE"/>
    <w:rsid w:val="00B533A9"/>
    <w:rsid w:val="00B53523"/>
    <w:rsid w:val="00B53894"/>
    <w:rsid w:val="00B53A4E"/>
    <w:rsid w:val="00B53F1E"/>
    <w:rsid w:val="00B54E50"/>
    <w:rsid w:val="00B54EDB"/>
    <w:rsid w:val="00B55547"/>
    <w:rsid w:val="00B55CCA"/>
    <w:rsid w:val="00B55FB5"/>
    <w:rsid w:val="00B561F8"/>
    <w:rsid w:val="00B56B5A"/>
    <w:rsid w:val="00B57580"/>
    <w:rsid w:val="00B604F0"/>
    <w:rsid w:val="00B6156A"/>
    <w:rsid w:val="00B61C87"/>
    <w:rsid w:val="00B62057"/>
    <w:rsid w:val="00B62134"/>
    <w:rsid w:val="00B62140"/>
    <w:rsid w:val="00B624C1"/>
    <w:rsid w:val="00B62AC2"/>
    <w:rsid w:val="00B62C73"/>
    <w:rsid w:val="00B62CCB"/>
    <w:rsid w:val="00B63363"/>
    <w:rsid w:val="00B636B2"/>
    <w:rsid w:val="00B63A95"/>
    <w:rsid w:val="00B63CFF"/>
    <w:rsid w:val="00B63DCB"/>
    <w:rsid w:val="00B63FE0"/>
    <w:rsid w:val="00B64080"/>
    <w:rsid w:val="00B640E9"/>
    <w:rsid w:val="00B64FCE"/>
    <w:rsid w:val="00B65553"/>
    <w:rsid w:val="00B65FCF"/>
    <w:rsid w:val="00B67D1E"/>
    <w:rsid w:val="00B702B6"/>
    <w:rsid w:val="00B7038E"/>
    <w:rsid w:val="00B70933"/>
    <w:rsid w:val="00B71D00"/>
    <w:rsid w:val="00B71D8F"/>
    <w:rsid w:val="00B75525"/>
    <w:rsid w:val="00B76468"/>
    <w:rsid w:val="00B76761"/>
    <w:rsid w:val="00B767BE"/>
    <w:rsid w:val="00B76B4E"/>
    <w:rsid w:val="00B76ED3"/>
    <w:rsid w:val="00B77281"/>
    <w:rsid w:val="00B77D90"/>
    <w:rsid w:val="00B80060"/>
    <w:rsid w:val="00B81276"/>
    <w:rsid w:val="00B83032"/>
    <w:rsid w:val="00B830BE"/>
    <w:rsid w:val="00B839AC"/>
    <w:rsid w:val="00B856BA"/>
    <w:rsid w:val="00B857C8"/>
    <w:rsid w:val="00B85A13"/>
    <w:rsid w:val="00B862EF"/>
    <w:rsid w:val="00B869E1"/>
    <w:rsid w:val="00B86DDA"/>
    <w:rsid w:val="00B87220"/>
    <w:rsid w:val="00B87880"/>
    <w:rsid w:val="00B90889"/>
    <w:rsid w:val="00B909B7"/>
    <w:rsid w:val="00B9204D"/>
    <w:rsid w:val="00B940C5"/>
    <w:rsid w:val="00B94804"/>
    <w:rsid w:val="00B95076"/>
    <w:rsid w:val="00B9519E"/>
    <w:rsid w:val="00B95636"/>
    <w:rsid w:val="00B95911"/>
    <w:rsid w:val="00B95AC5"/>
    <w:rsid w:val="00B962AF"/>
    <w:rsid w:val="00B9652A"/>
    <w:rsid w:val="00B97099"/>
    <w:rsid w:val="00B97DE6"/>
    <w:rsid w:val="00BA0994"/>
    <w:rsid w:val="00BA2578"/>
    <w:rsid w:val="00BA265C"/>
    <w:rsid w:val="00BA277D"/>
    <w:rsid w:val="00BA34BC"/>
    <w:rsid w:val="00BA3606"/>
    <w:rsid w:val="00BA3D99"/>
    <w:rsid w:val="00BA3F81"/>
    <w:rsid w:val="00BA4681"/>
    <w:rsid w:val="00BA5053"/>
    <w:rsid w:val="00BA57EA"/>
    <w:rsid w:val="00BA5E35"/>
    <w:rsid w:val="00BA64C1"/>
    <w:rsid w:val="00BA64CA"/>
    <w:rsid w:val="00BA74F2"/>
    <w:rsid w:val="00BA7C7A"/>
    <w:rsid w:val="00BB0556"/>
    <w:rsid w:val="00BB05D1"/>
    <w:rsid w:val="00BB0A06"/>
    <w:rsid w:val="00BB13EC"/>
    <w:rsid w:val="00BB1D9A"/>
    <w:rsid w:val="00BB2C33"/>
    <w:rsid w:val="00BB34D1"/>
    <w:rsid w:val="00BB3CD6"/>
    <w:rsid w:val="00BB4589"/>
    <w:rsid w:val="00BB48CC"/>
    <w:rsid w:val="00BB49DC"/>
    <w:rsid w:val="00BB4AEF"/>
    <w:rsid w:val="00BB652E"/>
    <w:rsid w:val="00BB6D94"/>
    <w:rsid w:val="00BB6E3B"/>
    <w:rsid w:val="00BB6EE2"/>
    <w:rsid w:val="00BB70EA"/>
    <w:rsid w:val="00BB7274"/>
    <w:rsid w:val="00BB78CE"/>
    <w:rsid w:val="00BB796F"/>
    <w:rsid w:val="00BC0CC8"/>
    <w:rsid w:val="00BC1A1B"/>
    <w:rsid w:val="00BC1F6E"/>
    <w:rsid w:val="00BC2F01"/>
    <w:rsid w:val="00BC386A"/>
    <w:rsid w:val="00BC39D4"/>
    <w:rsid w:val="00BC4444"/>
    <w:rsid w:val="00BC639C"/>
    <w:rsid w:val="00BD1C52"/>
    <w:rsid w:val="00BD2757"/>
    <w:rsid w:val="00BD3C72"/>
    <w:rsid w:val="00BD3CCC"/>
    <w:rsid w:val="00BD3F6C"/>
    <w:rsid w:val="00BD3FC0"/>
    <w:rsid w:val="00BD473C"/>
    <w:rsid w:val="00BD550C"/>
    <w:rsid w:val="00BD5C1F"/>
    <w:rsid w:val="00BD6516"/>
    <w:rsid w:val="00BD696A"/>
    <w:rsid w:val="00BD71C0"/>
    <w:rsid w:val="00BD7F16"/>
    <w:rsid w:val="00BE011C"/>
    <w:rsid w:val="00BE0341"/>
    <w:rsid w:val="00BE106E"/>
    <w:rsid w:val="00BE1D60"/>
    <w:rsid w:val="00BE25E7"/>
    <w:rsid w:val="00BE2E4F"/>
    <w:rsid w:val="00BE3434"/>
    <w:rsid w:val="00BE3E47"/>
    <w:rsid w:val="00BE4945"/>
    <w:rsid w:val="00BE4F5E"/>
    <w:rsid w:val="00BE5C1E"/>
    <w:rsid w:val="00BE760A"/>
    <w:rsid w:val="00BF0571"/>
    <w:rsid w:val="00BF09E1"/>
    <w:rsid w:val="00BF0A21"/>
    <w:rsid w:val="00BF1E7C"/>
    <w:rsid w:val="00BF2099"/>
    <w:rsid w:val="00BF28CC"/>
    <w:rsid w:val="00BF301B"/>
    <w:rsid w:val="00BF3B88"/>
    <w:rsid w:val="00BF4BE5"/>
    <w:rsid w:val="00BF5DD6"/>
    <w:rsid w:val="00BF7403"/>
    <w:rsid w:val="00BF7A67"/>
    <w:rsid w:val="00C00390"/>
    <w:rsid w:val="00C02455"/>
    <w:rsid w:val="00C0245E"/>
    <w:rsid w:val="00C030B5"/>
    <w:rsid w:val="00C03454"/>
    <w:rsid w:val="00C0358D"/>
    <w:rsid w:val="00C03648"/>
    <w:rsid w:val="00C03EAD"/>
    <w:rsid w:val="00C047F4"/>
    <w:rsid w:val="00C06172"/>
    <w:rsid w:val="00C074F9"/>
    <w:rsid w:val="00C07AD9"/>
    <w:rsid w:val="00C07C35"/>
    <w:rsid w:val="00C10333"/>
    <w:rsid w:val="00C10365"/>
    <w:rsid w:val="00C104EE"/>
    <w:rsid w:val="00C11C67"/>
    <w:rsid w:val="00C11C8C"/>
    <w:rsid w:val="00C120A0"/>
    <w:rsid w:val="00C12132"/>
    <w:rsid w:val="00C1279B"/>
    <w:rsid w:val="00C13329"/>
    <w:rsid w:val="00C14B35"/>
    <w:rsid w:val="00C14F9E"/>
    <w:rsid w:val="00C1515B"/>
    <w:rsid w:val="00C15290"/>
    <w:rsid w:val="00C15DE8"/>
    <w:rsid w:val="00C15FA6"/>
    <w:rsid w:val="00C16041"/>
    <w:rsid w:val="00C165CB"/>
    <w:rsid w:val="00C16D5F"/>
    <w:rsid w:val="00C16E22"/>
    <w:rsid w:val="00C17E38"/>
    <w:rsid w:val="00C208AA"/>
    <w:rsid w:val="00C20A2C"/>
    <w:rsid w:val="00C210F6"/>
    <w:rsid w:val="00C21202"/>
    <w:rsid w:val="00C2148C"/>
    <w:rsid w:val="00C22401"/>
    <w:rsid w:val="00C232F3"/>
    <w:rsid w:val="00C2397D"/>
    <w:rsid w:val="00C240C5"/>
    <w:rsid w:val="00C240E3"/>
    <w:rsid w:val="00C241ED"/>
    <w:rsid w:val="00C257F6"/>
    <w:rsid w:val="00C25BFE"/>
    <w:rsid w:val="00C260BB"/>
    <w:rsid w:val="00C27301"/>
    <w:rsid w:val="00C275D1"/>
    <w:rsid w:val="00C2763D"/>
    <w:rsid w:val="00C27F5C"/>
    <w:rsid w:val="00C3232A"/>
    <w:rsid w:val="00C32A62"/>
    <w:rsid w:val="00C32B02"/>
    <w:rsid w:val="00C336D6"/>
    <w:rsid w:val="00C34722"/>
    <w:rsid w:val="00C35249"/>
    <w:rsid w:val="00C36199"/>
    <w:rsid w:val="00C37074"/>
    <w:rsid w:val="00C37279"/>
    <w:rsid w:val="00C37F09"/>
    <w:rsid w:val="00C41313"/>
    <w:rsid w:val="00C41D22"/>
    <w:rsid w:val="00C42B1C"/>
    <w:rsid w:val="00C4306C"/>
    <w:rsid w:val="00C43545"/>
    <w:rsid w:val="00C440FE"/>
    <w:rsid w:val="00C454FC"/>
    <w:rsid w:val="00C45AFC"/>
    <w:rsid w:val="00C45E7F"/>
    <w:rsid w:val="00C46601"/>
    <w:rsid w:val="00C46651"/>
    <w:rsid w:val="00C46D4C"/>
    <w:rsid w:val="00C47CF0"/>
    <w:rsid w:val="00C50414"/>
    <w:rsid w:val="00C51C5D"/>
    <w:rsid w:val="00C52290"/>
    <w:rsid w:val="00C539FE"/>
    <w:rsid w:val="00C53A21"/>
    <w:rsid w:val="00C54823"/>
    <w:rsid w:val="00C5519D"/>
    <w:rsid w:val="00C55D24"/>
    <w:rsid w:val="00C55E27"/>
    <w:rsid w:val="00C56598"/>
    <w:rsid w:val="00C5747E"/>
    <w:rsid w:val="00C57870"/>
    <w:rsid w:val="00C57972"/>
    <w:rsid w:val="00C606AF"/>
    <w:rsid w:val="00C614ED"/>
    <w:rsid w:val="00C6185E"/>
    <w:rsid w:val="00C61A72"/>
    <w:rsid w:val="00C620ED"/>
    <w:rsid w:val="00C6329A"/>
    <w:rsid w:val="00C63AF2"/>
    <w:rsid w:val="00C644BD"/>
    <w:rsid w:val="00C64D81"/>
    <w:rsid w:val="00C64F9B"/>
    <w:rsid w:val="00C66564"/>
    <w:rsid w:val="00C67494"/>
    <w:rsid w:val="00C6751D"/>
    <w:rsid w:val="00C67901"/>
    <w:rsid w:val="00C67DEF"/>
    <w:rsid w:val="00C708E6"/>
    <w:rsid w:val="00C70AF6"/>
    <w:rsid w:val="00C70F56"/>
    <w:rsid w:val="00C71F64"/>
    <w:rsid w:val="00C725FF"/>
    <w:rsid w:val="00C72BE5"/>
    <w:rsid w:val="00C72F3B"/>
    <w:rsid w:val="00C739B0"/>
    <w:rsid w:val="00C73C18"/>
    <w:rsid w:val="00C73CCC"/>
    <w:rsid w:val="00C748EC"/>
    <w:rsid w:val="00C76D72"/>
    <w:rsid w:val="00C77343"/>
    <w:rsid w:val="00C77F49"/>
    <w:rsid w:val="00C80FF3"/>
    <w:rsid w:val="00C8266F"/>
    <w:rsid w:val="00C83112"/>
    <w:rsid w:val="00C83124"/>
    <w:rsid w:val="00C8352D"/>
    <w:rsid w:val="00C835B5"/>
    <w:rsid w:val="00C83DEC"/>
    <w:rsid w:val="00C85117"/>
    <w:rsid w:val="00C862A5"/>
    <w:rsid w:val="00C86721"/>
    <w:rsid w:val="00C867B4"/>
    <w:rsid w:val="00C87311"/>
    <w:rsid w:val="00C8758C"/>
    <w:rsid w:val="00C875F3"/>
    <w:rsid w:val="00C8786E"/>
    <w:rsid w:val="00C9044F"/>
    <w:rsid w:val="00C90D9B"/>
    <w:rsid w:val="00C90EC6"/>
    <w:rsid w:val="00C91720"/>
    <w:rsid w:val="00C91E3A"/>
    <w:rsid w:val="00C92399"/>
    <w:rsid w:val="00C92859"/>
    <w:rsid w:val="00C92B52"/>
    <w:rsid w:val="00C92E13"/>
    <w:rsid w:val="00C931C4"/>
    <w:rsid w:val="00C93439"/>
    <w:rsid w:val="00C93565"/>
    <w:rsid w:val="00C9513E"/>
    <w:rsid w:val="00C95A75"/>
    <w:rsid w:val="00C96CCE"/>
    <w:rsid w:val="00C96FAB"/>
    <w:rsid w:val="00C97DB5"/>
    <w:rsid w:val="00CA0F03"/>
    <w:rsid w:val="00CA1B10"/>
    <w:rsid w:val="00CA22BE"/>
    <w:rsid w:val="00CA3A78"/>
    <w:rsid w:val="00CA3F1F"/>
    <w:rsid w:val="00CA44A5"/>
    <w:rsid w:val="00CA4513"/>
    <w:rsid w:val="00CA4FAA"/>
    <w:rsid w:val="00CA52E5"/>
    <w:rsid w:val="00CA6231"/>
    <w:rsid w:val="00CA673B"/>
    <w:rsid w:val="00CA6965"/>
    <w:rsid w:val="00CA75AB"/>
    <w:rsid w:val="00CB03F6"/>
    <w:rsid w:val="00CB23EC"/>
    <w:rsid w:val="00CB2FB0"/>
    <w:rsid w:val="00CB389C"/>
    <w:rsid w:val="00CB3B4A"/>
    <w:rsid w:val="00CB438B"/>
    <w:rsid w:val="00CB43F1"/>
    <w:rsid w:val="00CB4DA9"/>
    <w:rsid w:val="00CB5F0A"/>
    <w:rsid w:val="00CB6705"/>
    <w:rsid w:val="00CB6DB3"/>
    <w:rsid w:val="00CB6FF6"/>
    <w:rsid w:val="00CC2372"/>
    <w:rsid w:val="00CC257B"/>
    <w:rsid w:val="00CC28C5"/>
    <w:rsid w:val="00CC4E53"/>
    <w:rsid w:val="00CC5B30"/>
    <w:rsid w:val="00CC647E"/>
    <w:rsid w:val="00CC7232"/>
    <w:rsid w:val="00CC7533"/>
    <w:rsid w:val="00CC7FB0"/>
    <w:rsid w:val="00CD1263"/>
    <w:rsid w:val="00CD1A10"/>
    <w:rsid w:val="00CD2B65"/>
    <w:rsid w:val="00CD3D2A"/>
    <w:rsid w:val="00CD3E28"/>
    <w:rsid w:val="00CD5567"/>
    <w:rsid w:val="00CD603F"/>
    <w:rsid w:val="00CD61A2"/>
    <w:rsid w:val="00CD632C"/>
    <w:rsid w:val="00CE007F"/>
    <w:rsid w:val="00CE07C4"/>
    <w:rsid w:val="00CE10F5"/>
    <w:rsid w:val="00CE27ED"/>
    <w:rsid w:val="00CE2C53"/>
    <w:rsid w:val="00CE2F33"/>
    <w:rsid w:val="00CE39D7"/>
    <w:rsid w:val="00CE5A50"/>
    <w:rsid w:val="00CE5E26"/>
    <w:rsid w:val="00CE602B"/>
    <w:rsid w:val="00CE635A"/>
    <w:rsid w:val="00CE66FE"/>
    <w:rsid w:val="00CE6A82"/>
    <w:rsid w:val="00CE794C"/>
    <w:rsid w:val="00CF0794"/>
    <w:rsid w:val="00CF0D68"/>
    <w:rsid w:val="00CF135A"/>
    <w:rsid w:val="00CF1878"/>
    <w:rsid w:val="00CF1889"/>
    <w:rsid w:val="00CF1DAE"/>
    <w:rsid w:val="00CF20FA"/>
    <w:rsid w:val="00CF33AF"/>
    <w:rsid w:val="00CF3A2B"/>
    <w:rsid w:val="00CF3C93"/>
    <w:rsid w:val="00CF5218"/>
    <w:rsid w:val="00CF540F"/>
    <w:rsid w:val="00CF5F74"/>
    <w:rsid w:val="00CF646A"/>
    <w:rsid w:val="00CF6540"/>
    <w:rsid w:val="00CF726C"/>
    <w:rsid w:val="00CF7BF3"/>
    <w:rsid w:val="00CF7D08"/>
    <w:rsid w:val="00CF7DC9"/>
    <w:rsid w:val="00D00BDD"/>
    <w:rsid w:val="00D01B9C"/>
    <w:rsid w:val="00D0231A"/>
    <w:rsid w:val="00D0269F"/>
    <w:rsid w:val="00D02C79"/>
    <w:rsid w:val="00D02FD5"/>
    <w:rsid w:val="00D03F17"/>
    <w:rsid w:val="00D04CE6"/>
    <w:rsid w:val="00D04FBE"/>
    <w:rsid w:val="00D05116"/>
    <w:rsid w:val="00D052F9"/>
    <w:rsid w:val="00D05662"/>
    <w:rsid w:val="00D05892"/>
    <w:rsid w:val="00D05A05"/>
    <w:rsid w:val="00D05C4F"/>
    <w:rsid w:val="00D05CFE"/>
    <w:rsid w:val="00D05D00"/>
    <w:rsid w:val="00D06C73"/>
    <w:rsid w:val="00D07625"/>
    <w:rsid w:val="00D077BC"/>
    <w:rsid w:val="00D10479"/>
    <w:rsid w:val="00D10C72"/>
    <w:rsid w:val="00D10D40"/>
    <w:rsid w:val="00D11153"/>
    <w:rsid w:val="00D11638"/>
    <w:rsid w:val="00D119CB"/>
    <w:rsid w:val="00D11FE2"/>
    <w:rsid w:val="00D12AFD"/>
    <w:rsid w:val="00D13239"/>
    <w:rsid w:val="00D1335C"/>
    <w:rsid w:val="00D14B4F"/>
    <w:rsid w:val="00D14F45"/>
    <w:rsid w:val="00D16AB0"/>
    <w:rsid w:val="00D176C7"/>
    <w:rsid w:val="00D201B9"/>
    <w:rsid w:val="00D20E11"/>
    <w:rsid w:val="00D210E8"/>
    <w:rsid w:val="00D2124D"/>
    <w:rsid w:val="00D21255"/>
    <w:rsid w:val="00D2220A"/>
    <w:rsid w:val="00D22399"/>
    <w:rsid w:val="00D22D2C"/>
    <w:rsid w:val="00D22F36"/>
    <w:rsid w:val="00D23726"/>
    <w:rsid w:val="00D23899"/>
    <w:rsid w:val="00D23ADE"/>
    <w:rsid w:val="00D241B6"/>
    <w:rsid w:val="00D24265"/>
    <w:rsid w:val="00D2458F"/>
    <w:rsid w:val="00D252E5"/>
    <w:rsid w:val="00D25619"/>
    <w:rsid w:val="00D267E1"/>
    <w:rsid w:val="00D26856"/>
    <w:rsid w:val="00D27D16"/>
    <w:rsid w:val="00D304CC"/>
    <w:rsid w:val="00D304F0"/>
    <w:rsid w:val="00D30B70"/>
    <w:rsid w:val="00D3230E"/>
    <w:rsid w:val="00D32338"/>
    <w:rsid w:val="00D323D4"/>
    <w:rsid w:val="00D32B44"/>
    <w:rsid w:val="00D33686"/>
    <w:rsid w:val="00D33712"/>
    <w:rsid w:val="00D33785"/>
    <w:rsid w:val="00D33DA4"/>
    <w:rsid w:val="00D34B84"/>
    <w:rsid w:val="00D34D00"/>
    <w:rsid w:val="00D35D9D"/>
    <w:rsid w:val="00D35FF8"/>
    <w:rsid w:val="00D36064"/>
    <w:rsid w:val="00D374C4"/>
    <w:rsid w:val="00D401DB"/>
    <w:rsid w:val="00D409E2"/>
    <w:rsid w:val="00D40CEF"/>
    <w:rsid w:val="00D411C7"/>
    <w:rsid w:val="00D41A31"/>
    <w:rsid w:val="00D41F49"/>
    <w:rsid w:val="00D41F80"/>
    <w:rsid w:val="00D42490"/>
    <w:rsid w:val="00D42AC7"/>
    <w:rsid w:val="00D43482"/>
    <w:rsid w:val="00D43EC5"/>
    <w:rsid w:val="00D43EE3"/>
    <w:rsid w:val="00D44164"/>
    <w:rsid w:val="00D45208"/>
    <w:rsid w:val="00D456C4"/>
    <w:rsid w:val="00D45BF9"/>
    <w:rsid w:val="00D45D5C"/>
    <w:rsid w:val="00D4762F"/>
    <w:rsid w:val="00D47DD1"/>
    <w:rsid w:val="00D505BB"/>
    <w:rsid w:val="00D50B3E"/>
    <w:rsid w:val="00D51098"/>
    <w:rsid w:val="00D5252D"/>
    <w:rsid w:val="00D52613"/>
    <w:rsid w:val="00D52996"/>
    <w:rsid w:val="00D537EE"/>
    <w:rsid w:val="00D53878"/>
    <w:rsid w:val="00D538E2"/>
    <w:rsid w:val="00D53996"/>
    <w:rsid w:val="00D53A28"/>
    <w:rsid w:val="00D55986"/>
    <w:rsid w:val="00D559C4"/>
    <w:rsid w:val="00D561B2"/>
    <w:rsid w:val="00D56FFB"/>
    <w:rsid w:val="00D57F1E"/>
    <w:rsid w:val="00D60744"/>
    <w:rsid w:val="00D60D04"/>
    <w:rsid w:val="00D61B21"/>
    <w:rsid w:val="00D62AD5"/>
    <w:rsid w:val="00D63AA4"/>
    <w:rsid w:val="00D63F7C"/>
    <w:rsid w:val="00D64907"/>
    <w:rsid w:val="00D65A9B"/>
    <w:rsid w:val="00D660D1"/>
    <w:rsid w:val="00D66260"/>
    <w:rsid w:val="00D7014B"/>
    <w:rsid w:val="00D70180"/>
    <w:rsid w:val="00D70F36"/>
    <w:rsid w:val="00D723BF"/>
    <w:rsid w:val="00D726AC"/>
    <w:rsid w:val="00D72F09"/>
    <w:rsid w:val="00D746B3"/>
    <w:rsid w:val="00D74EC9"/>
    <w:rsid w:val="00D752EB"/>
    <w:rsid w:val="00D769BC"/>
    <w:rsid w:val="00D76C4D"/>
    <w:rsid w:val="00D80AFD"/>
    <w:rsid w:val="00D80B8E"/>
    <w:rsid w:val="00D81320"/>
    <w:rsid w:val="00D81407"/>
    <w:rsid w:val="00D8238B"/>
    <w:rsid w:val="00D82677"/>
    <w:rsid w:val="00D829FA"/>
    <w:rsid w:val="00D82D6E"/>
    <w:rsid w:val="00D837A9"/>
    <w:rsid w:val="00D83A7F"/>
    <w:rsid w:val="00D83EAD"/>
    <w:rsid w:val="00D84029"/>
    <w:rsid w:val="00D84A69"/>
    <w:rsid w:val="00D84B33"/>
    <w:rsid w:val="00D85432"/>
    <w:rsid w:val="00D85987"/>
    <w:rsid w:val="00D85E8E"/>
    <w:rsid w:val="00D875A4"/>
    <w:rsid w:val="00D87A33"/>
    <w:rsid w:val="00D87E60"/>
    <w:rsid w:val="00D87F3E"/>
    <w:rsid w:val="00D9018B"/>
    <w:rsid w:val="00D901A1"/>
    <w:rsid w:val="00D913CF"/>
    <w:rsid w:val="00D919B3"/>
    <w:rsid w:val="00D91C0C"/>
    <w:rsid w:val="00D91D75"/>
    <w:rsid w:val="00D927B3"/>
    <w:rsid w:val="00D939BF"/>
    <w:rsid w:val="00D93E35"/>
    <w:rsid w:val="00D94051"/>
    <w:rsid w:val="00D944AC"/>
    <w:rsid w:val="00D94D41"/>
    <w:rsid w:val="00D9593E"/>
    <w:rsid w:val="00D96DE9"/>
    <w:rsid w:val="00D96FD7"/>
    <w:rsid w:val="00D97313"/>
    <w:rsid w:val="00D9776B"/>
    <w:rsid w:val="00DA0CC2"/>
    <w:rsid w:val="00DA11E6"/>
    <w:rsid w:val="00DA2104"/>
    <w:rsid w:val="00DA34FA"/>
    <w:rsid w:val="00DA399B"/>
    <w:rsid w:val="00DA3E9A"/>
    <w:rsid w:val="00DA3F67"/>
    <w:rsid w:val="00DA49FE"/>
    <w:rsid w:val="00DA4B20"/>
    <w:rsid w:val="00DA4C09"/>
    <w:rsid w:val="00DA4F7B"/>
    <w:rsid w:val="00DA64E4"/>
    <w:rsid w:val="00DA71AC"/>
    <w:rsid w:val="00DA777D"/>
    <w:rsid w:val="00DA7E97"/>
    <w:rsid w:val="00DB11B5"/>
    <w:rsid w:val="00DB171D"/>
    <w:rsid w:val="00DB2096"/>
    <w:rsid w:val="00DB32CB"/>
    <w:rsid w:val="00DB32E8"/>
    <w:rsid w:val="00DB36B8"/>
    <w:rsid w:val="00DB4247"/>
    <w:rsid w:val="00DB42B8"/>
    <w:rsid w:val="00DB641E"/>
    <w:rsid w:val="00DB6F18"/>
    <w:rsid w:val="00DB73A7"/>
    <w:rsid w:val="00DB7517"/>
    <w:rsid w:val="00DB7B5E"/>
    <w:rsid w:val="00DB7DF6"/>
    <w:rsid w:val="00DC1F83"/>
    <w:rsid w:val="00DC2360"/>
    <w:rsid w:val="00DC2846"/>
    <w:rsid w:val="00DC29CA"/>
    <w:rsid w:val="00DC2D7E"/>
    <w:rsid w:val="00DC2DED"/>
    <w:rsid w:val="00DC43DD"/>
    <w:rsid w:val="00DC5367"/>
    <w:rsid w:val="00DC5468"/>
    <w:rsid w:val="00DC55F5"/>
    <w:rsid w:val="00DC64E4"/>
    <w:rsid w:val="00DC7650"/>
    <w:rsid w:val="00DC771A"/>
    <w:rsid w:val="00DD0AC9"/>
    <w:rsid w:val="00DD0B96"/>
    <w:rsid w:val="00DD0F8A"/>
    <w:rsid w:val="00DD3A8F"/>
    <w:rsid w:val="00DD3B08"/>
    <w:rsid w:val="00DD3DE0"/>
    <w:rsid w:val="00DD498C"/>
    <w:rsid w:val="00DD581E"/>
    <w:rsid w:val="00DD590B"/>
    <w:rsid w:val="00DD5E66"/>
    <w:rsid w:val="00DD77F7"/>
    <w:rsid w:val="00DD7D16"/>
    <w:rsid w:val="00DE08D2"/>
    <w:rsid w:val="00DE112E"/>
    <w:rsid w:val="00DE1360"/>
    <w:rsid w:val="00DE20EE"/>
    <w:rsid w:val="00DE2895"/>
    <w:rsid w:val="00DE30EB"/>
    <w:rsid w:val="00DE333A"/>
    <w:rsid w:val="00DE4F70"/>
    <w:rsid w:val="00DE6CE1"/>
    <w:rsid w:val="00DE6EA8"/>
    <w:rsid w:val="00DE7A7F"/>
    <w:rsid w:val="00DE7B88"/>
    <w:rsid w:val="00DF05DE"/>
    <w:rsid w:val="00DF0C19"/>
    <w:rsid w:val="00DF0C23"/>
    <w:rsid w:val="00DF0E75"/>
    <w:rsid w:val="00DF1961"/>
    <w:rsid w:val="00DF1CC5"/>
    <w:rsid w:val="00DF1D24"/>
    <w:rsid w:val="00DF2787"/>
    <w:rsid w:val="00DF27D9"/>
    <w:rsid w:val="00DF2A96"/>
    <w:rsid w:val="00DF2D84"/>
    <w:rsid w:val="00DF3635"/>
    <w:rsid w:val="00DF44B0"/>
    <w:rsid w:val="00DF4FBC"/>
    <w:rsid w:val="00DF5DF9"/>
    <w:rsid w:val="00DF6147"/>
    <w:rsid w:val="00DF618E"/>
    <w:rsid w:val="00DF6BA1"/>
    <w:rsid w:val="00E00068"/>
    <w:rsid w:val="00E00435"/>
    <w:rsid w:val="00E006C1"/>
    <w:rsid w:val="00E00AE4"/>
    <w:rsid w:val="00E029E0"/>
    <w:rsid w:val="00E03081"/>
    <w:rsid w:val="00E032A6"/>
    <w:rsid w:val="00E03461"/>
    <w:rsid w:val="00E03F50"/>
    <w:rsid w:val="00E0405B"/>
    <w:rsid w:val="00E04102"/>
    <w:rsid w:val="00E051E4"/>
    <w:rsid w:val="00E06532"/>
    <w:rsid w:val="00E07088"/>
    <w:rsid w:val="00E07A41"/>
    <w:rsid w:val="00E07A91"/>
    <w:rsid w:val="00E10A61"/>
    <w:rsid w:val="00E10F3B"/>
    <w:rsid w:val="00E111B9"/>
    <w:rsid w:val="00E11286"/>
    <w:rsid w:val="00E113DB"/>
    <w:rsid w:val="00E13190"/>
    <w:rsid w:val="00E141DA"/>
    <w:rsid w:val="00E14253"/>
    <w:rsid w:val="00E14794"/>
    <w:rsid w:val="00E14B88"/>
    <w:rsid w:val="00E14FB3"/>
    <w:rsid w:val="00E15294"/>
    <w:rsid w:val="00E1664E"/>
    <w:rsid w:val="00E17234"/>
    <w:rsid w:val="00E175F3"/>
    <w:rsid w:val="00E17D74"/>
    <w:rsid w:val="00E21958"/>
    <w:rsid w:val="00E2268E"/>
    <w:rsid w:val="00E22C5E"/>
    <w:rsid w:val="00E23362"/>
    <w:rsid w:val="00E233D4"/>
    <w:rsid w:val="00E2375B"/>
    <w:rsid w:val="00E23D2C"/>
    <w:rsid w:val="00E24FEB"/>
    <w:rsid w:val="00E2509F"/>
    <w:rsid w:val="00E256D3"/>
    <w:rsid w:val="00E25F0B"/>
    <w:rsid w:val="00E265B1"/>
    <w:rsid w:val="00E273BA"/>
    <w:rsid w:val="00E30468"/>
    <w:rsid w:val="00E30470"/>
    <w:rsid w:val="00E318FA"/>
    <w:rsid w:val="00E323AF"/>
    <w:rsid w:val="00E32A79"/>
    <w:rsid w:val="00E32FBB"/>
    <w:rsid w:val="00E3371D"/>
    <w:rsid w:val="00E33AF4"/>
    <w:rsid w:val="00E35483"/>
    <w:rsid w:val="00E35C82"/>
    <w:rsid w:val="00E36682"/>
    <w:rsid w:val="00E36D07"/>
    <w:rsid w:val="00E370BC"/>
    <w:rsid w:val="00E372C2"/>
    <w:rsid w:val="00E37A38"/>
    <w:rsid w:val="00E401FB"/>
    <w:rsid w:val="00E406C5"/>
    <w:rsid w:val="00E4116D"/>
    <w:rsid w:val="00E412C4"/>
    <w:rsid w:val="00E4151C"/>
    <w:rsid w:val="00E42256"/>
    <w:rsid w:val="00E44104"/>
    <w:rsid w:val="00E4470F"/>
    <w:rsid w:val="00E45275"/>
    <w:rsid w:val="00E4530A"/>
    <w:rsid w:val="00E45D34"/>
    <w:rsid w:val="00E467DC"/>
    <w:rsid w:val="00E46DC8"/>
    <w:rsid w:val="00E47085"/>
    <w:rsid w:val="00E47FBA"/>
    <w:rsid w:val="00E50341"/>
    <w:rsid w:val="00E5099A"/>
    <w:rsid w:val="00E5159F"/>
    <w:rsid w:val="00E517F2"/>
    <w:rsid w:val="00E52A43"/>
    <w:rsid w:val="00E5335C"/>
    <w:rsid w:val="00E53588"/>
    <w:rsid w:val="00E53FC0"/>
    <w:rsid w:val="00E54277"/>
    <w:rsid w:val="00E542BC"/>
    <w:rsid w:val="00E547AA"/>
    <w:rsid w:val="00E5584A"/>
    <w:rsid w:val="00E55D26"/>
    <w:rsid w:val="00E563A7"/>
    <w:rsid w:val="00E56557"/>
    <w:rsid w:val="00E56D26"/>
    <w:rsid w:val="00E56D3C"/>
    <w:rsid w:val="00E570E9"/>
    <w:rsid w:val="00E60454"/>
    <w:rsid w:val="00E626AD"/>
    <w:rsid w:val="00E64C7C"/>
    <w:rsid w:val="00E64D6B"/>
    <w:rsid w:val="00E6536D"/>
    <w:rsid w:val="00E65587"/>
    <w:rsid w:val="00E65826"/>
    <w:rsid w:val="00E66762"/>
    <w:rsid w:val="00E66FD5"/>
    <w:rsid w:val="00E670A8"/>
    <w:rsid w:val="00E703F2"/>
    <w:rsid w:val="00E70A39"/>
    <w:rsid w:val="00E71A98"/>
    <w:rsid w:val="00E7230C"/>
    <w:rsid w:val="00E733DB"/>
    <w:rsid w:val="00E73696"/>
    <w:rsid w:val="00E73CCA"/>
    <w:rsid w:val="00E74ADE"/>
    <w:rsid w:val="00E75329"/>
    <w:rsid w:val="00E756A9"/>
    <w:rsid w:val="00E76826"/>
    <w:rsid w:val="00E7698A"/>
    <w:rsid w:val="00E77257"/>
    <w:rsid w:val="00E77D02"/>
    <w:rsid w:val="00E80243"/>
    <w:rsid w:val="00E80C3D"/>
    <w:rsid w:val="00E81189"/>
    <w:rsid w:val="00E81E8F"/>
    <w:rsid w:val="00E829BB"/>
    <w:rsid w:val="00E82F65"/>
    <w:rsid w:val="00E83A3D"/>
    <w:rsid w:val="00E8651F"/>
    <w:rsid w:val="00E86BBF"/>
    <w:rsid w:val="00E87E62"/>
    <w:rsid w:val="00E91762"/>
    <w:rsid w:val="00E92AC7"/>
    <w:rsid w:val="00E93CBE"/>
    <w:rsid w:val="00E93CED"/>
    <w:rsid w:val="00E93DB2"/>
    <w:rsid w:val="00E93E39"/>
    <w:rsid w:val="00E93E8C"/>
    <w:rsid w:val="00E94D09"/>
    <w:rsid w:val="00E95790"/>
    <w:rsid w:val="00E95CBC"/>
    <w:rsid w:val="00E95CE0"/>
    <w:rsid w:val="00E9668C"/>
    <w:rsid w:val="00E96921"/>
    <w:rsid w:val="00E96B27"/>
    <w:rsid w:val="00E97138"/>
    <w:rsid w:val="00EA0002"/>
    <w:rsid w:val="00EA08FA"/>
    <w:rsid w:val="00EA0D1D"/>
    <w:rsid w:val="00EA0E39"/>
    <w:rsid w:val="00EA2E6B"/>
    <w:rsid w:val="00EA3988"/>
    <w:rsid w:val="00EA3A13"/>
    <w:rsid w:val="00EA3A80"/>
    <w:rsid w:val="00EA3AEF"/>
    <w:rsid w:val="00EA3CDD"/>
    <w:rsid w:val="00EA3FE0"/>
    <w:rsid w:val="00EA417A"/>
    <w:rsid w:val="00EA45BA"/>
    <w:rsid w:val="00EA4DC4"/>
    <w:rsid w:val="00EA545D"/>
    <w:rsid w:val="00EA62F1"/>
    <w:rsid w:val="00EA635E"/>
    <w:rsid w:val="00EA658E"/>
    <w:rsid w:val="00EA7345"/>
    <w:rsid w:val="00EA7D9E"/>
    <w:rsid w:val="00EB0072"/>
    <w:rsid w:val="00EB04E5"/>
    <w:rsid w:val="00EB0A5B"/>
    <w:rsid w:val="00EB1DA8"/>
    <w:rsid w:val="00EB3BD5"/>
    <w:rsid w:val="00EB513A"/>
    <w:rsid w:val="00EB51A2"/>
    <w:rsid w:val="00EB5E75"/>
    <w:rsid w:val="00EB62C0"/>
    <w:rsid w:val="00EB652E"/>
    <w:rsid w:val="00EB6A65"/>
    <w:rsid w:val="00EB6D02"/>
    <w:rsid w:val="00EB7BAE"/>
    <w:rsid w:val="00EC0451"/>
    <w:rsid w:val="00EC06BB"/>
    <w:rsid w:val="00EC14FD"/>
    <w:rsid w:val="00EC1B3F"/>
    <w:rsid w:val="00EC1DBD"/>
    <w:rsid w:val="00EC1DE5"/>
    <w:rsid w:val="00EC2B97"/>
    <w:rsid w:val="00EC2EFE"/>
    <w:rsid w:val="00EC39C1"/>
    <w:rsid w:val="00EC3E3D"/>
    <w:rsid w:val="00EC4CC8"/>
    <w:rsid w:val="00EC4F72"/>
    <w:rsid w:val="00EC50A2"/>
    <w:rsid w:val="00EC54FE"/>
    <w:rsid w:val="00EC5BF0"/>
    <w:rsid w:val="00EC61C6"/>
    <w:rsid w:val="00EC63A0"/>
    <w:rsid w:val="00EC716D"/>
    <w:rsid w:val="00EC788F"/>
    <w:rsid w:val="00ED0044"/>
    <w:rsid w:val="00ED0401"/>
    <w:rsid w:val="00ED0BCD"/>
    <w:rsid w:val="00ED1102"/>
    <w:rsid w:val="00ED1BBA"/>
    <w:rsid w:val="00ED2360"/>
    <w:rsid w:val="00ED24B0"/>
    <w:rsid w:val="00ED2A66"/>
    <w:rsid w:val="00ED39AA"/>
    <w:rsid w:val="00ED4022"/>
    <w:rsid w:val="00ED445E"/>
    <w:rsid w:val="00ED47E4"/>
    <w:rsid w:val="00ED5126"/>
    <w:rsid w:val="00ED52AD"/>
    <w:rsid w:val="00ED719C"/>
    <w:rsid w:val="00ED74EC"/>
    <w:rsid w:val="00ED7849"/>
    <w:rsid w:val="00ED7E61"/>
    <w:rsid w:val="00EE02A7"/>
    <w:rsid w:val="00EE04B6"/>
    <w:rsid w:val="00EE0B4E"/>
    <w:rsid w:val="00EE1D5B"/>
    <w:rsid w:val="00EE32FD"/>
    <w:rsid w:val="00EE373B"/>
    <w:rsid w:val="00EE3C57"/>
    <w:rsid w:val="00EE3DD1"/>
    <w:rsid w:val="00EE3EEF"/>
    <w:rsid w:val="00EE444C"/>
    <w:rsid w:val="00EE5650"/>
    <w:rsid w:val="00EE5828"/>
    <w:rsid w:val="00EE5966"/>
    <w:rsid w:val="00EE62DF"/>
    <w:rsid w:val="00EE65BC"/>
    <w:rsid w:val="00EE7CD9"/>
    <w:rsid w:val="00EF03A0"/>
    <w:rsid w:val="00EF1410"/>
    <w:rsid w:val="00EF14AD"/>
    <w:rsid w:val="00EF1693"/>
    <w:rsid w:val="00EF16AF"/>
    <w:rsid w:val="00EF19DF"/>
    <w:rsid w:val="00EF345F"/>
    <w:rsid w:val="00EF3884"/>
    <w:rsid w:val="00EF4167"/>
    <w:rsid w:val="00EF57CD"/>
    <w:rsid w:val="00EF6CB9"/>
    <w:rsid w:val="00EF6E5C"/>
    <w:rsid w:val="00EF7333"/>
    <w:rsid w:val="00EF76E5"/>
    <w:rsid w:val="00F004BD"/>
    <w:rsid w:val="00F016E4"/>
    <w:rsid w:val="00F0239F"/>
    <w:rsid w:val="00F03055"/>
    <w:rsid w:val="00F0438C"/>
    <w:rsid w:val="00F04590"/>
    <w:rsid w:val="00F045E9"/>
    <w:rsid w:val="00F05665"/>
    <w:rsid w:val="00F064CC"/>
    <w:rsid w:val="00F06A67"/>
    <w:rsid w:val="00F0761F"/>
    <w:rsid w:val="00F07780"/>
    <w:rsid w:val="00F1032B"/>
    <w:rsid w:val="00F10483"/>
    <w:rsid w:val="00F104FA"/>
    <w:rsid w:val="00F10B9B"/>
    <w:rsid w:val="00F11F02"/>
    <w:rsid w:val="00F12061"/>
    <w:rsid w:val="00F125E7"/>
    <w:rsid w:val="00F136A7"/>
    <w:rsid w:val="00F144DF"/>
    <w:rsid w:val="00F1592E"/>
    <w:rsid w:val="00F173AF"/>
    <w:rsid w:val="00F179F8"/>
    <w:rsid w:val="00F20151"/>
    <w:rsid w:val="00F2054E"/>
    <w:rsid w:val="00F215B3"/>
    <w:rsid w:val="00F2198D"/>
    <w:rsid w:val="00F22B6C"/>
    <w:rsid w:val="00F22D0F"/>
    <w:rsid w:val="00F23081"/>
    <w:rsid w:val="00F239D5"/>
    <w:rsid w:val="00F2494B"/>
    <w:rsid w:val="00F252C7"/>
    <w:rsid w:val="00F25391"/>
    <w:rsid w:val="00F26150"/>
    <w:rsid w:val="00F262A4"/>
    <w:rsid w:val="00F2693C"/>
    <w:rsid w:val="00F2695C"/>
    <w:rsid w:val="00F27D48"/>
    <w:rsid w:val="00F30BE6"/>
    <w:rsid w:val="00F3142C"/>
    <w:rsid w:val="00F31567"/>
    <w:rsid w:val="00F31864"/>
    <w:rsid w:val="00F3260D"/>
    <w:rsid w:val="00F33558"/>
    <w:rsid w:val="00F33FA4"/>
    <w:rsid w:val="00F34A02"/>
    <w:rsid w:val="00F34C6A"/>
    <w:rsid w:val="00F358D5"/>
    <w:rsid w:val="00F35C03"/>
    <w:rsid w:val="00F3635F"/>
    <w:rsid w:val="00F36455"/>
    <w:rsid w:val="00F364E5"/>
    <w:rsid w:val="00F3747B"/>
    <w:rsid w:val="00F40533"/>
    <w:rsid w:val="00F40D78"/>
    <w:rsid w:val="00F416A1"/>
    <w:rsid w:val="00F41726"/>
    <w:rsid w:val="00F41EA8"/>
    <w:rsid w:val="00F4210C"/>
    <w:rsid w:val="00F426A3"/>
    <w:rsid w:val="00F42BA4"/>
    <w:rsid w:val="00F43A02"/>
    <w:rsid w:val="00F43FE0"/>
    <w:rsid w:val="00F441DA"/>
    <w:rsid w:val="00F4488E"/>
    <w:rsid w:val="00F44AB4"/>
    <w:rsid w:val="00F44F41"/>
    <w:rsid w:val="00F45884"/>
    <w:rsid w:val="00F45AE7"/>
    <w:rsid w:val="00F4628C"/>
    <w:rsid w:val="00F46452"/>
    <w:rsid w:val="00F472EB"/>
    <w:rsid w:val="00F50589"/>
    <w:rsid w:val="00F511C7"/>
    <w:rsid w:val="00F5148D"/>
    <w:rsid w:val="00F51493"/>
    <w:rsid w:val="00F52469"/>
    <w:rsid w:val="00F524A7"/>
    <w:rsid w:val="00F52A26"/>
    <w:rsid w:val="00F52E73"/>
    <w:rsid w:val="00F5317C"/>
    <w:rsid w:val="00F55E92"/>
    <w:rsid w:val="00F604EC"/>
    <w:rsid w:val="00F60B1F"/>
    <w:rsid w:val="00F60CFA"/>
    <w:rsid w:val="00F6157C"/>
    <w:rsid w:val="00F61CCB"/>
    <w:rsid w:val="00F61D5F"/>
    <w:rsid w:val="00F61FF2"/>
    <w:rsid w:val="00F62985"/>
    <w:rsid w:val="00F62AB3"/>
    <w:rsid w:val="00F6354B"/>
    <w:rsid w:val="00F637FA"/>
    <w:rsid w:val="00F638F8"/>
    <w:rsid w:val="00F63E0B"/>
    <w:rsid w:val="00F6460F"/>
    <w:rsid w:val="00F65DCF"/>
    <w:rsid w:val="00F66B66"/>
    <w:rsid w:val="00F66D50"/>
    <w:rsid w:val="00F67373"/>
    <w:rsid w:val="00F67DDB"/>
    <w:rsid w:val="00F722AA"/>
    <w:rsid w:val="00F72C6F"/>
    <w:rsid w:val="00F72D8A"/>
    <w:rsid w:val="00F72DE9"/>
    <w:rsid w:val="00F73353"/>
    <w:rsid w:val="00F737CE"/>
    <w:rsid w:val="00F7384B"/>
    <w:rsid w:val="00F743A0"/>
    <w:rsid w:val="00F74798"/>
    <w:rsid w:val="00F763DA"/>
    <w:rsid w:val="00F766B3"/>
    <w:rsid w:val="00F767B9"/>
    <w:rsid w:val="00F77279"/>
    <w:rsid w:val="00F80259"/>
    <w:rsid w:val="00F8293D"/>
    <w:rsid w:val="00F82B10"/>
    <w:rsid w:val="00F838CA"/>
    <w:rsid w:val="00F841EE"/>
    <w:rsid w:val="00F843A6"/>
    <w:rsid w:val="00F8485E"/>
    <w:rsid w:val="00F84931"/>
    <w:rsid w:val="00F84BBF"/>
    <w:rsid w:val="00F85201"/>
    <w:rsid w:val="00F85500"/>
    <w:rsid w:val="00F85B79"/>
    <w:rsid w:val="00F85E30"/>
    <w:rsid w:val="00F85F5D"/>
    <w:rsid w:val="00F862BC"/>
    <w:rsid w:val="00F8674C"/>
    <w:rsid w:val="00F87050"/>
    <w:rsid w:val="00F87B6B"/>
    <w:rsid w:val="00F90310"/>
    <w:rsid w:val="00F90404"/>
    <w:rsid w:val="00F90774"/>
    <w:rsid w:val="00F90B4B"/>
    <w:rsid w:val="00F90C69"/>
    <w:rsid w:val="00F90E26"/>
    <w:rsid w:val="00F91207"/>
    <w:rsid w:val="00F91ABD"/>
    <w:rsid w:val="00F91BCB"/>
    <w:rsid w:val="00F91BE5"/>
    <w:rsid w:val="00F91C82"/>
    <w:rsid w:val="00F9386E"/>
    <w:rsid w:val="00F95631"/>
    <w:rsid w:val="00F95778"/>
    <w:rsid w:val="00F95D10"/>
    <w:rsid w:val="00F9692A"/>
    <w:rsid w:val="00F96A50"/>
    <w:rsid w:val="00F96F0E"/>
    <w:rsid w:val="00F9705F"/>
    <w:rsid w:val="00F97869"/>
    <w:rsid w:val="00F97C24"/>
    <w:rsid w:val="00FA08EE"/>
    <w:rsid w:val="00FA1188"/>
    <w:rsid w:val="00FA1436"/>
    <w:rsid w:val="00FA1CFC"/>
    <w:rsid w:val="00FA1F36"/>
    <w:rsid w:val="00FA1FC5"/>
    <w:rsid w:val="00FA30B9"/>
    <w:rsid w:val="00FA3700"/>
    <w:rsid w:val="00FA3CE3"/>
    <w:rsid w:val="00FA4106"/>
    <w:rsid w:val="00FA4776"/>
    <w:rsid w:val="00FA535D"/>
    <w:rsid w:val="00FA6678"/>
    <w:rsid w:val="00FA7033"/>
    <w:rsid w:val="00FB03E2"/>
    <w:rsid w:val="00FB0A34"/>
    <w:rsid w:val="00FB13A2"/>
    <w:rsid w:val="00FB18D4"/>
    <w:rsid w:val="00FB1EA3"/>
    <w:rsid w:val="00FB3327"/>
    <w:rsid w:val="00FB3BA3"/>
    <w:rsid w:val="00FB4242"/>
    <w:rsid w:val="00FB4610"/>
    <w:rsid w:val="00FB587C"/>
    <w:rsid w:val="00FB661E"/>
    <w:rsid w:val="00FB675E"/>
    <w:rsid w:val="00FB6E9E"/>
    <w:rsid w:val="00FB6F11"/>
    <w:rsid w:val="00FB7403"/>
    <w:rsid w:val="00FB7C60"/>
    <w:rsid w:val="00FC0166"/>
    <w:rsid w:val="00FC097C"/>
    <w:rsid w:val="00FC098E"/>
    <w:rsid w:val="00FC0E9A"/>
    <w:rsid w:val="00FC2326"/>
    <w:rsid w:val="00FC2D90"/>
    <w:rsid w:val="00FC2EDB"/>
    <w:rsid w:val="00FC3137"/>
    <w:rsid w:val="00FC3AAF"/>
    <w:rsid w:val="00FC457F"/>
    <w:rsid w:val="00FC45CA"/>
    <w:rsid w:val="00FC47F4"/>
    <w:rsid w:val="00FC540A"/>
    <w:rsid w:val="00FC57C9"/>
    <w:rsid w:val="00FC5CD0"/>
    <w:rsid w:val="00FC77D4"/>
    <w:rsid w:val="00FD0E6A"/>
    <w:rsid w:val="00FD12D3"/>
    <w:rsid w:val="00FD2680"/>
    <w:rsid w:val="00FD2887"/>
    <w:rsid w:val="00FD4F09"/>
    <w:rsid w:val="00FD5A9B"/>
    <w:rsid w:val="00FD5FE0"/>
    <w:rsid w:val="00FD6BCE"/>
    <w:rsid w:val="00FD6DB6"/>
    <w:rsid w:val="00FD6EFA"/>
    <w:rsid w:val="00FD7B86"/>
    <w:rsid w:val="00FD7EA7"/>
    <w:rsid w:val="00FE08CB"/>
    <w:rsid w:val="00FE0C61"/>
    <w:rsid w:val="00FE1EA1"/>
    <w:rsid w:val="00FE3818"/>
    <w:rsid w:val="00FE4B7A"/>
    <w:rsid w:val="00FE5889"/>
    <w:rsid w:val="00FF03B7"/>
    <w:rsid w:val="00FF0F06"/>
    <w:rsid w:val="00FF1D68"/>
    <w:rsid w:val="00FF225B"/>
    <w:rsid w:val="00FF229E"/>
    <w:rsid w:val="00FF2829"/>
    <w:rsid w:val="00FF2ABB"/>
    <w:rsid w:val="00FF2C58"/>
    <w:rsid w:val="00FF314E"/>
    <w:rsid w:val="00FF4263"/>
    <w:rsid w:val="00FF4618"/>
    <w:rsid w:val="00FF4A95"/>
    <w:rsid w:val="00FF50FD"/>
    <w:rsid w:val="00FF5598"/>
    <w:rsid w:val="00FF5B50"/>
    <w:rsid w:val="00FF5BED"/>
    <w:rsid w:val="00FF6090"/>
    <w:rsid w:val="00FF6CCE"/>
    <w:rsid w:val="00FF73A3"/>
    <w:rsid w:val="00FF7DB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204986"/>
  <w14:defaultImageDpi w14:val="330"/>
  <w15:docId w15:val="{20BB543A-B442-414A-A30C-6FF1724E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AC9"/>
    <w:pPr>
      <w:spacing w:after="200"/>
    </w:pPr>
    <w:rPr>
      <w:rFonts w:ascii="Source Sans Pro" w:eastAsia="Source Sans Pro SemiBold" w:hAnsi="Source Sans Pro"/>
      <w:sz w:val="21"/>
      <w:szCs w:val="22"/>
      <w:lang w:val="en-GB" w:eastAsia="en-US"/>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4415B0"/>
    <w:pPr>
      <w:spacing w:before="200" w:after="120"/>
      <w:outlineLvl w:val="1"/>
    </w:pPr>
    <w:rPr>
      <w:b/>
      <w:bCs/>
      <w:color w:val="55AF3C"/>
      <w:szCs w:val="24"/>
    </w:rPr>
  </w:style>
  <w:style w:type="paragraph" w:styleId="Heading3">
    <w:name w:val="heading 3"/>
    <w:basedOn w:val="Normal"/>
    <w:next w:val="Normal"/>
    <w:link w:val="Heading3Char"/>
    <w:uiPriority w:val="9"/>
    <w:qFormat/>
    <w:rsid w:val="005E1D0B"/>
    <w:pPr>
      <w:keepNext/>
      <w:keepLines/>
      <w:spacing w:before="200"/>
      <w:outlineLvl w:val="2"/>
    </w:pPr>
    <w:rPr>
      <w:rFonts w:eastAsia="MS Mincho"/>
      <w:b/>
      <w:bCs/>
      <w:color w:val="002D64"/>
    </w:rPr>
  </w:style>
  <w:style w:type="paragraph" w:styleId="Heading4">
    <w:name w:val="heading 4"/>
    <w:basedOn w:val="Normal"/>
    <w:next w:val="Normal"/>
    <w:link w:val="Heading4Char"/>
    <w:uiPriority w:val="9"/>
    <w:qFormat/>
    <w:rsid w:val="005E1D0B"/>
    <w:pPr>
      <w:outlineLvl w:val="3"/>
    </w:pPr>
    <w:rPr>
      <w:b/>
      <w:bCs/>
    </w:rPr>
  </w:style>
  <w:style w:type="paragraph" w:styleId="Heading5">
    <w:name w:val="heading 5"/>
    <w:basedOn w:val="Normal"/>
    <w:next w:val="Normal"/>
    <w:link w:val="Heading5Char"/>
    <w:uiPriority w:val="9"/>
    <w:qFormat/>
    <w:rsid w:val="00C708E6"/>
    <w:pPr>
      <w:keepNext/>
      <w:keepLines/>
      <w:numPr>
        <w:ilvl w:val="4"/>
        <w:numId w:val="1"/>
      </w:numPr>
      <w:spacing w:before="200"/>
      <w:outlineLvl w:val="4"/>
    </w:pPr>
    <w:rPr>
      <w:rFonts w:eastAsia="MS Gothic"/>
      <w:color w:val="244061"/>
    </w:r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4415B0"/>
    <w:rPr>
      <w:rFonts w:ascii="Source Sans Pro" w:eastAsia="Source Sans Pro SemiBold" w:hAnsi="Source Sans Pro"/>
      <w:b/>
      <w:bCs/>
      <w:color w:val="55AF3C"/>
      <w:sz w:val="24"/>
      <w:szCs w:val="24"/>
      <w:lang w:val="en-GB"/>
    </w:rPr>
  </w:style>
  <w:style w:type="character" w:customStyle="1" w:styleId="Heading3Char">
    <w:name w:val="Heading 3 Char"/>
    <w:link w:val="Heading3"/>
    <w:uiPriority w:val="9"/>
    <w:rsid w:val="005E1D0B"/>
    <w:rPr>
      <w:rFonts w:ascii="Source Sans Pro" w:hAnsi="Source Sans Pro"/>
      <w:b/>
      <w:bCs/>
      <w:color w:val="002D64"/>
      <w:sz w:val="22"/>
      <w:szCs w:val="22"/>
      <w:lang w:val="en-GB" w:eastAsia="en-US"/>
    </w:rPr>
  </w:style>
  <w:style w:type="character" w:customStyle="1" w:styleId="Heading4Char">
    <w:name w:val="Heading 4 Char"/>
    <w:link w:val="Heading4"/>
    <w:uiPriority w:val="9"/>
    <w:rsid w:val="005E1D0B"/>
    <w:rPr>
      <w:rFonts w:ascii="Source Sans Pro" w:eastAsia="Source Sans Pro SemiBold" w:hAnsi="Source Sans Pro"/>
      <w:b/>
      <w:bCs/>
      <w:sz w:val="22"/>
      <w:szCs w:val="22"/>
      <w:lang w:val="en-GB" w:eastAsia="en-US"/>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1C5AD1"/>
    <w:pPr>
      <w:spacing w:after="227" w:line="280" w:lineRule="exact"/>
    </w:pPr>
    <w:rPr>
      <w:sz w:val="24"/>
    </w:rPr>
  </w:style>
  <w:style w:type="character" w:customStyle="1" w:styleId="BodyTextChar">
    <w:name w:val="Body Text Char"/>
    <w:link w:val="BodyText"/>
    <w:rsid w:val="001C5AD1"/>
    <w:rPr>
      <w:rFonts w:ascii="Source Sans Pro" w:eastAsia="Source Sans Pro SemiBold" w:hAnsi="Source Sans Pro" w:cs="Times New Roman"/>
      <w:szCs w:val="22"/>
      <w:lang w:val="en-GB" w:eastAsia="en-US"/>
    </w:rPr>
  </w:style>
  <w:style w:type="paragraph" w:styleId="Caption">
    <w:name w:val="caption"/>
    <w:basedOn w:val="Normal"/>
    <w:next w:val="Normal"/>
    <w:autoRedefine/>
    <w:uiPriority w:val="35"/>
    <w:qFormat/>
    <w:rsid w:val="002E5318"/>
    <w:rPr>
      <w:sz w:val="20"/>
      <w:szCs w:val="20"/>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C708E6"/>
    <w:rPr>
      <w:rFonts w:ascii="Source Sans Pro" w:eastAsia="MS Gothic" w:hAnsi="Source Sans Pro"/>
      <w:color w:val="244061"/>
      <w:sz w:val="22"/>
      <w:szCs w:val="22"/>
      <w:lang w:val="en-GB" w:eastAsia="en-US"/>
    </w:rPr>
  </w:style>
  <w:style w:type="character" w:customStyle="1" w:styleId="Heading6Char">
    <w:name w:val="Heading 6 Char"/>
    <w:link w:val="Heading6"/>
    <w:uiPriority w:val="9"/>
    <w:rsid w:val="00C708E6"/>
    <w:rPr>
      <w:rFonts w:ascii="Source Sans Pro" w:eastAsia="MS Gothic" w:hAnsi="Source Sans Pro"/>
      <w:i/>
      <w:iCs/>
      <w:color w:val="244061"/>
      <w:sz w:val="22"/>
      <w:szCs w:val="22"/>
      <w:lang w:val="en-GB" w:eastAsia="en-US"/>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eastAsia="en-US"/>
    </w:rPr>
  </w:style>
  <w:style w:type="character" w:customStyle="1" w:styleId="Heading9Char">
    <w:name w:val="Heading 9 Char"/>
    <w:link w:val="Heading9"/>
    <w:uiPriority w:val="9"/>
    <w:rsid w:val="00C708E6"/>
    <w:rPr>
      <w:rFonts w:ascii="Source Sans Pro" w:eastAsia="MS Gothic" w:hAnsi="Source Sans Pro"/>
      <w:i/>
      <w:iCs/>
      <w:color w:val="363636"/>
      <w:lang w:val="en-GB" w:eastAsia="en-US"/>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ColorfulGrid-Accent5">
    <w:name w:val="Colorful Grid Accent 5"/>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val="en-AU" w:eastAsia="en-AU"/>
    </w:rPr>
  </w:style>
  <w:style w:type="paragraph" w:customStyle="1" w:styleId="Refheaderindented">
    <w:name w:val="Ref header indented"/>
    <w:basedOn w:val="BodyText"/>
    <w:link w:val="RefheaderindentedChar"/>
    <w:rsid w:val="00C708E6"/>
    <w:pPr>
      <w:ind w:left="720"/>
    </w:pPr>
    <w:rPr>
      <w:rFonts w:ascii="Calibri" w:hAnsi="Calibri"/>
      <w:b/>
      <w:bCs/>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ind w:left="720"/>
    </w:pPr>
    <w:rPr>
      <w:rFonts w:ascii="Calibri" w:hAnsi="Calibri"/>
    </w:rPr>
  </w:style>
  <w:style w:type="character" w:customStyle="1" w:styleId="RefindentedChar">
    <w:name w:val="Ref indented Char"/>
    <w:link w:val="Refindented"/>
    <w:rsid w:val="00C708E6"/>
    <w:rPr>
      <w:rFonts w:ascii="Source Sans Pro" w:eastAsia="Cambria" w:hAnsi="Source Sans Pro" w:cs="Times New Roman"/>
      <w:sz w:val="22"/>
      <w:szCs w:val="22"/>
      <w:lang w:val="en-GB" w:eastAsia="en-US"/>
    </w:rPr>
  </w:style>
  <w:style w:type="paragraph" w:customStyle="1" w:styleId="Reflists">
    <w:name w:val="Ref lists"/>
    <w:basedOn w:val="Normal"/>
    <w:link w:val="ReflistsChar"/>
    <w:qFormat/>
    <w:rsid w:val="00540424"/>
    <w:pPr>
      <w:spacing w:after="120"/>
    </w:pPr>
    <w:rPr>
      <w:rFonts w:ascii="Calibri" w:eastAsia="Times New Roman" w:hAnsi="Calibri" w:cs="Calibri"/>
      <w:b/>
      <w:bCs/>
      <w:color w:val="002060"/>
      <w:sz w:val="20"/>
      <w:szCs w:val="20"/>
    </w:rPr>
  </w:style>
  <w:style w:type="character" w:customStyle="1" w:styleId="ReflistsChar">
    <w:name w:val="Ref lists Char"/>
    <w:link w:val="Reflists"/>
    <w:rsid w:val="00540424"/>
    <w:rPr>
      <w:rFonts w:eastAsia="Times New Roman" w:cs="Calibri"/>
      <w:b/>
      <w:bCs/>
      <w:color w:val="002060"/>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sz w:val="22"/>
      <w:lang w:val="en-AU"/>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BodyText"/>
    <w:uiPriority w:val="5"/>
    <w:qFormat/>
    <w:rsid w:val="001C5AD1"/>
    <w:pPr>
      <w:spacing w:after="57" w:line="560" w:lineRule="exact"/>
    </w:pPr>
    <w:rPr>
      <w:b/>
      <w:noProof/>
      <w:color w:val="002D64"/>
      <w:sz w:val="48"/>
      <w:szCs w:val="48"/>
      <w:lang w:eastAsia="en-GB"/>
    </w:rPr>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sz w:val="22"/>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C708E6"/>
    <w:pPr>
      <w:spacing w:after="60" w:line="240" w:lineRule="auto"/>
    </w:pPr>
    <w:rPr>
      <w:rFonts w:ascii="Calibri" w:hAnsi="Calibri"/>
      <w:sz w:val="18"/>
      <w:szCs w:val="18"/>
    </w:rPr>
  </w:style>
  <w:style w:type="character" w:customStyle="1" w:styleId="TabletextChar">
    <w:name w:val="Table text Char"/>
    <w:link w:val="Tabletext"/>
    <w:rsid w:val="00C708E6"/>
    <w:rPr>
      <w:rFonts w:ascii="Source Sans Pro" w:eastAsia="Cambria" w:hAnsi="Source Sans Pro" w:cs="Times New Roman"/>
      <w:sz w:val="18"/>
      <w:szCs w:val="18"/>
      <w:lang w:val="en-GB" w:eastAsia="en-US"/>
    </w:rPr>
  </w:style>
  <w:style w:type="paragraph" w:styleId="TOC1">
    <w:name w:val="toc 1"/>
    <w:basedOn w:val="Normal"/>
    <w:next w:val="Normal"/>
    <w:autoRedefine/>
    <w:uiPriority w:val="39"/>
    <w:unhideWhenUsed/>
    <w:rsid w:val="006D6306"/>
    <w:pPr>
      <w:tabs>
        <w:tab w:val="left" w:pos="660"/>
        <w:tab w:val="right" w:pos="9072"/>
      </w:tabs>
      <w:spacing w:after="170" w:line="280" w:lineRule="exact"/>
    </w:pPr>
    <w:rPr>
      <w:b/>
      <w:noProof/>
      <w:color w:val="46A536"/>
      <w:sz w:val="24"/>
      <w:szCs w:val="24"/>
    </w:rPr>
  </w:style>
  <w:style w:type="paragraph" w:styleId="TOC2">
    <w:name w:val="toc 2"/>
    <w:basedOn w:val="Normal"/>
    <w:next w:val="Normal"/>
    <w:autoRedefine/>
    <w:uiPriority w:val="39"/>
    <w:unhideWhenUsed/>
    <w:rsid w:val="002503AC"/>
    <w:pPr>
      <w:tabs>
        <w:tab w:val="left" w:pos="660"/>
        <w:tab w:val="right" w:pos="9072"/>
      </w:tabs>
      <w:spacing w:after="170" w:line="280" w:lineRule="exact"/>
    </w:pPr>
    <w:rPr>
      <w:noProof/>
      <w:color w:val="002D64"/>
      <w:sz w:val="24"/>
      <w:szCs w:val="24"/>
    </w:rPr>
  </w:style>
  <w:style w:type="paragraph" w:styleId="TOC3">
    <w:name w:val="toc 3"/>
    <w:basedOn w:val="Normal"/>
    <w:next w:val="Normal"/>
    <w:autoRedefine/>
    <w:uiPriority w:val="39"/>
    <w:rsid w:val="00C708E6"/>
    <w:pPr>
      <w:tabs>
        <w:tab w:val="left" w:pos="1136"/>
        <w:tab w:val="right" w:pos="9628"/>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rsid w:val="001C5AD1"/>
    <w:rPr>
      <w:rFonts w:ascii="Calibri" w:eastAsia="MS Mincho" w:hAnsi="Calibri" w:cs="Calibri"/>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ColorfulShading-Accent31">
    <w:name w:val="Colorful Shading - Accent 31"/>
    <w:basedOn w:val="Normal"/>
    <w:uiPriority w:val="34"/>
    <w:qFormat/>
    <w:rsid w:val="00580A3D"/>
    <w:pPr>
      <w:spacing w:after="160" w:line="259" w:lineRule="auto"/>
      <w:ind w:left="720"/>
      <w:contextualSpacing/>
    </w:pPr>
    <w:rPr>
      <w:rFonts w:ascii="Calibri" w:eastAsia="Calibri" w:hAnsi="Calibri"/>
      <w:lang w:val="en-AU"/>
    </w:rPr>
  </w:style>
  <w:style w:type="character" w:customStyle="1" w:styleId="c0">
    <w:name w:val="c0"/>
    <w:rsid w:val="00A46ED6"/>
  </w:style>
  <w:style w:type="paragraph" w:customStyle="1" w:styleId="MediumShading1-Accent21">
    <w:name w:val="Medium Shading 1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eastAsia="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val="en-AU" w:eastAsia="en-AU"/>
    </w:rPr>
  </w:style>
  <w:style w:type="paragraph" w:customStyle="1" w:styleId="Footer1">
    <w:name w:val="Footer1"/>
    <w:basedOn w:val="Normal"/>
    <w:rsid w:val="00617B76"/>
    <w:pPr>
      <w:tabs>
        <w:tab w:val="center" w:pos="4153"/>
        <w:tab w:val="right" w:pos="8306"/>
      </w:tabs>
      <w:spacing w:after="0"/>
    </w:pPr>
    <w:rPr>
      <w:rFonts w:ascii="Arial" w:eastAsia="Times New Roman" w:hAnsi="Arial"/>
      <w:sz w:val="24"/>
      <w:szCs w:val="20"/>
      <w:lang w:eastAsia="en-AU"/>
    </w:rPr>
  </w:style>
  <w:style w:type="paragraph" w:styleId="ListParagraph">
    <w:name w:val="List Paragraph"/>
    <w:basedOn w:val="Normal"/>
    <w:uiPriority w:val="34"/>
    <w:qFormat/>
    <w:rsid w:val="001F50C9"/>
    <w:pPr>
      <w:spacing w:after="0"/>
      <w:ind w:left="720"/>
      <w:contextualSpacing/>
    </w:pPr>
    <w:rPr>
      <w:rFonts w:eastAsia="Times New Roman"/>
      <w:szCs w:val="20"/>
      <w:lang w:val="en-AU" w:eastAsia="en-AU"/>
    </w:rPr>
  </w:style>
  <w:style w:type="character" w:customStyle="1" w:styleId="author">
    <w:name w:val="author"/>
    <w:rsid w:val="00493649"/>
  </w:style>
  <w:style w:type="character" w:customStyle="1" w:styleId="articletitle">
    <w:name w:val="articletitle"/>
    <w:rsid w:val="00493649"/>
  </w:style>
  <w:style w:type="character" w:customStyle="1" w:styleId="othertitle">
    <w:name w:val="othertitle"/>
    <w:rsid w:val="00493649"/>
  </w:style>
  <w:style w:type="character" w:customStyle="1" w:styleId="vol">
    <w:name w:val="vol"/>
    <w:rsid w:val="00493649"/>
  </w:style>
  <w:style w:type="character" w:customStyle="1" w:styleId="citedissue">
    <w:name w:val="citedissue"/>
    <w:rsid w:val="00493649"/>
  </w:style>
  <w:style w:type="character" w:styleId="Strong">
    <w:name w:val="Strong"/>
    <w:uiPriority w:val="22"/>
    <w:qFormat/>
    <w:rsid w:val="00397DB5"/>
    <w:rPr>
      <w:b/>
      <w:bCs/>
    </w:rPr>
  </w:style>
  <w:style w:type="paragraph" w:styleId="Revision">
    <w:name w:val="Revision"/>
    <w:hidden/>
    <w:uiPriority w:val="71"/>
    <w:semiHidden/>
    <w:rsid w:val="007D2797"/>
    <w:rPr>
      <w:rFonts w:ascii="Source Sans Pro" w:eastAsia="Source Sans Pro SemiBold" w:hAnsi="Source Sans Pro"/>
      <w:sz w:val="22"/>
      <w:szCs w:val="22"/>
      <w:lang w:val="en-GB" w:eastAsia="en-US"/>
    </w:rPr>
  </w:style>
  <w:style w:type="character" w:customStyle="1" w:styleId="pronunciation">
    <w:name w:val="pronunciation"/>
    <w:basedOn w:val="DefaultParagraphFont"/>
    <w:rsid w:val="00E0405B"/>
  </w:style>
  <w:style w:type="table" w:styleId="ListTable6Colorful-Accent6">
    <w:name w:val="List Table 6 Colorful Accent 6"/>
    <w:basedOn w:val="TableNormal"/>
    <w:uiPriority w:val="51"/>
    <w:rsid w:val="0017430A"/>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7430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1743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otpointlist">
    <w:name w:val="Dot point list"/>
    <w:basedOn w:val="Normal"/>
    <w:link w:val="DotpointlistChar"/>
    <w:qFormat/>
    <w:rsid w:val="0006514F"/>
    <w:pPr>
      <w:numPr>
        <w:numId w:val="7"/>
      </w:numPr>
    </w:pPr>
  </w:style>
  <w:style w:type="paragraph" w:customStyle="1" w:styleId="AppendixNumbered">
    <w:name w:val="Appendix Numbered"/>
    <w:basedOn w:val="Heading2"/>
    <w:uiPriority w:val="11"/>
    <w:qFormat/>
    <w:rsid w:val="003A1B74"/>
    <w:pPr>
      <w:keepNext/>
      <w:keepLines/>
      <w:pageBreakBefore/>
      <w:numPr>
        <w:numId w:val="9"/>
      </w:numPr>
      <w:pBdr>
        <w:top w:val="single" w:sz="4" w:space="12" w:color="B4C6E7" w:themeColor="accent5" w:themeTint="66"/>
      </w:pBdr>
      <w:spacing w:before="360" w:line="380" w:lineRule="atLeast"/>
    </w:pPr>
    <w:rPr>
      <w:rFonts w:asciiTheme="majorHAnsi" w:eastAsiaTheme="majorEastAsia" w:hAnsiTheme="majorHAnsi" w:cstheme="majorBidi"/>
      <w:bCs w:val="0"/>
      <w:color w:val="44546A" w:themeColor="text2"/>
      <w:sz w:val="28"/>
      <w:szCs w:val="26"/>
      <w:lang w:val="en-AU" w:eastAsia="en-AU"/>
    </w:rPr>
  </w:style>
  <w:style w:type="character" w:customStyle="1" w:styleId="DotpointlistChar">
    <w:name w:val="Dot point list Char"/>
    <w:basedOn w:val="DefaultParagraphFont"/>
    <w:link w:val="Dotpointlist"/>
    <w:rsid w:val="0006514F"/>
    <w:rPr>
      <w:rFonts w:ascii="Source Sans Pro" w:eastAsia="Source Sans Pro SemiBold" w:hAnsi="Source Sans Pro"/>
      <w:sz w:val="22"/>
      <w:szCs w:val="22"/>
      <w:lang w:val="en-GB" w:eastAsia="en-US"/>
    </w:rPr>
  </w:style>
  <w:style w:type="numbering" w:customStyle="1" w:styleId="AppendixNumbers">
    <w:name w:val="Appendix Numbers"/>
    <w:uiPriority w:val="99"/>
    <w:rsid w:val="003A1B74"/>
    <w:pPr>
      <w:numPr>
        <w:numId w:val="9"/>
      </w:numPr>
    </w:pPr>
  </w:style>
  <w:style w:type="paragraph" w:customStyle="1" w:styleId="Bullet1">
    <w:name w:val="Bullet 1"/>
    <w:basedOn w:val="Normal"/>
    <w:uiPriority w:val="2"/>
    <w:qFormat/>
    <w:rsid w:val="003A1B74"/>
    <w:pPr>
      <w:numPr>
        <w:numId w:val="10"/>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2">
    <w:name w:val="Bullet 2"/>
    <w:basedOn w:val="Normal"/>
    <w:uiPriority w:val="2"/>
    <w:qFormat/>
    <w:rsid w:val="003A1B74"/>
    <w:pPr>
      <w:numPr>
        <w:ilvl w:val="1"/>
        <w:numId w:val="10"/>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3">
    <w:name w:val="Bullet 3"/>
    <w:basedOn w:val="Normal"/>
    <w:uiPriority w:val="2"/>
    <w:qFormat/>
    <w:rsid w:val="003A1B74"/>
    <w:pPr>
      <w:numPr>
        <w:ilvl w:val="2"/>
        <w:numId w:val="10"/>
      </w:numPr>
      <w:spacing w:before="120" w:after="60" w:line="240" w:lineRule="atLeast"/>
    </w:pPr>
    <w:rPr>
      <w:rFonts w:asciiTheme="minorHAnsi" w:eastAsiaTheme="minorEastAsia" w:hAnsiTheme="minorHAnsi"/>
      <w:color w:val="000000" w:themeColor="text1"/>
      <w:sz w:val="18"/>
      <w:szCs w:val="18"/>
      <w:lang w:val="en-AU" w:eastAsia="en-AU"/>
    </w:rPr>
  </w:style>
  <w:style w:type="numbering" w:customStyle="1" w:styleId="DefaultBullets">
    <w:name w:val="Default Bullets"/>
    <w:uiPriority w:val="99"/>
    <w:rsid w:val="003A1B74"/>
    <w:pPr>
      <w:numPr>
        <w:numId w:val="10"/>
      </w:numPr>
    </w:pPr>
  </w:style>
  <w:style w:type="table" w:customStyle="1" w:styleId="TableGrid3">
    <w:name w:val="Table Grid3"/>
    <w:basedOn w:val="TableNormal"/>
    <w:next w:val="TableGrid"/>
    <w:uiPriority w:val="39"/>
    <w:rsid w:val="000B101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0B1010"/>
  </w:style>
  <w:style w:type="character" w:customStyle="1" w:styleId="mw-editsection-bracket">
    <w:name w:val="mw-editsection-bracket"/>
    <w:basedOn w:val="DefaultParagraphFont"/>
    <w:rsid w:val="000B1010"/>
  </w:style>
  <w:style w:type="paragraph" w:customStyle="1" w:styleId="Numberedlist">
    <w:name w:val="Numbered list"/>
    <w:basedOn w:val="Dotpointlist"/>
    <w:link w:val="NumberedlistChar"/>
    <w:qFormat/>
    <w:rsid w:val="00926B56"/>
    <w:pPr>
      <w:numPr>
        <w:numId w:val="12"/>
      </w:numPr>
    </w:pPr>
  </w:style>
  <w:style w:type="character" w:customStyle="1" w:styleId="NumberedlistChar">
    <w:name w:val="Numbered list Char"/>
    <w:basedOn w:val="DotpointlistChar"/>
    <w:link w:val="Numberedlist"/>
    <w:rsid w:val="00926B56"/>
    <w:rPr>
      <w:rFonts w:ascii="Source Sans Pro" w:eastAsia="Source Sans Pro SemiBold" w:hAnsi="Source Sans Pro"/>
      <w:sz w:val="22"/>
      <w:szCs w:val="22"/>
      <w:lang w:val="en-GB" w:eastAsia="en-US"/>
    </w:rPr>
  </w:style>
  <w:style w:type="character" w:styleId="UnresolvedMention">
    <w:name w:val="Unresolved Mention"/>
    <w:basedOn w:val="DefaultParagraphFont"/>
    <w:uiPriority w:val="99"/>
    <w:semiHidden/>
    <w:unhideWhenUsed/>
    <w:rsid w:val="00F763DA"/>
    <w:rPr>
      <w:color w:val="605E5C"/>
      <w:shd w:val="clear" w:color="auto" w:fill="E1DFDD"/>
    </w:rPr>
  </w:style>
  <w:style w:type="paragraph" w:customStyle="1" w:styleId="table">
    <w:name w:val="table"/>
    <w:basedOn w:val="Normal"/>
    <w:rsid w:val="00B04578"/>
    <w:pPr>
      <w:spacing w:before="100" w:beforeAutospacing="1" w:after="100" w:afterAutospacing="1"/>
    </w:pPr>
    <w:rPr>
      <w:rFonts w:ascii="Times New Roman" w:eastAsia="Times New Roman"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2896">
      <w:bodyDiv w:val="1"/>
      <w:marLeft w:val="0"/>
      <w:marRight w:val="0"/>
      <w:marTop w:val="0"/>
      <w:marBottom w:val="0"/>
      <w:divBdr>
        <w:top w:val="none" w:sz="0" w:space="0" w:color="auto"/>
        <w:left w:val="none" w:sz="0" w:space="0" w:color="auto"/>
        <w:bottom w:val="none" w:sz="0" w:space="0" w:color="auto"/>
        <w:right w:val="none" w:sz="0" w:space="0" w:color="auto"/>
      </w:divBdr>
    </w:div>
    <w:div w:id="219287836">
      <w:bodyDiv w:val="1"/>
      <w:marLeft w:val="0"/>
      <w:marRight w:val="0"/>
      <w:marTop w:val="0"/>
      <w:marBottom w:val="0"/>
      <w:divBdr>
        <w:top w:val="none" w:sz="0" w:space="0" w:color="auto"/>
        <w:left w:val="none" w:sz="0" w:space="0" w:color="auto"/>
        <w:bottom w:val="none" w:sz="0" w:space="0" w:color="auto"/>
        <w:right w:val="none" w:sz="0" w:space="0" w:color="auto"/>
      </w:divBdr>
    </w:div>
    <w:div w:id="259922186">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400059202">
      <w:bodyDiv w:val="1"/>
      <w:marLeft w:val="0"/>
      <w:marRight w:val="0"/>
      <w:marTop w:val="0"/>
      <w:marBottom w:val="0"/>
      <w:divBdr>
        <w:top w:val="none" w:sz="0" w:space="0" w:color="auto"/>
        <w:left w:val="none" w:sz="0" w:space="0" w:color="auto"/>
        <w:bottom w:val="none" w:sz="0" w:space="0" w:color="auto"/>
        <w:right w:val="none" w:sz="0" w:space="0" w:color="auto"/>
      </w:divBdr>
    </w:div>
    <w:div w:id="450514275">
      <w:bodyDiv w:val="1"/>
      <w:marLeft w:val="0"/>
      <w:marRight w:val="0"/>
      <w:marTop w:val="0"/>
      <w:marBottom w:val="0"/>
      <w:divBdr>
        <w:top w:val="none" w:sz="0" w:space="0" w:color="auto"/>
        <w:left w:val="none" w:sz="0" w:space="0" w:color="auto"/>
        <w:bottom w:val="none" w:sz="0" w:space="0" w:color="auto"/>
        <w:right w:val="none" w:sz="0" w:space="0" w:color="auto"/>
      </w:divBdr>
    </w:div>
    <w:div w:id="737896079">
      <w:bodyDiv w:val="1"/>
      <w:marLeft w:val="0"/>
      <w:marRight w:val="0"/>
      <w:marTop w:val="0"/>
      <w:marBottom w:val="0"/>
      <w:divBdr>
        <w:top w:val="none" w:sz="0" w:space="0" w:color="auto"/>
        <w:left w:val="none" w:sz="0" w:space="0" w:color="auto"/>
        <w:bottom w:val="none" w:sz="0" w:space="0" w:color="auto"/>
        <w:right w:val="none" w:sz="0" w:space="0" w:color="auto"/>
      </w:divBdr>
    </w:div>
    <w:div w:id="1186598583">
      <w:bodyDiv w:val="1"/>
      <w:marLeft w:val="0"/>
      <w:marRight w:val="0"/>
      <w:marTop w:val="0"/>
      <w:marBottom w:val="0"/>
      <w:divBdr>
        <w:top w:val="none" w:sz="0" w:space="0" w:color="auto"/>
        <w:left w:val="none" w:sz="0" w:space="0" w:color="auto"/>
        <w:bottom w:val="none" w:sz="0" w:space="0" w:color="auto"/>
        <w:right w:val="none" w:sz="0" w:space="0" w:color="auto"/>
      </w:divBdr>
    </w:div>
    <w:div w:id="1368724154">
      <w:bodyDiv w:val="1"/>
      <w:marLeft w:val="0"/>
      <w:marRight w:val="0"/>
      <w:marTop w:val="0"/>
      <w:marBottom w:val="0"/>
      <w:divBdr>
        <w:top w:val="none" w:sz="0" w:space="0" w:color="auto"/>
        <w:left w:val="none" w:sz="0" w:space="0" w:color="auto"/>
        <w:bottom w:val="none" w:sz="0" w:space="0" w:color="auto"/>
        <w:right w:val="none" w:sz="0" w:space="0" w:color="auto"/>
      </w:divBdr>
    </w:div>
    <w:div w:id="1563910487">
      <w:bodyDiv w:val="1"/>
      <w:marLeft w:val="0"/>
      <w:marRight w:val="0"/>
      <w:marTop w:val="0"/>
      <w:marBottom w:val="0"/>
      <w:divBdr>
        <w:top w:val="none" w:sz="0" w:space="0" w:color="auto"/>
        <w:left w:val="none" w:sz="0" w:space="0" w:color="auto"/>
        <w:bottom w:val="none" w:sz="0" w:space="0" w:color="auto"/>
        <w:right w:val="none" w:sz="0" w:space="0" w:color="auto"/>
      </w:divBdr>
      <w:divsChild>
        <w:div w:id="772744246">
          <w:marLeft w:val="0"/>
          <w:marRight w:val="0"/>
          <w:marTop w:val="0"/>
          <w:marBottom w:val="0"/>
          <w:divBdr>
            <w:top w:val="none" w:sz="0" w:space="0" w:color="auto"/>
            <w:left w:val="none" w:sz="0" w:space="0" w:color="auto"/>
            <w:bottom w:val="none" w:sz="0" w:space="0" w:color="auto"/>
            <w:right w:val="none" w:sz="0" w:space="0" w:color="auto"/>
          </w:divBdr>
        </w:div>
        <w:div w:id="827133170">
          <w:marLeft w:val="0"/>
          <w:marRight w:val="0"/>
          <w:marTop w:val="0"/>
          <w:marBottom w:val="0"/>
          <w:divBdr>
            <w:top w:val="none" w:sz="0" w:space="0" w:color="auto"/>
            <w:left w:val="none" w:sz="0" w:space="0" w:color="auto"/>
            <w:bottom w:val="none" w:sz="0" w:space="0" w:color="auto"/>
            <w:right w:val="none" w:sz="0" w:space="0" w:color="auto"/>
          </w:divBdr>
        </w:div>
        <w:div w:id="809710461">
          <w:marLeft w:val="0"/>
          <w:marRight w:val="0"/>
          <w:marTop w:val="0"/>
          <w:marBottom w:val="0"/>
          <w:divBdr>
            <w:top w:val="none" w:sz="0" w:space="0" w:color="auto"/>
            <w:left w:val="none" w:sz="0" w:space="0" w:color="auto"/>
            <w:bottom w:val="none" w:sz="0" w:space="0" w:color="auto"/>
            <w:right w:val="none" w:sz="0" w:space="0" w:color="auto"/>
          </w:divBdr>
        </w:div>
        <w:div w:id="1800221161">
          <w:marLeft w:val="0"/>
          <w:marRight w:val="0"/>
          <w:marTop w:val="0"/>
          <w:marBottom w:val="0"/>
          <w:divBdr>
            <w:top w:val="none" w:sz="0" w:space="0" w:color="auto"/>
            <w:left w:val="none" w:sz="0" w:space="0" w:color="auto"/>
            <w:bottom w:val="none" w:sz="0" w:space="0" w:color="auto"/>
            <w:right w:val="none" w:sz="0" w:space="0" w:color="auto"/>
          </w:divBdr>
        </w:div>
        <w:div w:id="1369334107">
          <w:marLeft w:val="0"/>
          <w:marRight w:val="0"/>
          <w:marTop w:val="0"/>
          <w:marBottom w:val="0"/>
          <w:divBdr>
            <w:top w:val="none" w:sz="0" w:space="0" w:color="auto"/>
            <w:left w:val="none" w:sz="0" w:space="0" w:color="auto"/>
            <w:bottom w:val="none" w:sz="0" w:space="0" w:color="auto"/>
            <w:right w:val="none" w:sz="0" w:space="0" w:color="auto"/>
          </w:divBdr>
        </w:div>
        <w:div w:id="86661079">
          <w:marLeft w:val="0"/>
          <w:marRight w:val="0"/>
          <w:marTop w:val="0"/>
          <w:marBottom w:val="0"/>
          <w:divBdr>
            <w:top w:val="none" w:sz="0" w:space="0" w:color="auto"/>
            <w:left w:val="none" w:sz="0" w:space="0" w:color="auto"/>
            <w:bottom w:val="none" w:sz="0" w:space="0" w:color="auto"/>
            <w:right w:val="none" w:sz="0" w:space="0" w:color="auto"/>
          </w:divBdr>
        </w:div>
        <w:div w:id="2129468067">
          <w:marLeft w:val="0"/>
          <w:marRight w:val="0"/>
          <w:marTop w:val="0"/>
          <w:marBottom w:val="0"/>
          <w:divBdr>
            <w:top w:val="none" w:sz="0" w:space="0" w:color="auto"/>
            <w:left w:val="none" w:sz="0" w:space="0" w:color="auto"/>
            <w:bottom w:val="none" w:sz="0" w:space="0" w:color="auto"/>
            <w:right w:val="none" w:sz="0" w:space="0" w:color="auto"/>
          </w:divBdr>
        </w:div>
        <w:div w:id="1574046438">
          <w:marLeft w:val="0"/>
          <w:marRight w:val="0"/>
          <w:marTop w:val="0"/>
          <w:marBottom w:val="0"/>
          <w:divBdr>
            <w:top w:val="none" w:sz="0" w:space="0" w:color="auto"/>
            <w:left w:val="none" w:sz="0" w:space="0" w:color="auto"/>
            <w:bottom w:val="none" w:sz="0" w:space="0" w:color="auto"/>
            <w:right w:val="none" w:sz="0" w:space="0" w:color="auto"/>
          </w:divBdr>
        </w:div>
        <w:div w:id="699822072">
          <w:marLeft w:val="0"/>
          <w:marRight w:val="0"/>
          <w:marTop w:val="0"/>
          <w:marBottom w:val="0"/>
          <w:divBdr>
            <w:top w:val="none" w:sz="0" w:space="0" w:color="auto"/>
            <w:left w:val="none" w:sz="0" w:space="0" w:color="auto"/>
            <w:bottom w:val="none" w:sz="0" w:space="0" w:color="auto"/>
            <w:right w:val="none" w:sz="0" w:space="0" w:color="auto"/>
          </w:divBdr>
        </w:div>
        <w:div w:id="909004318">
          <w:marLeft w:val="0"/>
          <w:marRight w:val="0"/>
          <w:marTop w:val="0"/>
          <w:marBottom w:val="0"/>
          <w:divBdr>
            <w:top w:val="none" w:sz="0" w:space="0" w:color="auto"/>
            <w:left w:val="none" w:sz="0" w:space="0" w:color="auto"/>
            <w:bottom w:val="none" w:sz="0" w:space="0" w:color="auto"/>
            <w:right w:val="none" w:sz="0" w:space="0" w:color="auto"/>
          </w:divBdr>
        </w:div>
        <w:div w:id="2045209127">
          <w:marLeft w:val="0"/>
          <w:marRight w:val="0"/>
          <w:marTop w:val="0"/>
          <w:marBottom w:val="0"/>
          <w:divBdr>
            <w:top w:val="none" w:sz="0" w:space="0" w:color="auto"/>
            <w:left w:val="none" w:sz="0" w:space="0" w:color="auto"/>
            <w:bottom w:val="none" w:sz="0" w:space="0" w:color="auto"/>
            <w:right w:val="none" w:sz="0" w:space="0" w:color="auto"/>
          </w:divBdr>
        </w:div>
        <w:div w:id="2091459930">
          <w:marLeft w:val="0"/>
          <w:marRight w:val="0"/>
          <w:marTop w:val="0"/>
          <w:marBottom w:val="0"/>
          <w:divBdr>
            <w:top w:val="none" w:sz="0" w:space="0" w:color="auto"/>
            <w:left w:val="none" w:sz="0" w:space="0" w:color="auto"/>
            <w:bottom w:val="none" w:sz="0" w:space="0" w:color="auto"/>
            <w:right w:val="none" w:sz="0" w:space="0" w:color="auto"/>
          </w:divBdr>
        </w:div>
        <w:div w:id="1192837250">
          <w:marLeft w:val="0"/>
          <w:marRight w:val="0"/>
          <w:marTop w:val="0"/>
          <w:marBottom w:val="0"/>
          <w:divBdr>
            <w:top w:val="none" w:sz="0" w:space="0" w:color="auto"/>
            <w:left w:val="none" w:sz="0" w:space="0" w:color="auto"/>
            <w:bottom w:val="none" w:sz="0" w:space="0" w:color="auto"/>
            <w:right w:val="none" w:sz="0" w:space="0" w:color="auto"/>
          </w:divBdr>
          <w:divsChild>
            <w:div w:id="1915359339">
              <w:marLeft w:val="0"/>
              <w:marRight w:val="0"/>
              <w:marTop w:val="0"/>
              <w:marBottom w:val="0"/>
              <w:divBdr>
                <w:top w:val="none" w:sz="0" w:space="0" w:color="auto"/>
                <w:left w:val="none" w:sz="0" w:space="0" w:color="auto"/>
                <w:bottom w:val="none" w:sz="0" w:space="0" w:color="auto"/>
                <w:right w:val="none" w:sz="0" w:space="0" w:color="auto"/>
              </w:divBdr>
            </w:div>
            <w:div w:id="1434784629">
              <w:marLeft w:val="0"/>
              <w:marRight w:val="0"/>
              <w:marTop w:val="0"/>
              <w:marBottom w:val="0"/>
              <w:divBdr>
                <w:top w:val="none" w:sz="0" w:space="0" w:color="auto"/>
                <w:left w:val="none" w:sz="0" w:space="0" w:color="auto"/>
                <w:bottom w:val="none" w:sz="0" w:space="0" w:color="auto"/>
                <w:right w:val="none" w:sz="0" w:space="0" w:color="auto"/>
              </w:divBdr>
            </w:div>
            <w:div w:id="1800562253">
              <w:marLeft w:val="0"/>
              <w:marRight w:val="0"/>
              <w:marTop w:val="0"/>
              <w:marBottom w:val="0"/>
              <w:divBdr>
                <w:top w:val="none" w:sz="0" w:space="0" w:color="auto"/>
                <w:left w:val="none" w:sz="0" w:space="0" w:color="auto"/>
                <w:bottom w:val="none" w:sz="0" w:space="0" w:color="auto"/>
                <w:right w:val="none" w:sz="0" w:space="0" w:color="auto"/>
              </w:divBdr>
            </w:div>
            <w:div w:id="773012572">
              <w:marLeft w:val="0"/>
              <w:marRight w:val="0"/>
              <w:marTop w:val="0"/>
              <w:marBottom w:val="0"/>
              <w:divBdr>
                <w:top w:val="none" w:sz="0" w:space="0" w:color="auto"/>
                <w:left w:val="none" w:sz="0" w:space="0" w:color="auto"/>
                <w:bottom w:val="none" w:sz="0" w:space="0" w:color="auto"/>
                <w:right w:val="none" w:sz="0" w:space="0" w:color="auto"/>
              </w:divBdr>
            </w:div>
            <w:div w:id="890962020">
              <w:marLeft w:val="0"/>
              <w:marRight w:val="0"/>
              <w:marTop w:val="0"/>
              <w:marBottom w:val="0"/>
              <w:divBdr>
                <w:top w:val="none" w:sz="0" w:space="0" w:color="auto"/>
                <w:left w:val="none" w:sz="0" w:space="0" w:color="auto"/>
                <w:bottom w:val="none" w:sz="0" w:space="0" w:color="auto"/>
                <w:right w:val="none" w:sz="0" w:space="0" w:color="auto"/>
              </w:divBdr>
            </w:div>
            <w:div w:id="217670289">
              <w:marLeft w:val="0"/>
              <w:marRight w:val="0"/>
              <w:marTop w:val="0"/>
              <w:marBottom w:val="0"/>
              <w:divBdr>
                <w:top w:val="none" w:sz="0" w:space="0" w:color="auto"/>
                <w:left w:val="none" w:sz="0" w:space="0" w:color="auto"/>
                <w:bottom w:val="none" w:sz="0" w:space="0" w:color="auto"/>
                <w:right w:val="none" w:sz="0" w:space="0" w:color="auto"/>
              </w:divBdr>
            </w:div>
            <w:div w:id="14621512">
              <w:marLeft w:val="0"/>
              <w:marRight w:val="0"/>
              <w:marTop w:val="0"/>
              <w:marBottom w:val="0"/>
              <w:divBdr>
                <w:top w:val="none" w:sz="0" w:space="0" w:color="auto"/>
                <w:left w:val="none" w:sz="0" w:space="0" w:color="auto"/>
                <w:bottom w:val="none" w:sz="0" w:space="0" w:color="auto"/>
                <w:right w:val="none" w:sz="0" w:space="0" w:color="auto"/>
              </w:divBdr>
            </w:div>
            <w:div w:id="654065373">
              <w:marLeft w:val="0"/>
              <w:marRight w:val="0"/>
              <w:marTop w:val="0"/>
              <w:marBottom w:val="0"/>
              <w:divBdr>
                <w:top w:val="none" w:sz="0" w:space="0" w:color="auto"/>
                <w:left w:val="none" w:sz="0" w:space="0" w:color="auto"/>
                <w:bottom w:val="none" w:sz="0" w:space="0" w:color="auto"/>
                <w:right w:val="none" w:sz="0" w:space="0" w:color="auto"/>
              </w:divBdr>
            </w:div>
            <w:div w:id="1275019197">
              <w:marLeft w:val="0"/>
              <w:marRight w:val="0"/>
              <w:marTop w:val="0"/>
              <w:marBottom w:val="0"/>
              <w:divBdr>
                <w:top w:val="none" w:sz="0" w:space="0" w:color="auto"/>
                <w:left w:val="none" w:sz="0" w:space="0" w:color="auto"/>
                <w:bottom w:val="none" w:sz="0" w:space="0" w:color="auto"/>
                <w:right w:val="none" w:sz="0" w:space="0" w:color="auto"/>
              </w:divBdr>
            </w:div>
            <w:div w:id="1584335360">
              <w:marLeft w:val="0"/>
              <w:marRight w:val="0"/>
              <w:marTop w:val="0"/>
              <w:marBottom w:val="0"/>
              <w:divBdr>
                <w:top w:val="none" w:sz="0" w:space="0" w:color="auto"/>
                <w:left w:val="none" w:sz="0" w:space="0" w:color="auto"/>
                <w:bottom w:val="none" w:sz="0" w:space="0" w:color="auto"/>
                <w:right w:val="none" w:sz="0" w:space="0" w:color="auto"/>
              </w:divBdr>
            </w:div>
            <w:div w:id="511724338">
              <w:marLeft w:val="0"/>
              <w:marRight w:val="0"/>
              <w:marTop w:val="0"/>
              <w:marBottom w:val="0"/>
              <w:divBdr>
                <w:top w:val="none" w:sz="0" w:space="0" w:color="auto"/>
                <w:left w:val="none" w:sz="0" w:space="0" w:color="auto"/>
                <w:bottom w:val="none" w:sz="0" w:space="0" w:color="auto"/>
                <w:right w:val="none" w:sz="0" w:space="0" w:color="auto"/>
              </w:divBdr>
            </w:div>
            <w:div w:id="1401752744">
              <w:marLeft w:val="0"/>
              <w:marRight w:val="0"/>
              <w:marTop w:val="0"/>
              <w:marBottom w:val="0"/>
              <w:divBdr>
                <w:top w:val="none" w:sz="0" w:space="0" w:color="auto"/>
                <w:left w:val="none" w:sz="0" w:space="0" w:color="auto"/>
                <w:bottom w:val="none" w:sz="0" w:space="0" w:color="auto"/>
                <w:right w:val="none" w:sz="0" w:space="0" w:color="auto"/>
              </w:divBdr>
            </w:div>
            <w:div w:id="502011821">
              <w:marLeft w:val="0"/>
              <w:marRight w:val="0"/>
              <w:marTop w:val="0"/>
              <w:marBottom w:val="0"/>
              <w:divBdr>
                <w:top w:val="none" w:sz="0" w:space="0" w:color="auto"/>
                <w:left w:val="none" w:sz="0" w:space="0" w:color="auto"/>
                <w:bottom w:val="none" w:sz="0" w:space="0" w:color="auto"/>
                <w:right w:val="none" w:sz="0" w:space="0" w:color="auto"/>
              </w:divBdr>
            </w:div>
            <w:div w:id="13519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753">
      <w:bodyDiv w:val="1"/>
      <w:marLeft w:val="0"/>
      <w:marRight w:val="0"/>
      <w:marTop w:val="0"/>
      <w:marBottom w:val="0"/>
      <w:divBdr>
        <w:top w:val="none" w:sz="0" w:space="0" w:color="auto"/>
        <w:left w:val="none" w:sz="0" w:space="0" w:color="auto"/>
        <w:bottom w:val="none" w:sz="0" w:space="0" w:color="auto"/>
        <w:right w:val="none" w:sz="0" w:space="0" w:color="auto"/>
      </w:divBdr>
    </w:div>
    <w:div w:id="1818183269">
      <w:bodyDiv w:val="1"/>
      <w:marLeft w:val="0"/>
      <w:marRight w:val="0"/>
      <w:marTop w:val="0"/>
      <w:marBottom w:val="0"/>
      <w:divBdr>
        <w:top w:val="none" w:sz="0" w:space="0" w:color="auto"/>
        <w:left w:val="none" w:sz="0" w:space="0" w:color="auto"/>
        <w:bottom w:val="none" w:sz="0" w:space="0" w:color="auto"/>
        <w:right w:val="none" w:sz="0" w:space="0" w:color="auto"/>
      </w:divBdr>
    </w:div>
    <w:div w:id="1888494309">
      <w:bodyDiv w:val="1"/>
      <w:marLeft w:val="0"/>
      <w:marRight w:val="0"/>
      <w:marTop w:val="0"/>
      <w:marBottom w:val="0"/>
      <w:divBdr>
        <w:top w:val="none" w:sz="0" w:space="0" w:color="auto"/>
        <w:left w:val="none" w:sz="0" w:space="0" w:color="auto"/>
        <w:bottom w:val="none" w:sz="0" w:space="0" w:color="auto"/>
        <w:right w:val="none" w:sz="0" w:space="0" w:color="auto"/>
      </w:divBdr>
    </w:div>
    <w:div w:id="2004357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dx.doi.org/10.1097/NCC.0b013e3181d0b4b7"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dx.doi.org/10.1016/j.ejon.2019.101678"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1081C6-3ED7-4E7D-8857-306D1282E2ED}">
  <ds:schemaRefs>
    <ds:schemaRef ds:uri="http://schemas.microsoft.com/sharepoint/v3/contenttype/forms"/>
  </ds:schemaRefs>
</ds:datastoreItem>
</file>

<file path=customXml/itemProps2.xml><?xml version="1.0" encoding="utf-8"?>
<ds:datastoreItem xmlns:ds="http://schemas.openxmlformats.org/officeDocument/2006/customXml" ds:itemID="{592C9821-D5E1-4E83-A8B7-222EDF1B06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8025E3-859E-435E-B463-725B22095ECC}">
  <ds:schemaRefs>
    <ds:schemaRef ds:uri="http://schemas.openxmlformats.org/officeDocument/2006/bibliography"/>
  </ds:schemaRefs>
</ds:datastoreItem>
</file>

<file path=customXml/itemProps4.xml><?xml version="1.0" encoding="utf-8"?>
<ds:datastoreItem xmlns:ds="http://schemas.openxmlformats.org/officeDocument/2006/customXml" ds:itemID="{76023915-96D3-48A9-9D25-3BA2C2C48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12538</Words>
  <Characters>71473</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83844</CharactersWithSpaces>
  <SharedDoc>false</SharedDoc>
  <HLinks>
    <vt:vector size="198" baseType="variant">
      <vt:variant>
        <vt:i4>6881313</vt:i4>
      </vt:variant>
      <vt:variant>
        <vt:i4>434</vt:i4>
      </vt:variant>
      <vt:variant>
        <vt:i4>0</vt:i4>
      </vt:variant>
      <vt:variant>
        <vt:i4>5</vt:i4>
      </vt:variant>
      <vt:variant>
        <vt:lpwstr>http://www.riskofbias.info/</vt:lpwstr>
      </vt:variant>
      <vt:variant>
        <vt:lpwstr/>
      </vt:variant>
      <vt:variant>
        <vt:i4>852063</vt:i4>
      </vt:variant>
      <vt:variant>
        <vt:i4>431</vt:i4>
      </vt:variant>
      <vt:variant>
        <vt:i4>0</vt:i4>
      </vt:variant>
      <vt:variant>
        <vt:i4>5</vt:i4>
      </vt:variant>
      <vt:variant>
        <vt:lpwstr>www.cochrane-handbook.org</vt:lpwstr>
      </vt:variant>
      <vt:variant>
        <vt:lpwstr/>
      </vt:variant>
      <vt:variant>
        <vt:i4>4784209</vt:i4>
      </vt:variant>
      <vt:variant>
        <vt:i4>421</vt:i4>
      </vt:variant>
      <vt:variant>
        <vt:i4>0</vt:i4>
      </vt:variant>
      <vt:variant>
        <vt:i4>5</vt:i4>
      </vt:variant>
      <vt:variant>
        <vt:lpwstr>http://www.gradepro.org/</vt:lpwstr>
      </vt:variant>
      <vt:variant>
        <vt:lpwstr/>
      </vt:variant>
      <vt:variant>
        <vt:i4>1507381</vt:i4>
      </vt:variant>
      <vt:variant>
        <vt:i4>176</vt:i4>
      </vt:variant>
      <vt:variant>
        <vt:i4>0</vt:i4>
      </vt:variant>
      <vt:variant>
        <vt:i4>5</vt:i4>
      </vt:variant>
      <vt:variant>
        <vt:lpwstr/>
      </vt:variant>
      <vt:variant>
        <vt:lpwstr>_Toc510707017</vt:lpwstr>
      </vt:variant>
      <vt:variant>
        <vt:i4>1507381</vt:i4>
      </vt:variant>
      <vt:variant>
        <vt:i4>170</vt:i4>
      </vt:variant>
      <vt:variant>
        <vt:i4>0</vt:i4>
      </vt:variant>
      <vt:variant>
        <vt:i4>5</vt:i4>
      </vt:variant>
      <vt:variant>
        <vt:lpwstr/>
      </vt:variant>
      <vt:variant>
        <vt:lpwstr>_Toc510707016</vt:lpwstr>
      </vt:variant>
      <vt:variant>
        <vt:i4>1507381</vt:i4>
      </vt:variant>
      <vt:variant>
        <vt:i4>164</vt:i4>
      </vt:variant>
      <vt:variant>
        <vt:i4>0</vt:i4>
      </vt:variant>
      <vt:variant>
        <vt:i4>5</vt:i4>
      </vt:variant>
      <vt:variant>
        <vt:lpwstr/>
      </vt:variant>
      <vt:variant>
        <vt:lpwstr>_Toc510707015</vt:lpwstr>
      </vt:variant>
      <vt:variant>
        <vt:i4>1507381</vt:i4>
      </vt:variant>
      <vt:variant>
        <vt:i4>158</vt:i4>
      </vt:variant>
      <vt:variant>
        <vt:i4>0</vt:i4>
      </vt:variant>
      <vt:variant>
        <vt:i4>5</vt:i4>
      </vt:variant>
      <vt:variant>
        <vt:lpwstr/>
      </vt:variant>
      <vt:variant>
        <vt:lpwstr>_Toc510707014</vt:lpwstr>
      </vt:variant>
      <vt:variant>
        <vt:i4>1507381</vt:i4>
      </vt:variant>
      <vt:variant>
        <vt:i4>152</vt:i4>
      </vt:variant>
      <vt:variant>
        <vt:i4>0</vt:i4>
      </vt:variant>
      <vt:variant>
        <vt:i4>5</vt:i4>
      </vt:variant>
      <vt:variant>
        <vt:lpwstr/>
      </vt:variant>
      <vt:variant>
        <vt:lpwstr>_Toc510707013</vt:lpwstr>
      </vt:variant>
      <vt:variant>
        <vt:i4>1507381</vt:i4>
      </vt:variant>
      <vt:variant>
        <vt:i4>146</vt:i4>
      </vt:variant>
      <vt:variant>
        <vt:i4>0</vt:i4>
      </vt:variant>
      <vt:variant>
        <vt:i4>5</vt:i4>
      </vt:variant>
      <vt:variant>
        <vt:lpwstr/>
      </vt:variant>
      <vt:variant>
        <vt:lpwstr>_Toc510707012</vt:lpwstr>
      </vt:variant>
      <vt:variant>
        <vt:i4>1507381</vt:i4>
      </vt:variant>
      <vt:variant>
        <vt:i4>140</vt:i4>
      </vt:variant>
      <vt:variant>
        <vt:i4>0</vt:i4>
      </vt:variant>
      <vt:variant>
        <vt:i4>5</vt:i4>
      </vt:variant>
      <vt:variant>
        <vt:lpwstr/>
      </vt:variant>
      <vt:variant>
        <vt:lpwstr>_Toc510707011</vt:lpwstr>
      </vt:variant>
      <vt:variant>
        <vt:i4>1507381</vt:i4>
      </vt:variant>
      <vt:variant>
        <vt:i4>134</vt:i4>
      </vt:variant>
      <vt:variant>
        <vt:i4>0</vt:i4>
      </vt:variant>
      <vt:variant>
        <vt:i4>5</vt:i4>
      </vt:variant>
      <vt:variant>
        <vt:lpwstr/>
      </vt:variant>
      <vt:variant>
        <vt:lpwstr>_Toc510707010</vt:lpwstr>
      </vt:variant>
      <vt:variant>
        <vt:i4>1441845</vt:i4>
      </vt:variant>
      <vt:variant>
        <vt:i4>128</vt:i4>
      </vt:variant>
      <vt:variant>
        <vt:i4>0</vt:i4>
      </vt:variant>
      <vt:variant>
        <vt:i4>5</vt:i4>
      </vt:variant>
      <vt:variant>
        <vt:lpwstr/>
      </vt:variant>
      <vt:variant>
        <vt:lpwstr>_Toc510707009</vt:lpwstr>
      </vt:variant>
      <vt:variant>
        <vt:i4>1441845</vt:i4>
      </vt:variant>
      <vt:variant>
        <vt:i4>122</vt:i4>
      </vt:variant>
      <vt:variant>
        <vt:i4>0</vt:i4>
      </vt:variant>
      <vt:variant>
        <vt:i4>5</vt:i4>
      </vt:variant>
      <vt:variant>
        <vt:lpwstr/>
      </vt:variant>
      <vt:variant>
        <vt:lpwstr>_Toc510707008</vt:lpwstr>
      </vt:variant>
      <vt:variant>
        <vt:i4>1441845</vt:i4>
      </vt:variant>
      <vt:variant>
        <vt:i4>116</vt:i4>
      </vt:variant>
      <vt:variant>
        <vt:i4>0</vt:i4>
      </vt:variant>
      <vt:variant>
        <vt:i4>5</vt:i4>
      </vt:variant>
      <vt:variant>
        <vt:lpwstr/>
      </vt:variant>
      <vt:variant>
        <vt:lpwstr>_Toc510707007</vt:lpwstr>
      </vt:variant>
      <vt:variant>
        <vt:i4>1441845</vt:i4>
      </vt:variant>
      <vt:variant>
        <vt:i4>110</vt:i4>
      </vt:variant>
      <vt:variant>
        <vt:i4>0</vt:i4>
      </vt:variant>
      <vt:variant>
        <vt:i4>5</vt:i4>
      </vt:variant>
      <vt:variant>
        <vt:lpwstr/>
      </vt:variant>
      <vt:variant>
        <vt:lpwstr>_Toc510707006</vt:lpwstr>
      </vt:variant>
      <vt:variant>
        <vt:i4>1441845</vt:i4>
      </vt:variant>
      <vt:variant>
        <vt:i4>104</vt:i4>
      </vt:variant>
      <vt:variant>
        <vt:i4>0</vt:i4>
      </vt:variant>
      <vt:variant>
        <vt:i4>5</vt:i4>
      </vt:variant>
      <vt:variant>
        <vt:lpwstr/>
      </vt:variant>
      <vt:variant>
        <vt:lpwstr>_Toc510707005</vt:lpwstr>
      </vt:variant>
      <vt:variant>
        <vt:i4>1441845</vt:i4>
      </vt:variant>
      <vt:variant>
        <vt:i4>98</vt:i4>
      </vt:variant>
      <vt:variant>
        <vt:i4>0</vt:i4>
      </vt:variant>
      <vt:variant>
        <vt:i4>5</vt:i4>
      </vt:variant>
      <vt:variant>
        <vt:lpwstr/>
      </vt:variant>
      <vt:variant>
        <vt:lpwstr>_Toc510707004</vt:lpwstr>
      </vt:variant>
      <vt:variant>
        <vt:i4>1441845</vt:i4>
      </vt:variant>
      <vt:variant>
        <vt:i4>92</vt:i4>
      </vt:variant>
      <vt:variant>
        <vt:i4>0</vt:i4>
      </vt:variant>
      <vt:variant>
        <vt:i4>5</vt:i4>
      </vt:variant>
      <vt:variant>
        <vt:lpwstr/>
      </vt:variant>
      <vt:variant>
        <vt:lpwstr>_Toc510707003</vt:lpwstr>
      </vt:variant>
      <vt:variant>
        <vt:i4>1441845</vt:i4>
      </vt:variant>
      <vt:variant>
        <vt:i4>86</vt:i4>
      </vt:variant>
      <vt:variant>
        <vt:i4>0</vt:i4>
      </vt:variant>
      <vt:variant>
        <vt:i4>5</vt:i4>
      </vt:variant>
      <vt:variant>
        <vt:lpwstr/>
      </vt:variant>
      <vt:variant>
        <vt:lpwstr>_Toc510707002</vt:lpwstr>
      </vt:variant>
      <vt:variant>
        <vt:i4>1441845</vt:i4>
      </vt:variant>
      <vt:variant>
        <vt:i4>80</vt:i4>
      </vt:variant>
      <vt:variant>
        <vt:i4>0</vt:i4>
      </vt:variant>
      <vt:variant>
        <vt:i4>5</vt:i4>
      </vt:variant>
      <vt:variant>
        <vt:lpwstr/>
      </vt:variant>
      <vt:variant>
        <vt:lpwstr>_Toc510707001</vt:lpwstr>
      </vt:variant>
      <vt:variant>
        <vt:i4>1441845</vt:i4>
      </vt:variant>
      <vt:variant>
        <vt:i4>74</vt:i4>
      </vt:variant>
      <vt:variant>
        <vt:i4>0</vt:i4>
      </vt:variant>
      <vt:variant>
        <vt:i4>5</vt:i4>
      </vt:variant>
      <vt:variant>
        <vt:lpwstr/>
      </vt:variant>
      <vt:variant>
        <vt:lpwstr>_Toc510707000</vt:lpwstr>
      </vt:variant>
      <vt:variant>
        <vt:i4>1966140</vt:i4>
      </vt:variant>
      <vt:variant>
        <vt:i4>68</vt:i4>
      </vt:variant>
      <vt:variant>
        <vt:i4>0</vt:i4>
      </vt:variant>
      <vt:variant>
        <vt:i4>5</vt:i4>
      </vt:variant>
      <vt:variant>
        <vt:lpwstr/>
      </vt:variant>
      <vt:variant>
        <vt:lpwstr>_Toc510706999</vt:lpwstr>
      </vt:variant>
      <vt:variant>
        <vt:i4>1966140</vt:i4>
      </vt:variant>
      <vt:variant>
        <vt:i4>62</vt:i4>
      </vt:variant>
      <vt:variant>
        <vt:i4>0</vt:i4>
      </vt:variant>
      <vt:variant>
        <vt:i4>5</vt:i4>
      </vt:variant>
      <vt:variant>
        <vt:lpwstr/>
      </vt:variant>
      <vt:variant>
        <vt:lpwstr>_Toc510706998</vt:lpwstr>
      </vt:variant>
      <vt:variant>
        <vt:i4>1966140</vt:i4>
      </vt:variant>
      <vt:variant>
        <vt:i4>56</vt:i4>
      </vt:variant>
      <vt:variant>
        <vt:i4>0</vt:i4>
      </vt:variant>
      <vt:variant>
        <vt:i4>5</vt:i4>
      </vt:variant>
      <vt:variant>
        <vt:lpwstr/>
      </vt:variant>
      <vt:variant>
        <vt:lpwstr>_Toc510706997</vt:lpwstr>
      </vt:variant>
      <vt:variant>
        <vt:i4>1966140</vt:i4>
      </vt:variant>
      <vt:variant>
        <vt:i4>50</vt:i4>
      </vt:variant>
      <vt:variant>
        <vt:i4>0</vt:i4>
      </vt:variant>
      <vt:variant>
        <vt:i4>5</vt:i4>
      </vt:variant>
      <vt:variant>
        <vt:lpwstr/>
      </vt:variant>
      <vt:variant>
        <vt:lpwstr>_Toc510706996</vt:lpwstr>
      </vt:variant>
      <vt:variant>
        <vt:i4>1966140</vt:i4>
      </vt:variant>
      <vt:variant>
        <vt:i4>44</vt:i4>
      </vt:variant>
      <vt:variant>
        <vt:i4>0</vt:i4>
      </vt:variant>
      <vt:variant>
        <vt:i4>5</vt:i4>
      </vt:variant>
      <vt:variant>
        <vt:lpwstr/>
      </vt:variant>
      <vt:variant>
        <vt:lpwstr>_Toc510706995</vt:lpwstr>
      </vt:variant>
      <vt:variant>
        <vt:i4>1966140</vt:i4>
      </vt:variant>
      <vt:variant>
        <vt:i4>38</vt:i4>
      </vt:variant>
      <vt:variant>
        <vt:i4>0</vt:i4>
      </vt:variant>
      <vt:variant>
        <vt:i4>5</vt:i4>
      </vt:variant>
      <vt:variant>
        <vt:lpwstr/>
      </vt:variant>
      <vt:variant>
        <vt:lpwstr>_Toc510706994</vt:lpwstr>
      </vt:variant>
      <vt:variant>
        <vt:i4>1966140</vt:i4>
      </vt:variant>
      <vt:variant>
        <vt:i4>32</vt:i4>
      </vt:variant>
      <vt:variant>
        <vt:i4>0</vt:i4>
      </vt:variant>
      <vt:variant>
        <vt:i4>5</vt:i4>
      </vt:variant>
      <vt:variant>
        <vt:lpwstr/>
      </vt:variant>
      <vt:variant>
        <vt:lpwstr>_Toc510706993</vt:lpwstr>
      </vt:variant>
      <vt:variant>
        <vt:i4>1966140</vt:i4>
      </vt:variant>
      <vt:variant>
        <vt:i4>26</vt:i4>
      </vt:variant>
      <vt:variant>
        <vt:i4>0</vt:i4>
      </vt:variant>
      <vt:variant>
        <vt:i4>5</vt:i4>
      </vt:variant>
      <vt:variant>
        <vt:lpwstr/>
      </vt:variant>
      <vt:variant>
        <vt:lpwstr>_Toc510706992</vt:lpwstr>
      </vt:variant>
      <vt:variant>
        <vt:i4>1966140</vt:i4>
      </vt:variant>
      <vt:variant>
        <vt:i4>20</vt:i4>
      </vt:variant>
      <vt:variant>
        <vt:i4>0</vt:i4>
      </vt:variant>
      <vt:variant>
        <vt:i4>5</vt:i4>
      </vt:variant>
      <vt:variant>
        <vt:lpwstr/>
      </vt:variant>
      <vt:variant>
        <vt:lpwstr>_Toc510706991</vt:lpwstr>
      </vt:variant>
      <vt:variant>
        <vt:i4>1966140</vt:i4>
      </vt:variant>
      <vt:variant>
        <vt:i4>14</vt:i4>
      </vt:variant>
      <vt:variant>
        <vt:i4>0</vt:i4>
      </vt:variant>
      <vt:variant>
        <vt:i4>5</vt:i4>
      </vt:variant>
      <vt:variant>
        <vt:lpwstr/>
      </vt:variant>
      <vt:variant>
        <vt:lpwstr>_Toc510706990</vt:lpwstr>
      </vt:variant>
      <vt:variant>
        <vt:i4>2031676</vt:i4>
      </vt:variant>
      <vt:variant>
        <vt:i4>8</vt:i4>
      </vt:variant>
      <vt:variant>
        <vt:i4>0</vt:i4>
      </vt:variant>
      <vt:variant>
        <vt:i4>5</vt:i4>
      </vt:variant>
      <vt:variant>
        <vt:lpwstr/>
      </vt:variant>
      <vt:variant>
        <vt:lpwstr>_Toc510706989</vt:lpwstr>
      </vt:variant>
      <vt:variant>
        <vt:i4>2031676</vt:i4>
      </vt:variant>
      <vt:variant>
        <vt:i4>2</vt:i4>
      </vt:variant>
      <vt:variant>
        <vt:i4>0</vt:i4>
      </vt:variant>
      <vt:variant>
        <vt:i4>5</vt:i4>
      </vt:variant>
      <vt:variant>
        <vt:lpwstr/>
      </vt:variant>
      <vt:variant>
        <vt:lpwstr>_Toc510706988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Private health insurance</dc:subject>
  <dc:creator>Australian Government Department of Health and Aged Care</dc:creator>
  <cp:keywords>PHI</cp:keywords>
  <cp:lastModifiedBy>MCCAY, Meryl</cp:lastModifiedBy>
  <cp:revision>12</cp:revision>
  <cp:lastPrinted>2023-09-07T08:17:00Z</cp:lastPrinted>
  <dcterms:created xsi:type="dcterms:W3CDTF">2024-11-12T09:50:00Z</dcterms:created>
  <dcterms:modified xsi:type="dcterms:W3CDTF">2025-03-31T06:10:00Z</dcterms:modified>
</cp:coreProperties>
</file>